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Default Extension="wmf" ContentType="image/x-wmf"/>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Default Extension="jpeg" ContentType="image/jpeg"/>
  <Default Extension="emf" ContentType="image/x-emf"/>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27"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000"/>
      </w:tblPr>
      <w:tblGrid>
        <w:gridCol w:w="8313"/>
      </w:tblGrid>
      <w:tr w:rsidR="00AF5F28" w:rsidRPr="009066EF">
        <w:trPr>
          <w:cantSplit/>
        </w:trPr>
        <w:tc>
          <w:tcPr>
            <w:tcW w:w="8313" w:type="dxa"/>
            <w:tcBorders>
              <w:top w:val="nil"/>
              <w:left w:val="nil"/>
              <w:bottom w:val="nil"/>
              <w:right w:val="nil"/>
            </w:tcBorders>
          </w:tcPr>
          <w:p w:rsidR="00AF5F28" w:rsidRDefault="00DB118E" w:rsidP="00AF3F9E">
            <w:r>
              <w:t xml:space="preserve">Project - </w:t>
            </w:r>
            <w:r w:rsidR="008C34EB">
              <w:t>milieueffectrapportage</w:t>
            </w:r>
            <w:r w:rsidR="00AF5F28">
              <w:t xml:space="preserve"> </w:t>
            </w:r>
          </w:p>
          <w:p w:rsidR="0090292B" w:rsidRPr="009B6781" w:rsidRDefault="00907CCB" w:rsidP="00AF3F9E">
            <w:bookmarkStart w:id="0" w:name="titel"/>
            <w:r>
              <w:t>Hervergunning</w:t>
            </w:r>
            <w:r w:rsidR="0090292B">
              <w:t xml:space="preserve"> </w:t>
            </w:r>
            <w:r w:rsidR="000F6498">
              <w:t>en uitbreiding</w:t>
            </w:r>
          </w:p>
          <w:bookmarkEnd w:id="0"/>
          <w:p w:rsidR="0090292B" w:rsidRPr="00CE5888" w:rsidRDefault="0090292B" w:rsidP="00AF3F9E">
            <w:pPr>
              <w:rPr>
                <w:lang w:val="nl-NL"/>
              </w:rPr>
            </w:pPr>
          </w:p>
          <w:p w:rsidR="00AF5F28" w:rsidRPr="00CE5888" w:rsidRDefault="00AF5F28" w:rsidP="00AF3F9E">
            <w:pPr>
              <w:rPr>
                <w:lang w:val="nl-NL"/>
              </w:rPr>
            </w:pPr>
          </w:p>
        </w:tc>
      </w:tr>
    </w:tbl>
    <w:p w:rsidR="00AF5F28" w:rsidRDefault="00AF5F28" w:rsidP="00AF3F9E">
      <w:bookmarkStart w:id="1" w:name="Typen"/>
      <w:bookmarkEnd w:id="1"/>
    </w:p>
    <w:p w:rsidR="00AF5F28" w:rsidRDefault="00AF5F28" w:rsidP="00AF3F9E"/>
    <w:p w:rsidR="00AF5F28" w:rsidRPr="00CE5888" w:rsidRDefault="00AF5F28" w:rsidP="00AF3F9E">
      <w:pPr>
        <w:rPr>
          <w:lang w:val="nl-NL"/>
        </w:rPr>
      </w:pPr>
    </w:p>
    <w:p w:rsidR="00AF5F28" w:rsidRPr="00CE5888" w:rsidRDefault="00AF5F28" w:rsidP="00AF3F9E">
      <w:pPr>
        <w:rPr>
          <w:lang w:val="nl-NL"/>
        </w:rPr>
      </w:pPr>
    </w:p>
    <w:p w:rsidR="00AF5F28" w:rsidRPr="00CE5888" w:rsidRDefault="00AF5F28" w:rsidP="00AF3F9E">
      <w:pPr>
        <w:rPr>
          <w:lang w:val="nl-NL"/>
        </w:rPr>
      </w:pPr>
    </w:p>
    <w:p w:rsidR="00682010" w:rsidRDefault="00F87F50" w:rsidP="00AF3F9E">
      <w:r>
        <w:rPr>
          <w:noProof/>
        </w:rPr>
        <w:drawing>
          <wp:inline distT="0" distB="0" distL="0" distR="0">
            <wp:extent cx="1382809" cy="943479"/>
            <wp:effectExtent l="19050" t="0" r="7841" b="0"/>
            <wp:docPr id="50"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8" cstate="print"/>
                    <a:stretch>
                      <a:fillRect/>
                    </a:stretch>
                  </pic:blipFill>
                  <pic:spPr>
                    <a:xfrm>
                      <a:off x="0" y="0"/>
                      <a:ext cx="1385193" cy="945105"/>
                    </a:xfrm>
                    <a:prstGeom prst="rect">
                      <a:avLst/>
                    </a:prstGeom>
                  </pic:spPr>
                </pic:pic>
              </a:graphicData>
            </a:graphic>
          </wp:inline>
        </w:drawing>
      </w:r>
    </w:p>
    <w:p w:rsidR="00F87F50" w:rsidRDefault="00F87F50" w:rsidP="00AF3F9E">
      <w:r>
        <w:t>Vopak Terminal Eurotank</w:t>
      </w:r>
      <w:r w:rsidR="000F6498" w:rsidRPr="000F6498">
        <w:t xml:space="preserve"> </w:t>
      </w:r>
      <w:r w:rsidR="000F6498">
        <w:t>N.V.</w:t>
      </w:r>
    </w:p>
    <w:p w:rsidR="00F87F50" w:rsidRDefault="00F87F50" w:rsidP="00AF3F9E">
      <w:r>
        <w:t>Industrieweg 16</w:t>
      </w:r>
      <w:r w:rsidR="000F6498">
        <w:t xml:space="preserve"> – haven 399</w:t>
      </w:r>
    </w:p>
    <w:p w:rsidR="00F87F50" w:rsidRPr="002A6A05" w:rsidRDefault="00F87F50" w:rsidP="00AF3F9E">
      <w:r>
        <w:t>B – 2030 Antwerpen</w:t>
      </w:r>
    </w:p>
    <w:p w:rsidR="00AF5F28" w:rsidRPr="00D13F3A" w:rsidRDefault="00AF5F28" w:rsidP="00AF3F9E"/>
    <w:p w:rsidR="00AF5F28" w:rsidRPr="00B24B90" w:rsidRDefault="00CB3B91" w:rsidP="004F40A7">
      <w:pPr>
        <w:outlineLvl w:val="0"/>
      </w:pPr>
      <w:r w:rsidRPr="00CB3B91">
        <w:t xml:space="preserve">Uitgave : </w:t>
      </w:r>
      <w:r w:rsidRPr="00CB3B91">
        <w:tab/>
      </w:r>
      <w:bookmarkStart w:id="2" w:name="uitgave"/>
      <w:r w:rsidR="00C325A0">
        <w:rPr>
          <w:lang w:val="en-GB"/>
        </w:rPr>
        <w:fldChar w:fldCharType="begin"/>
      </w:r>
      <w:r w:rsidR="000E63FF">
        <w:rPr>
          <w:lang w:val="en-GB"/>
        </w:rPr>
        <w:instrText xml:space="preserve"> DATE \@ "dd/MM/yyyy" </w:instrText>
      </w:r>
      <w:r w:rsidR="00C325A0">
        <w:rPr>
          <w:lang w:val="en-GB"/>
        </w:rPr>
        <w:fldChar w:fldCharType="separate"/>
      </w:r>
      <w:r w:rsidR="00C447E8">
        <w:rPr>
          <w:noProof/>
          <w:lang w:val="en-GB"/>
        </w:rPr>
        <w:t>21/12/2011</w:t>
      </w:r>
      <w:r w:rsidR="00C325A0">
        <w:rPr>
          <w:lang w:val="en-GB"/>
        </w:rPr>
        <w:fldChar w:fldCharType="end"/>
      </w:r>
      <w:bookmarkEnd w:id="2"/>
    </w:p>
    <w:p w:rsidR="00AF5F28" w:rsidRDefault="00AF5F28" w:rsidP="00AF3F9E">
      <w:pPr>
        <w:rPr>
          <w:lang w:val="nb-NO"/>
        </w:rPr>
      </w:pPr>
      <w:r>
        <w:rPr>
          <w:lang w:val="nb-NO"/>
        </w:rPr>
        <w:t xml:space="preserve">Ref. : </w:t>
      </w:r>
      <w:r>
        <w:rPr>
          <w:lang w:val="nb-NO"/>
        </w:rPr>
        <w:tab/>
      </w:r>
      <w:r w:rsidR="00822F78">
        <w:rPr>
          <w:lang w:val="nb-NO"/>
        </w:rPr>
        <w:t>ESM090</w:t>
      </w:r>
      <w:r w:rsidR="00CB067B">
        <w:rPr>
          <w:lang w:val="nb-NO"/>
        </w:rPr>
        <w:t>30026</w:t>
      </w:r>
      <w:r w:rsidR="00822F78">
        <w:rPr>
          <w:lang w:val="nb-NO"/>
        </w:rPr>
        <w:t>/</w:t>
      </w:r>
      <w:r w:rsidR="00CB067B">
        <w:rPr>
          <w:lang w:val="nb-NO"/>
        </w:rPr>
        <w:t>VTE</w:t>
      </w:r>
      <w:r w:rsidR="00682010">
        <w:rPr>
          <w:lang w:val="nb-NO"/>
        </w:rPr>
        <w:t>/MER</w:t>
      </w:r>
    </w:p>
    <w:p w:rsidR="00AF5F28" w:rsidRPr="00C61124" w:rsidRDefault="00AF5F28" w:rsidP="006E093A">
      <w:pPr>
        <w:jc w:val="left"/>
        <w:rPr>
          <w:lang w:val="en-US"/>
        </w:rPr>
      </w:pPr>
      <w:r w:rsidRPr="00C61124">
        <w:rPr>
          <w:lang w:val="en-US"/>
        </w:rPr>
        <w:t>Sertius CVBA</w:t>
      </w:r>
      <w:r w:rsidRPr="00C61124">
        <w:rPr>
          <w:lang w:val="en-US"/>
        </w:rPr>
        <w:br/>
        <w:t>Environmental &amp; Safety Services</w:t>
      </w:r>
    </w:p>
    <w:p w:rsidR="00AF5F28" w:rsidRPr="00AC4CF3" w:rsidRDefault="005B4B80" w:rsidP="00AF3F9E">
      <w:pPr>
        <w:rPr>
          <w:lang w:val="en-US"/>
        </w:rPr>
      </w:pPr>
      <w:r w:rsidRPr="00AC4CF3">
        <w:rPr>
          <w:lang w:val="en-US"/>
        </w:rPr>
        <w:t>Remy-toren</w:t>
      </w:r>
    </w:p>
    <w:p w:rsidR="005B4B80" w:rsidRPr="00B85F2F" w:rsidRDefault="005B4B80" w:rsidP="00AF3F9E">
      <w:r w:rsidRPr="00B85F2F">
        <w:t>Vaartdijk 3-bus 202</w:t>
      </w:r>
    </w:p>
    <w:p w:rsidR="00AF5F28" w:rsidRDefault="00AF5F28" w:rsidP="00AF3F9E">
      <w:pPr>
        <w:rPr>
          <w:lang w:val="nl-NL"/>
        </w:rPr>
      </w:pPr>
      <w:r>
        <w:rPr>
          <w:lang w:val="nl-NL"/>
        </w:rPr>
        <w:t>B-30</w:t>
      </w:r>
      <w:r w:rsidR="005B4B80">
        <w:rPr>
          <w:lang w:val="nl-NL"/>
        </w:rPr>
        <w:t>18 Wij</w:t>
      </w:r>
      <w:r w:rsidR="00416F83">
        <w:rPr>
          <w:lang w:val="nl-NL"/>
        </w:rPr>
        <w:t>g</w:t>
      </w:r>
      <w:r w:rsidR="005B4B80">
        <w:rPr>
          <w:lang w:val="nl-NL"/>
        </w:rPr>
        <w:t>maal</w:t>
      </w:r>
      <w:r>
        <w:rPr>
          <w:lang w:val="nl-NL"/>
        </w:rPr>
        <w:t xml:space="preserve"> </w:t>
      </w:r>
      <w:r w:rsidR="005B4B80">
        <w:rPr>
          <w:lang w:val="nl-NL"/>
        </w:rPr>
        <w:t>(</w:t>
      </w:r>
      <w:r>
        <w:rPr>
          <w:lang w:val="nl-NL"/>
        </w:rPr>
        <w:t>Leuven</w:t>
      </w:r>
      <w:r w:rsidR="005B4B80">
        <w:rPr>
          <w:lang w:val="nl-NL"/>
        </w:rPr>
        <w:t>)</w:t>
      </w:r>
    </w:p>
    <w:p w:rsidR="00AF5F28" w:rsidRDefault="00255BCD" w:rsidP="00AF3F9E">
      <w:pPr>
        <w:rPr>
          <w:lang w:val="nl-NL"/>
        </w:rPr>
      </w:pPr>
      <w:r>
        <w:rPr>
          <w:noProof/>
        </w:rPr>
        <w:drawing>
          <wp:anchor distT="0" distB="0" distL="114300" distR="114300" simplePos="0" relativeHeight="251657728" behindDoc="1" locked="0" layoutInCell="1" allowOverlap="0">
            <wp:simplePos x="0" y="0"/>
            <wp:positionH relativeFrom="column">
              <wp:posOffset>68580</wp:posOffset>
            </wp:positionH>
            <wp:positionV relativeFrom="page">
              <wp:posOffset>9051290</wp:posOffset>
            </wp:positionV>
            <wp:extent cx="494030" cy="196215"/>
            <wp:effectExtent l="19050" t="0" r="1270" b="0"/>
            <wp:wrapNone/>
            <wp:docPr id="2636" name="Afbeelding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6"/>
                    <pic:cNvPicPr>
                      <a:picLocks noChangeAspect="1" noChangeArrowheads="1"/>
                    </pic:cNvPicPr>
                  </pic:nvPicPr>
                  <pic:blipFill>
                    <a:blip r:embed="rId9" cstate="print"/>
                    <a:srcRect/>
                    <a:stretch>
                      <a:fillRect/>
                    </a:stretch>
                  </pic:blipFill>
                  <pic:spPr bwMode="auto">
                    <a:xfrm>
                      <a:off x="0" y="0"/>
                      <a:ext cx="494030" cy="196215"/>
                    </a:xfrm>
                    <a:prstGeom prst="rect">
                      <a:avLst/>
                    </a:prstGeom>
                    <a:noFill/>
                  </pic:spPr>
                </pic:pic>
              </a:graphicData>
            </a:graphic>
          </wp:anchor>
        </w:drawing>
      </w:r>
      <w:r w:rsidR="00AF5F28">
        <w:rPr>
          <w:lang w:val="nl-NL"/>
        </w:rPr>
        <w:t>Rev. :</w:t>
      </w:r>
      <w:r w:rsidR="00AF5F28">
        <w:rPr>
          <w:lang w:val="nl-NL"/>
        </w:rPr>
        <w:tab/>
      </w:r>
      <w:bookmarkStart w:id="3" w:name="revisie"/>
      <w:r w:rsidR="009F1CE0">
        <w:rPr>
          <w:lang w:val="nl-NL"/>
        </w:rPr>
        <w:t>ev</w:t>
      </w:r>
      <w:r w:rsidR="00907CCB">
        <w:rPr>
          <w:lang w:val="nl-NL"/>
        </w:rPr>
        <w:t xml:space="preserve">. </w:t>
      </w:r>
      <w:r w:rsidR="00573C43">
        <w:rPr>
          <w:lang w:val="nl-NL"/>
        </w:rPr>
        <w:t>0</w:t>
      </w:r>
      <w:r w:rsidR="006F4B5C">
        <w:rPr>
          <w:lang w:val="nl-NL"/>
        </w:rPr>
        <w:t>.</w:t>
      </w:r>
      <w:r w:rsidR="001E300D">
        <w:rPr>
          <w:lang w:val="nl-NL"/>
        </w:rPr>
        <w:t>1</w:t>
      </w:r>
      <w:bookmarkEnd w:id="3"/>
      <w:r w:rsidR="00AF5F28">
        <w:rPr>
          <w:lang w:val="nl-NL"/>
        </w:rPr>
        <w:tab/>
      </w:r>
    </w:p>
    <w:p w:rsidR="00AF5F28" w:rsidRDefault="00AF5F28" w:rsidP="00AF3F9E">
      <w:pPr>
        <w:rPr>
          <w:lang w:val="nl-NL"/>
        </w:rPr>
        <w:sectPr w:rsidR="00AF5F28" w:rsidSect="00C54545">
          <w:headerReference w:type="default" r:id="rId10"/>
          <w:headerReference w:type="first" r:id="rId11"/>
          <w:pgSz w:w="11909" w:h="16834" w:code="9"/>
          <w:pgMar w:top="962" w:right="1440" w:bottom="1440" w:left="1440" w:header="454" w:footer="708" w:gutter="0"/>
          <w:cols w:space="708"/>
          <w:titlePg/>
        </w:sectPr>
      </w:pPr>
    </w:p>
    <w:p w:rsidR="00AF5F28" w:rsidRDefault="00AF5F28" w:rsidP="00AF3F9E">
      <w:r>
        <w:lastRenderedPageBreak/>
        <w:t>Inleiding</w:t>
      </w:r>
    </w:p>
    <w:p w:rsidR="0095563F" w:rsidRDefault="00DB0E59" w:rsidP="00AF3F9E">
      <w:bookmarkStart w:id="4" w:name="klant"/>
      <w:r>
        <w:t xml:space="preserve">Vopak </w:t>
      </w:r>
      <w:r w:rsidR="000F6498">
        <w:t>Terminal Eurotank</w:t>
      </w:r>
      <w:r>
        <w:t xml:space="preserve"> NV </w:t>
      </w:r>
      <w:bookmarkEnd w:id="4"/>
      <w:r>
        <w:t xml:space="preserve">exploiteert te Antwerpen op rechteroever een terminal met als hoofdactiviteit de op- en overslag van vloeistoffen </w:t>
      </w:r>
      <w:r w:rsidR="000F6498">
        <w:t xml:space="preserve">voor </w:t>
      </w:r>
      <w:r>
        <w:t>derden.</w:t>
      </w:r>
    </w:p>
    <w:p w:rsidR="0095563F" w:rsidRDefault="0095563F" w:rsidP="00AF3F9E">
      <w:r>
        <w:t xml:space="preserve">Onderhavig milieueffectenrapport </w:t>
      </w:r>
      <w:r w:rsidR="00DB0E59">
        <w:t>werd opgesteld in het kader van de aanvraag tot het uitbreid</w:t>
      </w:r>
      <w:r w:rsidR="00417B19">
        <w:t>e</w:t>
      </w:r>
      <w:r w:rsidR="00DB0E59">
        <w:t xml:space="preserve">n </w:t>
      </w:r>
      <w:r w:rsidR="00417B19">
        <w:t>v</w:t>
      </w:r>
      <w:r w:rsidR="00DB0E59">
        <w:t>a</w:t>
      </w:r>
      <w:r w:rsidR="00417B19">
        <w:t>n de ops</w:t>
      </w:r>
      <w:r w:rsidR="00DB0E59">
        <w:t>l</w:t>
      </w:r>
      <w:r w:rsidR="00417B19">
        <w:t>a</w:t>
      </w:r>
      <w:r w:rsidR="00DB0E59">
        <w:t xml:space="preserve">gcapaciteit van de terminal op rechteroever en </w:t>
      </w:r>
      <w:r>
        <w:t xml:space="preserve">heeft dan ook tot doel om de mogelijke </w:t>
      </w:r>
      <w:r w:rsidR="006B56D4">
        <w:t>milieu-impact</w:t>
      </w:r>
      <w:r w:rsidR="000E0C94">
        <w:t xml:space="preserve"> van de activitei</w:t>
      </w:r>
      <w:r>
        <w:t>ten in kaart te brengen.</w:t>
      </w:r>
      <w:r w:rsidR="000F265C">
        <w:t xml:space="preserve"> De uitbreiding zal gecombineerd worden met een hervergunning van de terminal.</w:t>
      </w:r>
    </w:p>
    <w:p w:rsidR="0095563F" w:rsidRDefault="0095563F" w:rsidP="00AF3F9E">
      <w:r>
        <w:t>Milieueffectrapportage (m.e.r.) is een instrument om de doelstellingen en beginselen van het milieubeleid te helpen realiseren, nl. het voorzorgsbeginsel en het beginsel van preventief handelen. Het m.e.r.-proces is een juridisch-administratieve procedure waarbij vooraleer een activiteit of ingreep (projecten, beleidsvoornemens zoals plannen en programma's) plaatsvindt, de milieugevolgen ervan op een wetenschappelijk verantwoorde wijze worden bestudeerd, besproken en geëvalueerd. Het is een belangrijk hulpmiddel voor de overheid om te beslissen of een bepaald project zal toegelaten of vergund worden en onder welke voorwaarden.</w:t>
      </w:r>
    </w:p>
    <w:p w:rsidR="0095563F" w:rsidRDefault="0095563F" w:rsidP="00AF3F9E">
      <w:r>
        <w:t xml:space="preserve">Het milieueffectrapport maakt deel uit van de </w:t>
      </w:r>
      <w:r>
        <w:rPr>
          <w:lang w:val="nl-NL"/>
        </w:rPr>
        <w:t xml:space="preserve">aanvraag tot </w:t>
      </w:r>
      <w:r w:rsidR="000E0C94">
        <w:rPr>
          <w:lang w:val="nl-NL"/>
        </w:rPr>
        <w:t>hernieuwing</w:t>
      </w:r>
      <w:r>
        <w:rPr>
          <w:lang w:val="nl-NL"/>
        </w:rPr>
        <w:t xml:space="preserve"> van de milieuvergunning die zal ingediend worden bij de </w:t>
      </w:r>
      <w:r w:rsidRPr="00207E5C">
        <w:rPr>
          <w:lang w:val="nl-NL"/>
        </w:rPr>
        <w:t xml:space="preserve">Deputatie van </w:t>
      </w:r>
      <w:r w:rsidRPr="00EF1747">
        <w:rPr>
          <w:lang w:val="nl-NL"/>
        </w:rPr>
        <w:t xml:space="preserve">de provincie </w:t>
      </w:r>
      <w:r w:rsidR="00031839">
        <w:rPr>
          <w:lang w:val="nl-NL"/>
        </w:rPr>
        <w:t>Antwerpen</w:t>
      </w:r>
      <w:r w:rsidRPr="00207E5C">
        <w:rPr>
          <w:lang w:val="nl-NL"/>
        </w:rPr>
        <w:t>.</w:t>
      </w:r>
    </w:p>
    <w:p w:rsidR="0095563F" w:rsidRDefault="0095563F" w:rsidP="00AF3F9E">
      <w:r>
        <w:t>Het decreet betreffende milieueffect- en veiligheidsrapportage van 18 december 2002 (B.S. 13 februari 2003) voorziet in een MER-procedure opgebouwd uit verschillende stappen:</w:t>
      </w:r>
    </w:p>
    <w:p w:rsidR="0095563F" w:rsidRDefault="0095563F" w:rsidP="00AB035D">
      <w:pPr>
        <w:pStyle w:val="ListParagraph"/>
        <w:numPr>
          <w:ilvl w:val="0"/>
          <w:numId w:val="117"/>
        </w:numPr>
      </w:pPr>
      <w:r>
        <w:t>Opstellen van een kennisgeving door een team van deskundigen.</w:t>
      </w:r>
    </w:p>
    <w:p w:rsidR="0095563F" w:rsidRDefault="0095563F" w:rsidP="00AB035D">
      <w:pPr>
        <w:pStyle w:val="ListParagraph"/>
        <w:numPr>
          <w:ilvl w:val="0"/>
          <w:numId w:val="117"/>
        </w:numPr>
      </w:pPr>
      <w:r>
        <w:t xml:space="preserve">De kennisgeving omvat naast een beschrijving van het project en de relevante randvoorwaarden, een voorstel inzake te onderzoeken disciplines en samenstelling van een team van deskundigen en per discipline een beschrijving van de methodologie die in het MER zal gehanteerd worden bij de inhoudelijke uitwerking van de disciplines. </w:t>
      </w:r>
      <w:r>
        <w:tab/>
      </w:r>
      <w:r>
        <w:br/>
        <w:t>De kennisgeving is een openbaar document dat ter inzage wordt gelegd aan het publiek.</w:t>
      </w:r>
    </w:p>
    <w:p w:rsidR="0095563F" w:rsidRDefault="0095563F" w:rsidP="00AB035D">
      <w:pPr>
        <w:pStyle w:val="ListParagraph"/>
        <w:numPr>
          <w:ilvl w:val="0"/>
          <w:numId w:val="117"/>
        </w:numPr>
      </w:pPr>
      <w:r>
        <w:t>De opmaak van richtlijnen door de Dienst MER op basis van opmerkingen geformuleerd naar aanleiding van de terinzagelegging en de adviezen van de bevoegde instanties.</w:t>
      </w:r>
    </w:p>
    <w:p w:rsidR="0095563F" w:rsidRDefault="006B56D4" w:rsidP="00AB035D">
      <w:pPr>
        <w:pStyle w:val="ListParagraph"/>
        <w:numPr>
          <w:ilvl w:val="0"/>
          <w:numId w:val="117"/>
        </w:numPr>
      </w:pPr>
      <w:r>
        <w:t>Opmaak van een ontwerp-MER dat voorgelegd wordt voor advies aan de bevoegde instanties.</w:t>
      </w:r>
    </w:p>
    <w:p w:rsidR="0095563F" w:rsidRDefault="0095563F" w:rsidP="00AB035D">
      <w:pPr>
        <w:pStyle w:val="ListParagraph"/>
        <w:numPr>
          <w:ilvl w:val="0"/>
          <w:numId w:val="117"/>
        </w:numPr>
      </w:pPr>
      <w:r>
        <w:t>Opmaak van een finaal MER, rekening houdend met de opmerkingen van de bevoegde instanties, dat dient goedgekeurd te worden door de bevoegde overheid, de Dienst MER. Het finaal MER wordt een publiek document na goed- of afkeuring.</w:t>
      </w:r>
    </w:p>
    <w:p w:rsidR="00F221F0" w:rsidRDefault="0095563F" w:rsidP="00AB035D">
      <w:pPr>
        <w:pStyle w:val="ListParagraph"/>
        <w:numPr>
          <w:ilvl w:val="0"/>
          <w:numId w:val="117"/>
        </w:numPr>
      </w:pPr>
      <w:r>
        <w:t>Het goedgekeurd project-MER maakt tevens deel uit van de vergunningsaanvraag.</w:t>
      </w:r>
    </w:p>
    <w:p w:rsidR="008C34EB" w:rsidRDefault="008C34EB" w:rsidP="00AF3F9E">
      <w:r w:rsidRPr="00B523EA">
        <w:t xml:space="preserve">Opgemerkt wordt dat in het kader van onderhavige procedure er door </w:t>
      </w:r>
      <w:r w:rsidR="00C325A0" w:rsidRPr="008C34EB">
        <w:fldChar w:fldCharType="begin"/>
      </w:r>
      <w:r w:rsidRPr="008C34EB">
        <w:instrText xml:space="preserve"> klant </w:instrText>
      </w:r>
      <w:r w:rsidR="00C325A0" w:rsidRPr="008C34EB">
        <w:fldChar w:fldCharType="separate"/>
      </w:r>
      <w:r w:rsidR="00525E75">
        <w:t xml:space="preserve">Vopak Terminal Eurotank NV </w:t>
      </w:r>
      <w:r w:rsidR="00C325A0" w:rsidRPr="008C34EB">
        <w:fldChar w:fldCharType="end"/>
      </w:r>
      <w:r w:rsidRPr="00B523EA">
        <w:t xml:space="preserve"> voor geopteerd is om de kennisgeving en het ontwerp-MER in één document te bundelen.</w:t>
      </w:r>
    </w:p>
    <w:p w:rsidR="00DD33C1" w:rsidRDefault="00DD33C1" w:rsidP="00AF3F9E">
      <w:pPr>
        <w:pStyle w:val="normal0"/>
        <w:sectPr w:rsidR="00DD33C1" w:rsidSect="00C54545">
          <w:headerReference w:type="even" r:id="rId12"/>
          <w:headerReference w:type="default" r:id="rId13"/>
          <w:footerReference w:type="default" r:id="rId14"/>
          <w:headerReference w:type="first" r:id="rId15"/>
          <w:pgSz w:w="11909" w:h="16834" w:code="9"/>
          <w:pgMar w:top="1240" w:right="1440" w:bottom="1440" w:left="1440" w:header="454" w:footer="709" w:gutter="0"/>
          <w:pgNumType w:fmt="lowerRoman" w:start="1"/>
          <w:cols w:space="708"/>
        </w:sectPr>
      </w:pPr>
    </w:p>
    <w:p w:rsidR="000717E1" w:rsidRDefault="000717E1" w:rsidP="00AF3F9E">
      <w:pPr>
        <w:pStyle w:val="normal0"/>
      </w:pPr>
    </w:p>
    <w:tbl>
      <w:tblPr>
        <w:tblW w:w="9332" w:type="dxa"/>
        <w:tblCellMar>
          <w:left w:w="0" w:type="dxa"/>
          <w:right w:w="0" w:type="dxa"/>
        </w:tblCellMar>
        <w:tblLook w:val="0000"/>
      </w:tblPr>
      <w:tblGrid>
        <w:gridCol w:w="2835"/>
        <w:gridCol w:w="6497"/>
      </w:tblGrid>
      <w:tr w:rsidR="00822F78" w:rsidRPr="009066EF" w:rsidTr="00C777A4">
        <w:tc>
          <w:tcPr>
            <w:tcW w:w="2835" w:type="dxa"/>
            <w:tcMar>
              <w:left w:w="0" w:type="dxa"/>
              <w:right w:w="0" w:type="dxa"/>
            </w:tcMar>
          </w:tcPr>
          <w:p w:rsidR="00822F78" w:rsidRPr="00211AAC" w:rsidRDefault="00822F78" w:rsidP="00AF3F9E">
            <w:r w:rsidRPr="00211AAC">
              <w:t>Initiatiefnemer:</w:t>
            </w:r>
          </w:p>
        </w:tc>
        <w:tc>
          <w:tcPr>
            <w:tcW w:w="6497" w:type="dxa"/>
            <w:tcMar>
              <w:left w:w="0" w:type="dxa"/>
              <w:right w:w="0" w:type="dxa"/>
            </w:tcMar>
          </w:tcPr>
          <w:p w:rsidR="00417B19" w:rsidRPr="00417B19" w:rsidRDefault="000F6498" w:rsidP="00AF3F9E">
            <w:r>
              <w:rPr>
                <w:lang w:val="it-IT"/>
              </w:rPr>
              <w:t>Vopak Terminal Eurotank</w:t>
            </w:r>
            <w:r w:rsidDel="000F6498">
              <w:t xml:space="preserve"> </w:t>
            </w:r>
            <w:r w:rsidR="00417B19">
              <w:t>NV</w:t>
            </w:r>
          </w:p>
        </w:tc>
      </w:tr>
      <w:tr w:rsidR="00822F78" w:rsidRPr="009066EF" w:rsidTr="00C777A4">
        <w:tc>
          <w:tcPr>
            <w:tcW w:w="2835" w:type="dxa"/>
            <w:tcMar>
              <w:left w:w="0" w:type="dxa"/>
              <w:right w:w="0" w:type="dxa"/>
            </w:tcMar>
          </w:tcPr>
          <w:p w:rsidR="00822F78" w:rsidRPr="00211AAC" w:rsidRDefault="00822F78" w:rsidP="00AF3F9E"/>
        </w:tc>
        <w:tc>
          <w:tcPr>
            <w:tcW w:w="6497" w:type="dxa"/>
            <w:tcMar>
              <w:left w:w="0" w:type="dxa"/>
              <w:right w:w="0" w:type="dxa"/>
            </w:tcMar>
          </w:tcPr>
          <w:p w:rsidR="00822F78" w:rsidRDefault="00822F78" w:rsidP="00AF3F9E">
            <w:pPr>
              <w:rPr>
                <w:lang w:val="it-IT"/>
              </w:rPr>
            </w:pPr>
          </w:p>
        </w:tc>
      </w:tr>
      <w:tr w:rsidR="00417B19" w:rsidRPr="009066EF" w:rsidTr="00C777A4">
        <w:tc>
          <w:tcPr>
            <w:tcW w:w="2835" w:type="dxa"/>
            <w:tcMar>
              <w:left w:w="0" w:type="dxa"/>
              <w:right w:w="0" w:type="dxa"/>
            </w:tcMar>
          </w:tcPr>
          <w:p w:rsidR="00417B19" w:rsidRPr="00211AAC" w:rsidRDefault="00417B19" w:rsidP="00AF3F9E">
            <w:r>
              <w:t>Naam terminal</w:t>
            </w:r>
          </w:p>
        </w:tc>
        <w:tc>
          <w:tcPr>
            <w:tcW w:w="6497" w:type="dxa"/>
            <w:tcMar>
              <w:left w:w="0" w:type="dxa"/>
              <w:right w:w="0" w:type="dxa"/>
            </w:tcMar>
          </w:tcPr>
          <w:p w:rsidR="00417B19" w:rsidRDefault="00417B19" w:rsidP="00AF3F9E">
            <w:pPr>
              <w:rPr>
                <w:lang w:val="it-IT"/>
              </w:rPr>
            </w:pPr>
            <w:r>
              <w:rPr>
                <w:lang w:val="it-IT"/>
              </w:rPr>
              <w:t>Vopak Terminal Eurotank</w:t>
            </w:r>
          </w:p>
        </w:tc>
      </w:tr>
      <w:tr w:rsidR="00822F78" w:rsidRPr="009066EF" w:rsidTr="00C777A4">
        <w:tc>
          <w:tcPr>
            <w:tcW w:w="2835" w:type="dxa"/>
            <w:tcMar>
              <w:left w:w="0" w:type="dxa"/>
              <w:right w:w="0" w:type="dxa"/>
            </w:tcMar>
          </w:tcPr>
          <w:p w:rsidR="00822F78" w:rsidRPr="00211AAC" w:rsidRDefault="00822F78" w:rsidP="00AF3F9E">
            <w:r w:rsidRPr="00211AAC">
              <w:t>Exploitatiezetel:</w:t>
            </w:r>
          </w:p>
        </w:tc>
        <w:tc>
          <w:tcPr>
            <w:tcW w:w="6497" w:type="dxa"/>
            <w:tcMar>
              <w:left w:w="0" w:type="dxa"/>
              <w:right w:w="0" w:type="dxa"/>
            </w:tcMar>
          </w:tcPr>
          <w:p w:rsidR="00822F78" w:rsidRPr="00D05F3B" w:rsidRDefault="00031839" w:rsidP="00AF3F9E">
            <w:r>
              <w:t>Industrieweg 16 (Haven 399) – 2030 Antwerpen</w:t>
            </w:r>
          </w:p>
        </w:tc>
      </w:tr>
      <w:tr w:rsidR="00822F78" w:rsidRPr="009066EF" w:rsidTr="00C777A4">
        <w:tc>
          <w:tcPr>
            <w:tcW w:w="2835" w:type="dxa"/>
            <w:tcMar>
              <w:left w:w="0" w:type="dxa"/>
              <w:right w:w="0" w:type="dxa"/>
            </w:tcMar>
          </w:tcPr>
          <w:p w:rsidR="00822F78" w:rsidRDefault="00822F78" w:rsidP="00AF3F9E">
            <w:r w:rsidRPr="00211AAC">
              <w:t>Maatschappelijke zetel:</w:t>
            </w:r>
          </w:p>
          <w:p w:rsidR="00417B19" w:rsidRPr="00211AAC" w:rsidRDefault="00417B19" w:rsidP="00AF3F9E">
            <w:r w:rsidRPr="00417B19">
              <w:t>(= correspondentieadres)</w:t>
            </w:r>
          </w:p>
        </w:tc>
        <w:tc>
          <w:tcPr>
            <w:tcW w:w="6497" w:type="dxa"/>
            <w:tcMar>
              <w:left w:w="0" w:type="dxa"/>
              <w:right w:w="0" w:type="dxa"/>
            </w:tcMar>
          </w:tcPr>
          <w:p w:rsidR="00822F78" w:rsidRPr="00D05F3B" w:rsidRDefault="00417B19" w:rsidP="00AF3F9E">
            <w:r>
              <w:t>Industrieweg 16 (Haven 399) – 2030 Antwerpen</w:t>
            </w:r>
          </w:p>
        </w:tc>
      </w:tr>
      <w:tr w:rsidR="00822F78" w:rsidRPr="009066EF" w:rsidTr="00C777A4">
        <w:tc>
          <w:tcPr>
            <w:tcW w:w="2835" w:type="dxa"/>
            <w:tcMar>
              <w:left w:w="0" w:type="dxa"/>
              <w:right w:w="0" w:type="dxa"/>
            </w:tcMar>
          </w:tcPr>
          <w:p w:rsidR="00822F78" w:rsidRPr="00211AAC" w:rsidRDefault="00822F78" w:rsidP="00AF3F9E">
            <w:r w:rsidRPr="00211AAC">
              <w:t>Verantwoordelijke exploitatie:</w:t>
            </w:r>
          </w:p>
        </w:tc>
        <w:tc>
          <w:tcPr>
            <w:tcW w:w="6497" w:type="dxa"/>
            <w:tcMar>
              <w:left w:w="0" w:type="dxa"/>
              <w:right w:w="0" w:type="dxa"/>
            </w:tcMar>
          </w:tcPr>
          <w:p w:rsidR="00822F78" w:rsidRPr="006B45C1" w:rsidRDefault="000F6498" w:rsidP="00AF3F9E">
            <w:r>
              <w:t>S. Van Assche – operational manager</w:t>
            </w:r>
          </w:p>
        </w:tc>
      </w:tr>
      <w:tr w:rsidR="00FC3A9A" w:rsidRPr="009066EF" w:rsidTr="00C777A4">
        <w:tc>
          <w:tcPr>
            <w:tcW w:w="2835" w:type="dxa"/>
            <w:tcMar>
              <w:left w:w="0" w:type="dxa"/>
              <w:right w:w="0" w:type="dxa"/>
            </w:tcMar>
          </w:tcPr>
          <w:p w:rsidR="00FC3A9A" w:rsidRPr="00211AAC" w:rsidRDefault="00FC3A9A" w:rsidP="00AF3F9E"/>
        </w:tc>
        <w:tc>
          <w:tcPr>
            <w:tcW w:w="6497" w:type="dxa"/>
            <w:tcMar>
              <w:left w:w="0" w:type="dxa"/>
              <w:right w:w="0" w:type="dxa"/>
            </w:tcMar>
          </w:tcPr>
          <w:p w:rsidR="00FC3A9A" w:rsidRDefault="00FC3A9A" w:rsidP="00AF3F9E">
            <w:r>
              <w:t>M. Windels – terminal manager</w:t>
            </w:r>
          </w:p>
        </w:tc>
      </w:tr>
      <w:tr w:rsidR="000F265C" w:rsidRPr="009066EF" w:rsidTr="00C777A4">
        <w:tc>
          <w:tcPr>
            <w:tcW w:w="2835" w:type="dxa"/>
            <w:tcMar>
              <w:left w:w="0" w:type="dxa"/>
              <w:right w:w="0" w:type="dxa"/>
            </w:tcMar>
          </w:tcPr>
          <w:p w:rsidR="000F265C" w:rsidRPr="00211AAC" w:rsidRDefault="000F265C" w:rsidP="00AF3F9E"/>
        </w:tc>
        <w:tc>
          <w:tcPr>
            <w:tcW w:w="6497" w:type="dxa"/>
            <w:tcMar>
              <w:left w:w="0" w:type="dxa"/>
              <w:right w:w="0" w:type="dxa"/>
            </w:tcMar>
          </w:tcPr>
          <w:p w:rsidR="000F265C" w:rsidRDefault="000F265C" w:rsidP="00AF3F9E">
            <w:r>
              <w:t>M. van Ravenstein – Managing director</w:t>
            </w:r>
          </w:p>
        </w:tc>
      </w:tr>
      <w:tr w:rsidR="0050038F" w:rsidRPr="009066EF" w:rsidTr="00C777A4">
        <w:tc>
          <w:tcPr>
            <w:tcW w:w="2835" w:type="dxa"/>
            <w:tcMar>
              <w:left w:w="0" w:type="dxa"/>
              <w:right w:w="0" w:type="dxa"/>
            </w:tcMar>
          </w:tcPr>
          <w:p w:rsidR="0050038F" w:rsidRPr="00211AAC" w:rsidRDefault="0050038F" w:rsidP="00AF3F9E"/>
        </w:tc>
        <w:tc>
          <w:tcPr>
            <w:tcW w:w="6497" w:type="dxa"/>
            <w:tcMar>
              <w:left w:w="0" w:type="dxa"/>
              <w:right w:w="0" w:type="dxa"/>
            </w:tcMar>
          </w:tcPr>
          <w:p w:rsidR="0050038F" w:rsidRDefault="0050038F" w:rsidP="0050038F">
            <w:pPr>
              <w:spacing w:before="60" w:line="280" w:lineRule="atLeast"/>
            </w:pPr>
            <w:r>
              <w:t>M.  Peeters –  SHE manager</w:t>
            </w:r>
          </w:p>
        </w:tc>
      </w:tr>
      <w:tr w:rsidR="00822F78" w:rsidRPr="009066EF" w:rsidTr="00C777A4">
        <w:tc>
          <w:tcPr>
            <w:tcW w:w="2835" w:type="dxa"/>
            <w:tcMar>
              <w:left w:w="0" w:type="dxa"/>
              <w:right w:w="0" w:type="dxa"/>
            </w:tcMar>
          </w:tcPr>
          <w:p w:rsidR="00822F78" w:rsidRPr="006B45C1" w:rsidRDefault="00822F78" w:rsidP="00AF3F9E">
            <w:pPr>
              <w:rPr>
                <w:lang w:val="en-US"/>
              </w:rPr>
            </w:pPr>
            <w:r w:rsidRPr="006B45C1">
              <w:rPr>
                <w:lang w:val="en-US"/>
              </w:rPr>
              <w:t>Tel.:</w:t>
            </w:r>
          </w:p>
        </w:tc>
        <w:tc>
          <w:tcPr>
            <w:tcW w:w="6497" w:type="dxa"/>
            <w:tcMar>
              <w:left w:w="0" w:type="dxa"/>
              <w:right w:w="0" w:type="dxa"/>
            </w:tcMar>
          </w:tcPr>
          <w:p w:rsidR="00822F78" w:rsidRPr="00031839" w:rsidRDefault="00031839" w:rsidP="00AF3F9E">
            <w:r w:rsidRPr="00031839">
              <w:t>+32 3</w:t>
            </w:r>
            <w:r>
              <w:t>/ 545.</w:t>
            </w:r>
            <w:r w:rsidRPr="00031839">
              <w:t>73</w:t>
            </w:r>
            <w:r>
              <w:t>.</w:t>
            </w:r>
            <w:r w:rsidRPr="00031839">
              <w:t>00</w:t>
            </w:r>
          </w:p>
        </w:tc>
      </w:tr>
      <w:tr w:rsidR="00822F78" w:rsidRPr="009066EF" w:rsidTr="00C777A4">
        <w:tc>
          <w:tcPr>
            <w:tcW w:w="2835" w:type="dxa"/>
            <w:tcMar>
              <w:left w:w="0" w:type="dxa"/>
              <w:right w:w="0" w:type="dxa"/>
            </w:tcMar>
          </w:tcPr>
          <w:p w:rsidR="00822F78" w:rsidRPr="00031839" w:rsidRDefault="00822F78" w:rsidP="00AF3F9E">
            <w:r w:rsidRPr="00031839">
              <w:t>Fax.:</w:t>
            </w:r>
          </w:p>
        </w:tc>
        <w:tc>
          <w:tcPr>
            <w:tcW w:w="6497" w:type="dxa"/>
            <w:tcMar>
              <w:left w:w="0" w:type="dxa"/>
              <w:right w:w="0" w:type="dxa"/>
            </w:tcMar>
          </w:tcPr>
          <w:p w:rsidR="00822F78" w:rsidRPr="00031839" w:rsidRDefault="00031839" w:rsidP="00AF3F9E">
            <w:r>
              <w:t>+32 3/541.</w:t>
            </w:r>
            <w:r w:rsidRPr="00031839">
              <w:t>27</w:t>
            </w:r>
            <w:r>
              <w:t>.</w:t>
            </w:r>
            <w:r w:rsidRPr="00031839">
              <w:t>50</w:t>
            </w:r>
          </w:p>
        </w:tc>
      </w:tr>
      <w:tr w:rsidR="00822F78" w:rsidRPr="00031839" w:rsidTr="00C777A4">
        <w:tc>
          <w:tcPr>
            <w:tcW w:w="2835" w:type="dxa"/>
            <w:tcMar>
              <w:left w:w="0" w:type="dxa"/>
              <w:right w:w="0" w:type="dxa"/>
            </w:tcMar>
          </w:tcPr>
          <w:p w:rsidR="00822F78" w:rsidRPr="006B45C1" w:rsidRDefault="00822F78" w:rsidP="00AF3F9E">
            <w:pPr>
              <w:rPr>
                <w:lang w:val="en-US"/>
              </w:rPr>
            </w:pPr>
            <w:r w:rsidRPr="006B45C1">
              <w:rPr>
                <w:lang w:val="en-US"/>
              </w:rPr>
              <w:t>Contactpersoon:</w:t>
            </w:r>
          </w:p>
        </w:tc>
        <w:tc>
          <w:tcPr>
            <w:tcW w:w="6497" w:type="dxa"/>
            <w:tcMar>
              <w:left w:w="0" w:type="dxa"/>
              <w:right w:w="0" w:type="dxa"/>
            </w:tcMar>
          </w:tcPr>
          <w:p w:rsidR="00031839" w:rsidRDefault="00031839" w:rsidP="00AF3F9E">
            <w:pPr>
              <w:rPr>
                <w:lang w:val="de-DE"/>
              </w:rPr>
            </w:pPr>
            <w:r>
              <w:rPr>
                <w:lang w:val="de-DE"/>
              </w:rPr>
              <w:t>Dhr. P. Versele – milieucoördinator Vopak</w:t>
            </w:r>
          </w:p>
          <w:p w:rsidR="00822F78" w:rsidRPr="00CE6FA3" w:rsidRDefault="00822F78" w:rsidP="00AF3F9E">
            <w:pPr>
              <w:rPr>
                <w:lang w:val="de-DE"/>
              </w:rPr>
            </w:pPr>
            <w:r w:rsidRPr="00CE6FA3">
              <w:rPr>
                <w:lang w:val="de-DE"/>
              </w:rPr>
              <w:t xml:space="preserve">e-mail: </w:t>
            </w:r>
            <w:r w:rsidR="00031839">
              <w:rPr>
                <w:lang w:val="de-DE"/>
              </w:rPr>
              <w:t>patrick.versele@vopak.com</w:t>
            </w:r>
          </w:p>
        </w:tc>
      </w:tr>
    </w:tbl>
    <w:p w:rsidR="000717E1" w:rsidRPr="00CE6FA3" w:rsidRDefault="000717E1" w:rsidP="00AF3F9E">
      <w:pPr>
        <w:rPr>
          <w:lang w:val="de-DE"/>
        </w:rPr>
      </w:pPr>
    </w:p>
    <w:p w:rsidR="00671492" w:rsidRPr="003A3055" w:rsidRDefault="000717E1" w:rsidP="00AF3F9E">
      <w:r>
        <w:t>Voor de initiatiefnemer,</w:t>
      </w:r>
    </w:p>
    <w:p w:rsidR="00613F95" w:rsidRDefault="003A3055" w:rsidP="00AF3F9E">
      <w:pPr>
        <w:rPr>
          <w:lang w:val="nl-NL"/>
        </w:rPr>
        <w:sectPr w:rsidR="00613F95" w:rsidSect="00C54545">
          <w:headerReference w:type="default" r:id="rId16"/>
          <w:pgSz w:w="11909" w:h="16834" w:code="9"/>
          <w:pgMar w:top="1240" w:right="1440" w:bottom="1440" w:left="1440" w:header="454" w:footer="709" w:gutter="0"/>
          <w:pgNumType w:fmt="lowerRoman" w:start="1"/>
          <w:cols w:space="708"/>
        </w:sectPr>
      </w:pPr>
      <w:r>
        <w:rPr>
          <w:noProof/>
        </w:rPr>
        <w:drawing>
          <wp:inline distT="0" distB="0" distL="0" distR="0">
            <wp:extent cx="2319889" cy="1041411"/>
            <wp:effectExtent l="19050" t="0" r="421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329490" cy="1045721"/>
                    </a:xfrm>
                    <a:prstGeom prst="rect">
                      <a:avLst/>
                    </a:prstGeom>
                    <a:noFill/>
                    <a:ln w="9525">
                      <a:noFill/>
                      <a:miter lim="800000"/>
                      <a:headEnd/>
                      <a:tailEnd/>
                    </a:ln>
                  </pic:spPr>
                </pic:pic>
              </a:graphicData>
            </a:graphic>
          </wp:inline>
        </w:drawing>
      </w:r>
    </w:p>
    <w:p w:rsidR="00C93DFC" w:rsidRDefault="00C93DFC" w:rsidP="004F40A7">
      <w:pPr>
        <w:outlineLvl w:val="0"/>
        <w:rPr>
          <w:b/>
          <w:smallCaps/>
          <w:spacing w:val="26"/>
        </w:rPr>
      </w:pPr>
      <w:r w:rsidRPr="00EF5C08">
        <w:rPr>
          <w:b/>
          <w:smallCaps/>
          <w:spacing w:val="26"/>
        </w:rPr>
        <w:lastRenderedPageBreak/>
        <w:t>Externe deskundigen</w:t>
      </w:r>
    </w:p>
    <w:tbl>
      <w:tblPr>
        <w:tblW w:w="9169" w:type="dxa"/>
        <w:tblLook w:val="04A0"/>
      </w:tblPr>
      <w:tblGrid>
        <w:gridCol w:w="4584"/>
        <w:gridCol w:w="4585"/>
      </w:tblGrid>
      <w:tr w:rsidR="00C93DFC" w:rsidRPr="00235ECF" w:rsidTr="00C93DFC">
        <w:tc>
          <w:tcPr>
            <w:tcW w:w="4584" w:type="dxa"/>
          </w:tcPr>
          <w:p w:rsidR="0087769F" w:rsidRPr="00235ECF" w:rsidRDefault="00D95E7E" w:rsidP="00C93DFC">
            <w:pPr>
              <w:pStyle w:val="normal0"/>
              <w:keepNext/>
              <w:spacing w:line="240" w:lineRule="auto"/>
              <w:jc w:val="left"/>
              <w:rPr>
                <w:b/>
                <w:spacing w:val="22"/>
              </w:rPr>
            </w:pPr>
            <w:r>
              <w:rPr>
                <w:b/>
                <w:noProof/>
                <w:spacing w:val="22"/>
                <w:lang w:val="nl-BE"/>
              </w:rPr>
              <w:drawing>
                <wp:anchor distT="0" distB="0" distL="114300" distR="114300" simplePos="0" relativeHeight="251668992" behindDoc="1" locked="0" layoutInCell="1" allowOverlap="1">
                  <wp:simplePos x="0" y="0"/>
                  <wp:positionH relativeFrom="column">
                    <wp:posOffset>2460625</wp:posOffset>
                  </wp:positionH>
                  <wp:positionV relativeFrom="paragraph">
                    <wp:posOffset>274320</wp:posOffset>
                  </wp:positionV>
                  <wp:extent cx="3122930" cy="1009650"/>
                  <wp:effectExtent l="19050" t="0" r="1270" b="0"/>
                  <wp:wrapNone/>
                  <wp:docPr id="4" name="Picture 3" descr="Handtekening 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tekening EVE.jpg"/>
                          <pic:cNvPicPr/>
                        </pic:nvPicPr>
                        <pic:blipFill>
                          <a:blip r:embed="rId18" cstate="print"/>
                          <a:stretch>
                            <a:fillRect/>
                          </a:stretch>
                        </pic:blipFill>
                        <pic:spPr>
                          <a:xfrm>
                            <a:off x="0" y="0"/>
                            <a:ext cx="3122930" cy="1009650"/>
                          </a:xfrm>
                          <a:prstGeom prst="rect">
                            <a:avLst/>
                          </a:prstGeom>
                        </pic:spPr>
                      </pic:pic>
                    </a:graphicData>
                  </a:graphic>
                </wp:anchor>
              </w:drawing>
            </w:r>
            <w:r w:rsidR="00C93DFC">
              <w:rPr>
                <w:b/>
                <w:noProof/>
                <w:spacing w:val="22"/>
                <w:lang w:val="nl-BE"/>
              </w:rPr>
              <w:drawing>
                <wp:anchor distT="0" distB="0" distL="114300" distR="114300" simplePos="0" relativeHeight="251663872" behindDoc="1" locked="0" layoutInCell="1" allowOverlap="1">
                  <wp:simplePos x="0" y="0"/>
                  <wp:positionH relativeFrom="column">
                    <wp:posOffset>-76200</wp:posOffset>
                  </wp:positionH>
                  <wp:positionV relativeFrom="paragraph">
                    <wp:posOffset>274320</wp:posOffset>
                  </wp:positionV>
                  <wp:extent cx="2009775" cy="914400"/>
                  <wp:effectExtent l="19050" t="0" r="9525" b="0"/>
                  <wp:wrapNone/>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srcRect/>
                          <a:stretch>
                            <a:fillRect/>
                          </a:stretch>
                        </pic:blipFill>
                        <pic:spPr bwMode="auto">
                          <a:xfrm>
                            <a:off x="0" y="0"/>
                            <a:ext cx="2009775" cy="914400"/>
                          </a:xfrm>
                          <a:prstGeom prst="rect">
                            <a:avLst/>
                          </a:prstGeom>
                          <a:noFill/>
                        </pic:spPr>
                      </pic:pic>
                    </a:graphicData>
                  </a:graphic>
                </wp:anchor>
              </w:drawing>
            </w:r>
            <w:r w:rsidR="00C93DFC" w:rsidRPr="00235ECF">
              <w:rPr>
                <w:b/>
                <w:spacing w:val="22"/>
              </w:rPr>
              <w:t>MER-coördinatie</w:t>
            </w:r>
            <w:r w:rsidR="00C93DFC" w:rsidRPr="00235ECF">
              <w:rPr>
                <w:b/>
                <w:spacing w:val="22"/>
              </w:rPr>
              <w:br/>
            </w:r>
          </w:p>
          <w:p w:rsidR="00C93DFC" w:rsidRDefault="00C93DFC" w:rsidP="00C93DFC">
            <w:pPr>
              <w:spacing w:before="840"/>
            </w:pPr>
          </w:p>
          <w:p w:rsidR="00C93DFC" w:rsidRPr="00376FEC" w:rsidRDefault="00C93DFC" w:rsidP="00C93DFC">
            <w:pPr>
              <w:rPr>
                <w:spacing w:val="20"/>
              </w:rPr>
            </w:pPr>
            <w:r w:rsidRPr="00376FEC">
              <w:rPr>
                <w:spacing w:val="20"/>
              </w:rPr>
              <w:t>Katrien Van Haecke</w:t>
            </w:r>
          </w:p>
          <w:p w:rsidR="00C93DFC" w:rsidRPr="00376FEC" w:rsidRDefault="00C93DFC" w:rsidP="00C93DFC">
            <w:pPr>
              <w:spacing w:after="0"/>
              <w:rPr>
                <w:sz w:val="18"/>
                <w:szCs w:val="18"/>
              </w:rPr>
            </w:pPr>
            <w:r w:rsidRPr="00376FEC">
              <w:rPr>
                <w:sz w:val="18"/>
                <w:szCs w:val="18"/>
              </w:rPr>
              <w:t>Sertius cvba</w:t>
            </w:r>
          </w:p>
          <w:p w:rsidR="00C93DFC" w:rsidRDefault="0087769F" w:rsidP="00C93DFC">
            <w:pPr>
              <w:spacing w:before="0" w:after="0"/>
              <w:rPr>
                <w:sz w:val="18"/>
                <w:szCs w:val="18"/>
              </w:rPr>
            </w:pPr>
            <w:r w:rsidRPr="0087769F">
              <w:rPr>
                <w:sz w:val="18"/>
                <w:szCs w:val="18"/>
              </w:rPr>
              <w:t>Deinsesteenweg 114</w:t>
            </w:r>
          </w:p>
          <w:p w:rsidR="0087769F" w:rsidRPr="0087769F" w:rsidRDefault="0087769F" w:rsidP="00C93DFC">
            <w:pPr>
              <w:spacing w:before="0" w:after="0"/>
              <w:rPr>
                <w:sz w:val="18"/>
                <w:szCs w:val="18"/>
              </w:rPr>
            </w:pPr>
            <w:r>
              <w:rPr>
                <w:sz w:val="18"/>
                <w:szCs w:val="18"/>
              </w:rPr>
              <w:t>9031 Drongen</w:t>
            </w:r>
          </w:p>
          <w:p w:rsidR="00C93DFC" w:rsidRPr="00D2132C" w:rsidRDefault="00C93DFC" w:rsidP="00C93DFC">
            <w:pPr>
              <w:spacing w:before="0" w:after="0"/>
              <w:rPr>
                <w:sz w:val="18"/>
                <w:szCs w:val="18"/>
              </w:rPr>
            </w:pPr>
            <w:r w:rsidRPr="00D2132C">
              <w:rPr>
                <w:sz w:val="18"/>
                <w:szCs w:val="18"/>
              </w:rPr>
              <w:t>e-mail: katrien.vanhaecke@sertius.be</w:t>
            </w:r>
          </w:p>
          <w:p w:rsidR="00C93DFC" w:rsidRPr="00235ECF" w:rsidRDefault="00C93DFC" w:rsidP="00C93DFC">
            <w:pPr>
              <w:spacing w:before="0" w:after="0"/>
              <w:ind w:left="1653" w:hanging="1653"/>
              <w:rPr>
                <w:sz w:val="18"/>
                <w:szCs w:val="18"/>
              </w:rPr>
            </w:pPr>
            <w:r>
              <w:rPr>
                <w:sz w:val="18"/>
                <w:szCs w:val="18"/>
              </w:rPr>
              <w:t>ref. erkenningsbesluit:</w:t>
            </w:r>
            <w:r>
              <w:rPr>
                <w:sz w:val="18"/>
                <w:szCs w:val="18"/>
              </w:rPr>
              <w:tab/>
            </w:r>
            <w:r w:rsidRPr="00235ECF">
              <w:rPr>
                <w:sz w:val="18"/>
                <w:szCs w:val="18"/>
              </w:rPr>
              <w:t>MER/EDA/6</w:t>
            </w:r>
            <w:r>
              <w:rPr>
                <w:sz w:val="18"/>
                <w:szCs w:val="18"/>
              </w:rPr>
              <w:t>43/V1</w:t>
            </w:r>
          </w:p>
          <w:p w:rsidR="00C93DFC" w:rsidRPr="00235ECF" w:rsidRDefault="00C93DFC" w:rsidP="00C93DFC">
            <w:pPr>
              <w:spacing w:before="0"/>
              <w:ind w:left="1701" w:hanging="1701"/>
              <w:rPr>
                <w:sz w:val="18"/>
                <w:szCs w:val="18"/>
              </w:rPr>
            </w:pPr>
            <w:r>
              <w:rPr>
                <w:sz w:val="18"/>
                <w:szCs w:val="18"/>
              </w:rPr>
              <w:t>einddatum erkenning: 11/05</w:t>
            </w:r>
            <w:r w:rsidRPr="00235ECF">
              <w:rPr>
                <w:sz w:val="18"/>
                <w:szCs w:val="18"/>
              </w:rPr>
              <w:t>/201</w:t>
            </w:r>
            <w:r>
              <w:rPr>
                <w:sz w:val="18"/>
                <w:szCs w:val="18"/>
              </w:rPr>
              <w:t>5</w:t>
            </w:r>
          </w:p>
        </w:tc>
        <w:tc>
          <w:tcPr>
            <w:tcW w:w="4585" w:type="dxa"/>
          </w:tcPr>
          <w:p w:rsidR="00C93DFC" w:rsidRPr="00235ECF" w:rsidRDefault="0087769F" w:rsidP="00C93DFC">
            <w:pPr>
              <w:pStyle w:val="normal0"/>
              <w:keepNext/>
              <w:spacing w:line="240" w:lineRule="auto"/>
              <w:rPr>
                <w:b/>
                <w:spacing w:val="22"/>
              </w:rPr>
            </w:pPr>
            <w:r w:rsidRPr="00235ECF">
              <w:rPr>
                <w:b/>
                <w:spacing w:val="22"/>
              </w:rPr>
              <w:t>discipline water (</w:t>
            </w:r>
            <w:r>
              <w:rPr>
                <w:b/>
                <w:spacing w:val="22"/>
              </w:rPr>
              <w:t>oppervlaktewater</w:t>
            </w:r>
            <w:r w:rsidRPr="00235ECF">
              <w:rPr>
                <w:b/>
                <w:spacing w:val="22"/>
              </w:rPr>
              <w:t>)</w:t>
            </w:r>
            <w:r w:rsidR="00C93DFC" w:rsidRPr="00235ECF">
              <w:rPr>
                <w:b/>
                <w:spacing w:val="22"/>
              </w:rPr>
              <w:br/>
            </w:r>
          </w:p>
          <w:p w:rsidR="00C93DFC" w:rsidRDefault="00C93DFC" w:rsidP="00C93DFC">
            <w:pPr>
              <w:spacing w:before="840"/>
            </w:pPr>
          </w:p>
          <w:p w:rsidR="0087769F" w:rsidRDefault="0087769F" w:rsidP="0087769F">
            <w:pPr>
              <w:rPr>
                <w:spacing w:val="20"/>
              </w:rPr>
            </w:pPr>
            <w:r w:rsidRPr="0087769F">
              <w:rPr>
                <w:spacing w:val="20"/>
              </w:rPr>
              <w:t>Evert Vecauteren</w:t>
            </w:r>
          </w:p>
          <w:p w:rsidR="0087769F" w:rsidRPr="0087769F" w:rsidRDefault="0087769F" w:rsidP="0087769F">
            <w:pPr>
              <w:rPr>
                <w:spacing w:val="20"/>
              </w:rPr>
            </w:pPr>
            <w:r w:rsidRPr="0087769F">
              <w:rPr>
                <w:sz w:val="18"/>
                <w:szCs w:val="18"/>
              </w:rPr>
              <w:t>Sertius cvba</w:t>
            </w:r>
          </w:p>
          <w:p w:rsidR="0087769F" w:rsidRDefault="0087769F" w:rsidP="0087769F">
            <w:pPr>
              <w:spacing w:before="0" w:after="0"/>
              <w:rPr>
                <w:sz w:val="18"/>
                <w:szCs w:val="18"/>
              </w:rPr>
            </w:pPr>
            <w:r w:rsidRPr="0087769F">
              <w:rPr>
                <w:sz w:val="18"/>
                <w:szCs w:val="18"/>
              </w:rPr>
              <w:t>Deinsesteenweg 114</w:t>
            </w:r>
          </w:p>
          <w:p w:rsidR="0087769F" w:rsidRPr="00376FEC" w:rsidRDefault="0087769F" w:rsidP="0087769F">
            <w:pPr>
              <w:spacing w:before="0" w:after="0"/>
              <w:rPr>
                <w:sz w:val="18"/>
                <w:szCs w:val="18"/>
              </w:rPr>
            </w:pPr>
            <w:r w:rsidRPr="00376FEC">
              <w:rPr>
                <w:sz w:val="18"/>
                <w:szCs w:val="18"/>
              </w:rPr>
              <w:t>9031 Drongen</w:t>
            </w:r>
          </w:p>
          <w:p w:rsidR="00C93DFC" w:rsidRPr="00376FEC" w:rsidRDefault="00C93DFC" w:rsidP="00C93DFC">
            <w:pPr>
              <w:spacing w:before="0" w:after="0"/>
              <w:rPr>
                <w:sz w:val="18"/>
                <w:szCs w:val="18"/>
              </w:rPr>
            </w:pPr>
            <w:r w:rsidRPr="00376FEC">
              <w:rPr>
                <w:sz w:val="18"/>
                <w:szCs w:val="18"/>
              </w:rPr>
              <w:t xml:space="preserve">e-mail: </w:t>
            </w:r>
            <w:r w:rsidR="0087769F" w:rsidRPr="00376FEC">
              <w:rPr>
                <w:sz w:val="18"/>
                <w:szCs w:val="18"/>
              </w:rPr>
              <w:t>evert.vercauteren</w:t>
            </w:r>
            <w:r w:rsidRPr="00376FEC">
              <w:rPr>
                <w:sz w:val="18"/>
                <w:szCs w:val="18"/>
              </w:rPr>
              <w:t>@sertius.be</w:t>
            </w:r>
          </w:p>
          <w:p w:rsidR="00C93DFC" w:rsidRPr="00235ECF" w:rsidRDefault="00C93DFC" w:rsidP="00C93DFC">
            <w:pPr>
              <w:spacing w:before="0" w:after="0"/>
              <w:ind w:left="1653" w:hanging="1653"/>
              <w:rPr>
                <w:sz w:val="18"/>
                <w:szCs w:val="18"/>
              </w:rPr>
            </w:pPr>
            <w:r>
              <w:rPr>
                <w:sz w:val="18"/>
                <w:szCs w:val="18"/>
              </w:rPr>
              <w:t>ref. erkenningsbesluit:</w:t>
            </w:r>
            <w:r w:rsidR="0087769F" w:rsidRPr="001F2C5B">
              <w:rPr>
                <w:rFonts w:cs="Arial"/>
                <w:szCs w:val="18"/>
              </w:rPr>
              <w:t xml:space="preserve"> MER/EDA/315</w:t>
            </w:r>
            <w:r w:rsidR="0087769F">
              <w:rPr>
                <w:rFonts w:cs="Arial"/>
                <w:szCs w:val="18"/>
              </w:rPr>
              <w:t>/V</w:t>
            </w:r>
          </w:p>
          <w:p w:rsidR="00C93DFC" w:rsidRPr="00235ECF" w:rsidRDefault="0087769F" w:rsidP="00C93DFC">
            <w:pPr>
              <w:spacing w:before="0"/>
              <w:ind w:left="1653" w:hanging="1653"/>
              <w:rPr>
                <w:sz w:val="18"/>
                <w:szCs w:val="18"/>
              </w:rPr>
            </w:pPr>
            <w:r>
              <w:rPr>
                <w:sz w:val="18"/>
                <w:szCs w:val="18"/>
              </w:rPr>
              <w:t>einddatum erkenning: 05/12</w:t>
            </w:r>
            <w:r w:rsidR="00C93DFC" w:rsidRPr="00235ECF">
              <w:rPr>
                <w:sz w:val="18"/>
                <w:szCs w:val="18"/>
              </w:rPr>
              <w:t>/201</w:t>
            </w:r>
            <w:r w:rsidR="00C93DFC">
              <w:rPr>
                <w:sz w:val="18"/>
                <w:szCs w:val="18"/>
              </w:rPr>
              <w:t>5</w:t>
            </w:r>
          </w:p>
        </w:tc>
      </w:tr>
      <w:tr w:rsidR="00C93DFC" w:rsidRPr="00235ECF" w:rsidTr="00C93DFC">
        <w:tc>
          <w:tcPr>
            <w:tcW w:w="4584" w:type="dxa"/>
          </w:tcPr>
          <w:p w:rsidR="00C93DFC" w:rsidRPr="007F515A" w:rsidRDefault="00C93DFC" w:rsidP="00C93DFC">
            <w:pPr>
              <w:pStyle w:val="normal0"/>
              <w:keepNext/>
              <w:spacing w:line="240" w:lineRule="auto"/>
              <w:ind w:left="2410" w:hanging="2410"/>
              <w:rPr>
                <w:b/>
                <w:spacing w:val="22"/>
              </w:rPr>
            </w:pPr>
            <w:r>
              <w:rPr>
                <w:b/>
                <w:noProof/>
                <w:spacing w:val="22"/>
                <w:lang w:val="nl-BE"/>
              </w:rPr>
              <w:drawing>
                <wp:anchor distT="0" distB="0" distL="114300" distR="114300" simplePos="0" relativeHeight="251662848" behindDoc="1" locked="0" layoutInCell="1" allowOverlap="1">
                  <wp:simplePos x="0" y="0"/>
                  <wp:positionH relativeFrom="column">
                    <wp:posOffset>-245745</wp:posOffset>
                  </wp:positionH>
                  <wp:positionV relativeFrom="paragraph">
                    <wp:posOffset>95250</wp:posOffset>
                  </wp:positionV>
                  <wp:extent cx="2133600" cy="1381125"/>
                  <wp:effectExtent l="19050" t="0" r="0" b="0"/>
                  <wp:wrapNone/>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2133600" cy="1381125"/>
                          </a:xfrm>
                          <a:prstGeom prst="rect">
                            <a:avLst/>
                          </a:prstGeom>
                          <a:noFill/>
                        </pic:spPr>
                      </pic:pic>
                    </a:graphicData>
                  </a:graphic>
                </wp:anchor>
              </w:drawing>
            </w:r>
            <w:r>
              <w:rPr>
                <w:b/>
                <w:spacing w:val="22"/>
              </w:rPr>
              <w:t>d</w:t>
            </w:r>
            <w:r w:rsidRPr="007F515A">
              <w:rPr>
                <w:b/>
                <w:spacing w:val="22"/>
              </w:rPr>
              <w:t xml:space="preserve">iscipline </w:t>
            </w:r>
            <w:r>
              <w:rPr>
                <w:b/>
                <w:spacing w:val="22"/>
              </w:rPr>
              <w:t>lucht</w:t>
            </w:r>
          </w:p>
          <w:p w:rsidR="00C93DFC" w:rsidRDefault="00C93DFC" w:rsidP="00C93DFC">
            <w:pPr>
              <w:spacing w:before="840"/>
            </w:pPr>
          </w:p>
          <w:p w:rsidR="00C93DFC" w:rsidRPr="007F515A" w:rsidRDefault="00C93DFC" w:rsidP="00C93DFC">
            <w:pPr>
              <w:rPr>
                <w:spacing w:val="20"/>
              </w:rPr>
            </w:pPr>
            <w:r>
              <w:rPr>
                <w:spacing w:val="20"/>
              </w:rPr>
              <w:t>Johan Versieren</w:t>
            </w:r>
          </w:p>
          <w:p w:rsidR="00C93DFC" w:rsidRPr="00D2132C" w:rsidRDefault="00C93DFC" w:rsidP="00C93DFC">
            <w:pPr>
              <w:spacing w:after="0"/>
              <w:rPr>
                <w:sz w:val="18"/>
                <w:szCs w:val="18"/>
              </w:rPr>
            </w:pPr>
            <w:r w:rsidRPr="00D2132C">
              <w:rPr>
                <w:sz w:val="18"/>
                <w:szCs w:val="18"/>
              </w:rPr>
              <w:t>Milieubureau Joveco</w:t>
            </w:r>
          </w:p>
          <w:p w:rsidR="00C93DFC" w:rsidRPr="00D2132C" w:rsidRDefault="00C93DFC" w:rsidP="00C93DFC">
            <w:pPr>
              <w:spacing w:before="0" w:after="0"/>
              <w:rPr>
                <w:sz w:val="18"/>
                <w:szCs w:val="18"/>
              </w:rPr>
            </w:pPr>
            <w:r w:rsidRPr="00D2132C">
              <w:rPr>
                <w:sz w:val="18"/>
                <w:szCs w:val="18"/>
              </w:rPr>
              <w:t>Kriegsberg 29b</w:t>
            </w:r>
          </w:p>
          <w:p w:rsidR="00C93DFC" w:rsidRPr="00D2132C" w:rsidRDefault="00C93DFC" w:rsidP="00C93DFC">
            <w:pPr>
              <w:spacing w:before="0" w:after="0"/>
              <w:rPr>
                <w:sz w:val="18"/>
                <w:szCs w:val="18"/>
              </w:rPr>
            </w:pPr>
            <w:r w:rsidRPr="00D2132C">
              <w:rPr>
                <w:sz w:val="18"/>
                <w:szCs w:val="18"/>
              </w:rPr>
              <w:t>3221 Holsbeek</w:t>
            </w:r>
          </w:p>
          <w:p w:rsidR="00C93DFC" w:rsidRPr="00D2132C" w:rsidRDefault="00C93DFC" w:rsidP="00C93DFC">
            <w:pPr>
              <w:spacing w:before="0" w:after="0"/>
              <w:rPr>
                <w:sz w:val="18"/>
                <w:szCs w:val="18"/>
              </w:rPr>
            </w:pPr>
            <w:r w:rsidRPr="00D2132C">
              <w:rPr>
                <w:sz w:val="18"/>
                <w:szCs w:val="18"/>
              </w:rPr>
              <w:t>e-mail: joveco@scarlet.be</w:t>
            </w:r>
          </w:p>
          <w:p w:rsidR="00C93DFC" w:rsidRPr="00D2132C" w:rsidRDefault="00C93DFC" w:rsidP="00C93DFC">
            <w:pPr>
              <w:spacing w:before="0" w:after="0"/>
              <w:ind w:left="1701" w:hanging="1701"/>
              <w:rPr>
                <w:sz w:val="18"/>
                <w:szCs w:val="18"/>
              </w:rPr>
            </w:pPr>
            <w:r w:rsidRPr="00D2132C">
              <w:rPr>
                <w:sz w:val="18"/>
                <w:szCs w:val="18"/>
              </w:rPr>
              <w:t>ref. erkenningsbesluit:</w:t>
            </w:r>
            <w:r w:rsidRPr="00D2132C">
              <w:rPr>
                <w:sz w:val="18"/>
                <w:szCs w:val="18"/>
              </w:rPr>
              <w:tab/>
            </w:r>
            <w:r>
              <w:rPr>
                <w:sz w:val="18"/>
                <w:szCs w:val="18"/>
              </w:rPr>
              <w:t>MB/MER/EDA/059/V-4</w:t>
            </w:r>
          </w:p>
          <w:p w:rsidR="00C93DFC" w:rsidRPr="00D2132C" w:rsidRDefault="00C93DFC" w:rsidP="00C93DFC">
            <w:pPr>
              <w:spacing w:before="0"/>
              <w:ind w:left="1701" w:hanging="1701"/>
              <w:rPr>
                <w:sz w:val="18"/>
                <w:szCs w:val="18"/>
              </w:rPr>
            </w:pPr>
            <w:r w:rsidRPr="00D2132C">
              <w:rPr>
                <w:sz w:val="18"/>
                <w:szCs w:val="18"/>
              </w:rPr>
              <w:t xml:space="preserve">einddatum erkenning: </w:t>
            </w:r>
            <w:r w:rsidRPr="00D2132C">
              <w:rPr>
                <w:sz w:val="18"/>
                <w:szCs w:val="18"/>
              </w:rPr>
              <w:tab/>
              <w:t>11/05/201</w:t>
            </w:r>
            <w:r>
              <w:rPr>
                <w:sz w:val="18"/>
                <w:szCs w:val="18"/>
              </w:rPr>
              <w:t>5</w:t>
            </w:r>
          </w:p>
        </w:tc>
        <w:tc>
          <w:tcPr>
            <w:tcW w:w="4585" w:type="dxa"/>
          </w:tcPr>
          <w:p w:rsidR="00C93DFC" w:rsidRPr="007F515A" w:rsidRDefault="00C93DFC" w:rsidP="00C93DFC">
            <w:pPr>
              <w:pStyle w:val="normal0"/>
              <w:keepNext/>
              <w:spacing w:line="240" w:lineRule="auto"/>
              <w:ind w:left="2410" w:hanging="2410"/>
              <w:rPr>
                <w:b/>
                <w:spacing w:val="22"/>
              </w:rPr>
            </w:pPr>
            <w:r>
              <w:rPr>
                <w:b/>
                <w:noProof/>
                <w:spacing w:val="22"/>
                <w:lang w:val="nl-BE"/>
              </w:rPr>
              <w:drawing>
                <wp:anchor distT="0" distB="0" distL="114300" distR="114300" simplePos="0" relativeHeight="251667968" behindDoc="1" locked="0" layoutInCell="1" allowOverlap="1">
                  <wp:simplePos x="0" y="0"/>
                  <wp:positionH relativeFrom="column">
                    <wp:posOffset>-168275</wp:posOffset>
                  </wp:positionH>
                  <wp:positionV relativeFrom="paragraph">
                    <wp:posOffset>247015</wp:posOffset>
                  </wp:positionV>
                  <wp:extent cx="1749425" cy="966470"/>
                  <wp:effectExtent l="19050" t="0" r="3175" b="0"/>
                  <wp:wrapNone/>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1749425" cy="966470"/>
                          </a:xfrm>
                          <a:prstGeom prst="rect">
                            <a:avLst/>
                          </a:prstGeom>
                          <a:noFill/>
                        </pic:spPr>
                      </pic:pic>
                    </a:graphicData>
                  </a:graphic>
                </wp:anchor>
              </w:drawing>
            </w:r>
            <w:r>
              <w:rPr>
                <w:b/>
                <w:spacing w:val="22"/>
              </w:rPr>
              <w:t>d</w:t>
            </w:r>
            <w:r w:rsidRPr="007F515A">
              <w:rPr>
                <w:b/>
                <w:spacing w:val="22"/>
              </w:rPr>
              <w:t xml:space="preserve">iscipline </w:t>
            </w:r>
            <w:r>
              <w:rPr>
                <w:b/>
                <w:spacing w:val="22"/>
              </w:rPr>
              <w:t>mens</w:t>
            </w:r>
          </w:p>
          <w:p w:rsidR="00C93DFC" w:rsidRPr="009839F0" w:rsidRDefault="00C93DFC" w:rsidP="00C93DFC">
            <w:pPr>
              <w:spacing w:before="840"/>
              <w:rPr>
                <w:lang w:val="nl-NL"/>
              </w:rPr>
            </w:pPr>
          </w:p>
          <w:p w:rsidR="00C93DFC" w:rsidRPr="007F515A" w:rsidRDefault="00C93DFC" w:rsidP="00C93DFC">
            <w:pPr>
              <w:rPr>
                <w:spacing w:val="20"/>
              </w:rPr>
            </w:pPr>
            <w:r>
              <w:rPr>
                <w:spacing w:val="20"/>
              </w:rPr>
              <w:t>Ulrik Van Soom</w:t>
            </w:r>
          </w:p>
          <w:p w:rsidR="00C93DFC" w:rsidRPr="00D2132C" w:rsidRDefault="00C93DFC" w:rsidP="00C93DFC">
            <w:pPr>
              <w:spacing w:after="0"/>
              <w:rPr>
                <w:sz w:val="18"/>
                <w:szCs w:val="18"/>
              </w:rPr>
            </w:pPr>
            <w:r w:rsidRPr="00D2132C">
              <w:rPr>
                <w:sz w:val="18"/>
                <w:szCs w:val="18"/>
              </w:rPr>
              <w:t>Mensura</w:t>
            </w:r>
          </w:p>
          <w:p w:rsidR="00C93DFC" w:rsidRPr="00D2132C" w:rsidRDefault="00C93DFC" w:rsidP="00C93DFC">
            <w:pPr>
              <w:spacing w:before="0" w:after="0"/>
              <w:rPr>
                <w:sz w:val="18"/>
                <w:szCs w:val="18"/>
              </w:rPr>
            </w:pPr>
            <w:r w:rsidRPr="00D2132C">
              <w:rPr>
                <w:sz w:val="18"/>
                <w:szCs w:val="18"/>
              </w:rPr>
              <w:t>Italiëlei 2</w:t>
            </w:r>
          </w:p>
          <w:p w:rsidR="00C93DFC" w:rsidRPr="00D2132C" w:rsidRDefault="00C93DFC" w:rsidP="00C93DFC">
            <w:pPr>
              <w:spacing w:before="0" w:after="0"/>
              <w:rPr>
                <w:sz w:val="18"/>
                <w:szCs w:val="18"/>
              </w:rPr>
            </w:pPr>
            <w:r w:rsidRPr="00D2132C">
              <w:rPr>
                <w:sz w:val="18"/>
                <w:szCs w:val="18"/>
              </w:rPr>
              <w:t>2000 Antwerpen</w:t>
            </w:r>
          </w:p>
          <w:p w:rsidR="00C93DFC" w:rsidRPr="00D2132C" w:rsidRDefault="00C93DFC" w:rsidP="00C93DFC">
            <w:pPr>
              <w:spacing w:before="0" w:after="0"/>
              <w:rPr>
                <w:sz w:val="18"/>
                <w:szCs w:val="18"/>
              </w:rPr>
            </w:pPr>
            <w:r w:rsidRPr="00D2132C">
              <w:rPr>
                <w:sz w:val="18"/>
                <w:szCs w:val="18"/>
              </w:rPr>
              <w:t>e-mail: Ulrik.Vansoom@mensura.be</w:t>
            </w:r>
          </w:p>
          <w:p w:rsidR="00C93DFC" w:rsidRPr="00D2132C" w:rsidRDefault="00C93DFC" w:rsidP="00C93DFC">
            <w:pPr>
              <w:spacing w:before="0" w:after="0"/>
              <w:ind w:left="1701" w:hanging="1701"/>
              <w:rPr>
                <w:sz w:val="18"/>
                <w:szCs w:val="18"/>
              </w:rPr>
            </w:pPr>
            <w:r w:rsidRPr="00D2132C">
              <w:rPr>
                <w:sz w:val="18"/>
                <w:szCs w:val="18"/>
              </w:rPr>
              <w:t>ref. erkenningsbesluit:</w:t>
            </w:r>
            <w:r w:rsidRPr="00D2132C">
              <w:rPr>
                <w:sz w:val="18"/>
                <w:szCs w:val="18"/>
              </w:rPr>
              <w:tab/>
              <w:t>MB/MER/EDA-351/V3</w:t>
            </w:r>
          </w:p>
          <w:p w:rsidR="00C93DFC" w:rsidRPr="00D2132C" w:rsidRDefault="00C93DFC" w:rsidP="00C93DFC">
            <w:pPr>
              <w:spacing w:before="0"/>
              <w:ind w:left="1653" w:hanging="1653"/>
              <w:rPr>
                <w:sz w:val="18"/>
                <w:szCs w:val="18"/>
              </w:rPr>
            </w:pPr>
            <w:r w:rsidRPr="00D2132C">
              <w:rPr>
                <w:sz w:val="18"/>
                <w:szCs w:val="18"/>
              </w:rPr>
              <w:t xml:space="preserve">einddatum erkenning: </w:t>
            </w:r>
            <w:r w:rsidRPr="00D2132C">
              <w:rPr>
                <w:sz w:val="18"/>
                <w:szCs w:val="18"/>
              </w:rPr>
              <w:tab/>
              <w:t>13/11/2012</w:t>
            </w:r>
          </w:p>
        </w:tc>
      </w:tr>
      <w:tr w:rsidR="00C93DFC" w:rsidRPr="00235ECF" w:rsidTr="00C93DFC">
        <w:tc>
          <w:tcPr>
            <w:tcW w:w="4584" w:type="dxa"/>
          </w:tcPr>
          <w:p w:rsidR="00C93DFC" w:rsidRPr="00D2132C" w:rsidRDefault="00C93DFC" w:rsidP="00C93DFC">
            <w:pPr>
              <w:spacing w:before="0"/>
              <w:ind w:left="1701" w:hanging="1701"/>
              <w:rPr>
                <w:sz w:val="18"/>
                <w:szCs w:val="18"/>
              </w:rPr>
            </w:pPr>
          </w:p>
        </w:tc>
        <w:tc>
          <w:tcPr>
            <w:tcW w:w="4585" w:type="dxa"/>
          </w:tcPr>
          <w:p w:rsidR="00C93DFC" w:rsidRDefault="00C93DFC" w:rsidP="00C93DFC">
            <w:pPr>
              <w:pStyle w:val="normal0"/>
              <w:keepNext/>
              <w:spacing w:line="240" w:lineRule="auto"/>
              <w:ind w:left="2410" w:hanging="2410"/>
              <w:rPr>
                <w:b/>
                <w:spacing w:val="22"/>
              </w:rPr>
            </w:pPr>
          </w:p>
        </w:tc>
      </w:tr>
    </w:tbl>
    <w:p w:rsidR="00C93DFC" w:rsidRDefault="00C93DFC" w:rsidP="00C93DFC">
      <w:pPr>
        <w:spacing w:before="360"/>
        <w:rPr>
          <w:b/>
          <w:smallCaps/>
          <w:sz w:val="28"/>
          <w:szCs w:val="28"/>
        </w:rPr>
      </w:pPr>
      <w:r>
        <w:t>De MER-coördinator wordt voor de uitvoering van zijn taken bijgestaan door Tom Pashuysen, milieu</w:t>
      </w:r>
      <w:r>
        <w:softHyphen/>
        <w:t>consultant bij Sertius cvba.</w:t>
      </w:r>
    </w:p>
    <w:p w:rsidR="00EB1AC4" w:rsidRPr="002B7329" w:rsidRDefault="00EB1AC4" w:rsidP="00AF3F9E"/>
    <w:p w:rsidR="00C93DFC" w:rsidRPr="00EF5C08" w:rsidRDefault="00AD7624" w:rsidP="004F40A7">
      <w:pPr>
        <w:outlineLvl w:val="0"/>
        <w:rPr>
          <w:b/>
          <w:smallCaps/>
          <w:spacing w:val="26"/>
        </w:rPr>
      </w:pPr>
      <w:r>
        <w:br w:type="page"/>
      </w:r>
      <w:r w:rsidR="00C93DFC">
        <w:rPr>
          <w:b/>
          <w:smallCaps/>
          <w:spacing w:val="26"/>
        </w:rPr>
        <w:lastRenderedPageBreak/>
        <w:t>Interne</w:t>
      </w:r>
      <w:r w:rsidR="00C93DFC" w:rsidRPr="00EF5C08">
        <w:rPr>
          <w:b/>
          <w:smallCaps/>
          <w:spacing w:val="26"/>
        </w:rPr>
        <w:t xml:space="preserve"> deskundigen</w:t>
      </w:r>
    </w:p>
    <w:p w:rsidR="00C93DFC" w:rsidRDefault="00C93DFC" w:rsidP="00C93DFC">
      <w:r>
        <w:t>Volgende interne deskundige waren betrokken bij de opmaak van het project-MER:</w:t>
      </w:r>
    </w:p>
    <w:p w:rsidR="00C93DFC" w:rsidRDefault="00770548" w:rsidP="00770548">
      <w:pPr>
        <w:pStyle w:val="ListParagraph"/>
        <w:numPr>
          <w:ilvl w:val="0"/>
          <w:numId w:val="85"/>
        </w:numPr>
        <w:spacing w:before="60" w:line="280" w:lineRule="atLeast"/>
      </w:pPr>
      <w:r>
        <w:t>Van Assche</w:t>
      </w:r>
      <w:r>
        <w:tab/>
      </w:r>
      <w:r w:rsidR="000F6498">
        <w:t>Operational manager</w:t>
      </w:r>
      <w:r>
        <w:t xml:space="preserve"> VTE</w:t>
      </w:r>
    </w:p>
    <w:p w:rsidR="00C93DFC" w:rsidRDefault="000F6498" w:rsidP="00770548">
      <w:pPr>
        <w:spacing w:before="60" w:line="280" w:lineRule="atLeast"/>
        <w:ind w:firstLine="360"/>
      </w:pPr>
      <w:r>
        <w:t>M.</w:t>
      </w:r>
      <w:r w:rsidR="007A7DB5">
        <w:t xml:space="preserve">  </w:t>
      </w:r>
      <w:r w:rsidR="007A7DB5">
        <w:tab/>
      </w:r>
      <w:r>
        <w:t xml:space="preserve"> Peeters</w:t>
      </w:r>
      <w:r w:rsidR="00C93DFC">
        <w:tab/>
      </w:r>
      <w:r w:rsidR="00C93DFC">
        <w:tab/>
      </w:r>
      <w:r>
        <w:t>SHE manager</w:t>
      </w:r>
    </w:p>
    <w:p w:rsidR="00C93DFC" w:rsidRDefault="00C93DFC" w:rsidP="00770548">
      <w:pPr>
        <w:ind w:firstLine="360"/>
      </w:pPr>
      <w:r>
        <w:t xml:space="preserve">P. </w:t>
      </w:r>
      <w:r w:rsidR="007A7DB5">
        <w:tab/>
      </w:r>
      <w:r>
        <w:t>Versele</w:t>
      </w:r>
      <w:r>
        <w:tab/>
      </w:r>
      <w:r w:rsidR="00770548">
        <w:tab/>
      </w:r>
      <w:r>
        <w:t xml:space="preserve">Milieucoördinator </w:t>
      </w:r>
    </w:p>
    <w:p w:rsidR="006F4B5C" w:rsidRDefault="006F4B5C" w:rsidP="005618D4"/>
    <w:p w:rsidR="00AD7624" w:rsidRDefault="00AD7624" w:rsidP="005618D4"/>
    <w:p w:rsidR="00AD7624" w:rsidRDefault="00AD7624" w:rsidP="005618D4"/>
    <w:p w:rsidR="00AF5F28" w:rsidRPr="00F0627C" w:rsidRDefault="00AF5F28" w:rsidP="005618D4"/>
    <w:p w:rsidR="00AF5F28" w:rsidRDefault="00AF5F28" w:rsidP="005618D4"/>
    <w:p w:rsidR="00AF5F28" w:rsidRDefault="00AF5F28" w:rsidP="00AF3F9E">
      <w:pPr>
        <w:sectPr w:rsidR="00AF5F28" w:rsidSect="00C54545">
          <w:headerReference w:type="default" r:id="rId22"/>
          <w:pgSz w:w="11909" w:h="16834" w:code="9"/>
          <w:pgMar w:top="1240" w:right="1440" w:bottom="1440" w:left="1440" w:header="454" w:footer="709" w:gutter="0"/>
          <w:pgNumType w:fmt="lowerRoman" w:start="1"/>
          <w:cols w:space="708"/>
        </w:sectPr>
      </w:pPr>
    </w:p>
    <w:p w:rsidR="00AF5F28" w:rsidRDefault="00AF5F28" w:rsidP="00AF3F9E">
      <w:r>
        <w:lastRenderedPageBreak/>
        <w:t>Inhoud</w:t>
      </w:r>
    </w:p>
    <w:p w:rsidR="008102D8" w:rsidRDefault="00C325A0">
      <w:pPr>
        <w:pStyle w:val="TOC1"/>
        <w:rPr>
          <w:rFonts w:asciiTheme="minorHAnsi" w:eastAsiaTheme="minorEastAsia" w:hAnsiTheme="minorHAnsi" w:cstheme="minorBidi"/>
          <w:b w:val="0"/>
          <w:bCs w:val="0"/>
          <w:caps w:val="0"/>
          <w:noProof/>
          <w:color w:val="auto"/>
          <w:sz w:val="22"/>
          <w:szCs w:val="22"/>
        </w:rPr>
      </w:pPr>
      <w:r w:rsidRPr="00C325A0">
        <w:rPr>
          <w:iCs/>
          <w:spacing w:val="24"/>
          <w:sz w:val="20"/>
          <w:lang w:eastAsia="en-US"/>
        </w:rPr>
        <w:fldChar w:fldCharType="begin"/>
      </w:r>
      <w:r w:rsidR="008576D0">
        <w:instrText xml:space="preserve"> TOC \o "3-6" \N1-1\t "Heading 1;1;Heading 2;2" </w:instrText>
      </w:r>
      <w:r w:rsidRPr="00C325A0">
        <w:rPr>
          <w:iCs/>
          <w:spacing w:val="24"/>
          <w:sz w:val="20"/>
          <w:lang w:eastAsia="en-US"/>
        </w:rPr>
        <w:fldChar w:fldCharType="separate"/>
      </w:r>
      <w:r w:rsidR="008102D8" w:rsidRPr="00676E33">
        <w:rPr>
          <w:noProof/>
        </w:rPr>
        <w:t>I</w:t>
      </w:r>
      <w:r w:rsidR="008102D8">
        <w:rPr>
          <w:rFonts w:asciiTheme="minorHAnsi" w:eastAsiaTheme="minorEastAsia" w:hAnsiTheme="minorHAnsi" w:cstheme="minorBidi"/>
          <w:b w:val="0"/>
          <w:bCs w:val="0"/>
          <w:caps w:val="0"/>
          <w:noProof/>
          <w:color w:val="auto"/>
          <w:sz w:val="22"/>
          <w:szCs w:val="22"/>
        </w:rPr>
        <w:tab/>
      </w:r>
      <w:r w:rsidR="008102D8">
        <w:rPr>
          <w:noProof/>
        </w:rPr>
        <w:t>Algemeen</w:t>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1.</w:t>
      </w:r>
      <w:r>
        <w:rPr>
          <w:rFonts w:asciiTheme="minorHAnsi" w:eastAsiaTheme="minorEastAsia" w:hAnsiTheme="minorHAnsi" w:cstheme="minorBidi"/>
          <w:b w:val="0"/>
          <w:smallCaps w:val="0"/>
          <w:noProof/>
          <w:spacing w:val="0"/>
          <w:sz w:val="22"/>
          <w:szCs w:val="22"/>
        </w:rPr>
        <w:tab/>
      </w:r>
      <w:r>
        <w:rPr>
          <w:noProof/>
        </w:rPr>
        <w:t>Vopak Organisatie</w:t>
      </w:r>
      <w:r>
        <w:rPr>
          <w:noProof/>
        </w:rPr>
        <w:tab/>
      </w:r>
      <w:r w:rsidR="00C325A0">
        <w:rPr>
          <w:noProof/>
        </w:rPr>
        <w:fldChar w:fldCharType="begin"/>
      </w:r>
      <w:r>
        <w:rPr>
          <w:noProof/>
        </w:rPr>
        <w:instrText xml:space="preserve"> PAGEREF _Toc312069193 \h </w:instrText>
      </w:r>
      <w:r w:rsidR="00C325A0">
        <w:rPr>
          <w:noProof/>
        </w:rPr>
      </w:r>
      <w:r w:rsidR="00C325A0">
        <w:rPr>
          <w:noProof/>
        </w:rPr>
        <w:fldChar w:fldCharType="separate"/>
      </w:r>
      <w:r>
        <w:rPr>
          <w:noProof/>
        </w:rPr>
        <w:t>I.1</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2.</w:t>
      </w:r>
      <w:r>
        <w:rPr>
          <w:rFonts w:asciiTheme="minorHAnsi" w:eastAsiaTheme="minorEastAsia" w:hAnsiTheme="minorHAnsi" w:cstheme="minorBidi"/>
          <w:b w:val="0"/>
          <w:smallCaps w:val="0"/>
          <w:noProof/>
          <w:spacing w:val="0"/>
          <w:sz w:val="22"/>
          <w:szCs w:val="22"/>
        </w:rPr>
        <w:tab/>
      </w:r>
      <w:r>
        <w:rPr>
          <w:noProof/>
        </w:rPr>
        <w:t>Vopak Terminal Eurotank (VTE)</w:t>
      </w:r>
      <w:r>
        <w:rPr>
          <w:noProof/>
        </w:rPr>
        <w:tab/>
      </w:r>
      <w:r w:rsidR="00C325A0">
        <w:rPr>
          <w:noProof/>
        </w:rPr>
        <w:fldChar w:fldCharType="begin"/>
      </w:r>
      <w:r>
        <w:rPr>
          <w:noProof/>
        </w:rPr>
        <w:instrText xml:space="preserve"> PAGEREF _Toc312069194 \h </w:instrText>
      </w:r>
      <w:r w:rsidR="00C325A0">
        <w:rPr>
          <w:noProof/>
        </w:rPr>
      </w:r>
      <w:r w:rsidR="00C325A0">
        <w:rPr>
          <w:noProof/>
        </w:rPr>
        <w:fldChar w:fldCharType="separate"/>
      </w:r>
      <w:r>
        <w:rPr>
          <w:noProof/>
        </w:rPr>
        <w:t>I.1</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2.1</w:t>
      </w:r>
      <w:r>
        <w:rPr>
          <w:rFonts w:asciiTheme="minorHAnsi" w:eastAsiaTheme="minorEastAsia" w:hAnsiTheme="minorHAnsi" w:cstheme="minorBidi"/>
          <w:iCs w:val="0"/>
          <w:noProof/>
          <w:spacing w:val="0"/>
          <w:sz w:val="22"/>
          <w:szCs w:val="22"/>
        </w:rPr>
        <w:tab/>
      </w:r>
      <w:r>
        <w:rPr>
          <w:noProof/>
        </w:rPr>
        <w:t>Historiek</w:t>
      </w:r>
      <w:r>
        <w:rPr>
          <w:noProof/>
        </w:rPr>
        <w:tab/>
      </w:r>
      <w:r w:rsidR="00C325A0">
        <w:rPr>
          <w:noProof/>
        </w:rPr>
        <w:fldChar w:fldCharType="begin"/>
      </w:r>
      <w:r>
        <w:rPr>
          <w:noProof/>
        </w:rPr>
        <w:instrText xml:space="preserve"> PAGEREF _Toc312069195 \h </w:instrText>
      </w:r>
      <w:r w:rsidR="00C325A0">
        <w:rPr>
          <w:noProof/>
        </w:rPr>
      </w:r>
      <w:r w:rsidR="00C325A0">
        <w:rPr>
          <w:noProof/>
        </w:rPr>
        <w:fldChar w:fldCharType="separate"/>
      </w:r>
      <w:r>
        <w:rPr>
          <w:noProof/>
        </w:rPr>
        <w:t>I.1</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2.2</w:t>
      </w:r>
      <w:r>
        <w:rPr>
          <w:rFonts w:asciiTheme="minorHAnsi" w:eastAsiaTheme="minorEastAsia" w:hAnsiTheme="minorHAnsi" w:cstheme="minorBidi"/>
          <w:iCs w:val="0"/>
          <w:noProof/>
          <w:spacing w:val="0"/>
          <w:sz w:val="22"/>
          <w:szCs w:val="22"/>
        </w:rPr>
        <w:tab/>
      </w:r>
      <w:r>
        <w:rPr>
          <w:noProof/>
        </w:rPr>
        <w:t>Administratieve voorgeschiedenis</w:t>
      </w:r>
      <w:r>
        <w:rPr>
          <w:noProof/>
        </w:rPr>
        <w:tab/>
      </w:r>
      <w:r w:rsidR="00C325A0">
        <w:rPr>
          <w:noProof/>
        </w:rPr>
        <w:fldChar w:fldCharType="begin"/>
      </w:r>
      <w:r>
        <w:rPr>
          <w:noProof/>
        </w:rPr>
        <w:instrText xml:space="preserve"> PAGEREF _Toc312069196 \h </w:instrText>
      </w:r>
      <w:r w:rsidR="00C325A0">
        <w:rPr>
          <w:noProof/>
        </w:rPr>
      </w:r>
      <w:r w:rsidR="00C325A0">
        <w:rPr>
          <w:noProof/>
        </w:rPr>
        <w:fldChar w:fldCharType="separate"/>
      </w:r>
      <w:r>
        <w:rPr>
          <w:noProof/>
        </w:rPr>
        <w:t>I.1</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3.</w:t>
      </w:r>
      <w:r>
        <w:rPr>
          <w:rFonts w:asciiTheme="minorHAnsi" w:eastAsiaTheme="minorEastAsia" w:hAnsiTheme="minorHAnsi" w:cstheme="minorBidi"/>
          <w:b w:val="0"/>
          <w:smallCaps w:val="0"/>
          <w:noProof/>
          <w:spacing w:val="0"/>
          <w:sz w:val="22"/>
          <w:szCs w:val="22"/>
        </w:rPr>
        <w:tab/>
      </w:r>
      <w:r>
        <w:rPr>
          <w:noProof/>
        </w:rPr>
        <w:t>Het voorgenomen project</w:t>
      </w:r>
      <w:r>
        <w:rPr>
          <w:noProof/>
        </w:rPr>
        <w:tab/>
      </w:r>
      <w:r w:rsidR="00C325A0">
        <w:rPr>
          <w:noProof/>
        </w:rPr>
        <w:fldChar w:fldCharType="begin"/>
      </w:r>
      <w:r>
        <w:rPr>
          <w:noProof/>
        </w:rPr>
        <w:instrText xml:space="preserve"> PAGEREF _Toc312069197 \h </w:instrText>
      </w:r>
      <w:r w:rsidR="00C325A0">
        <w:rPr>
          <w:noProof/>
        </w:rPr>
      </w:r>
      <w:r w:rsidR="00C325A0">
        <w:rPr>
          <w:noProof/>
        </w:rPr>
        <w:fldChar w:fldCharType="separate"/>
      </w:r>
      <w:r>
        <w:rPr>
          <w:noProof/>
        </w:rPr>
        <w:t>I.5</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4.</w:t>
      </w:r>
      <w:r>
        <w:rPr>
          <w:rFonts w:asciiTheme="minorHAnsi" w:eastAsiaTheme="minorEastAsia" w:hAnsiTheme="minorHAnsi" w:cstheme="minorBidi"/>
          <w:b w:val="0"/>
          <w:smallCaps w:val="0"/>
          <w:noProof/>
          <w:spacing w:val="0"/>
          <w:sz w:val="22"/>
          <w:szCs w:val="22"/>
        </w:rPr>
        <w:tab/>
      </w:r>
      <w:r>
        <w:rPr>
          <w:noProof/>
        </w:rPr>
        <w:t>Toetsing MER-plicht van het project</w:t>
      </w:r>
      <w:r>
        <w:rPr>
          <w:noProof/>
        </w:rPr>
        <w:tab/>
      </w:r>
      <w:r w:rsidR="00C325A0">
        <w:rPr>
          <w:noProof/>
        </w:rPr>
        <w:fldChar w:fldCharType="begin"/>
      </w:r>
      <w:r>
        <w:rPr>
          <w:noProof/>
        </w:rPr>
        <w:instrText xml:space="preserve"> PAGEREF _Toc312069198 \h </w:instrText>
      </w:r>
      <w:r w:rsidR="00C325A0">
        <w:rPr>
          <w:noProof/>
        </w:rPr>
      </w:r>
      <w:r w:rsidR="00C325A0">
        <w:rPr>
          <w:noProof/>
        </w:rPr>
        <w:fldChar w:fldCharType="separate"/>
      </w:r>
      <w:r>
        <w:rPr>
          <w:noProof/>
        </w:rPr>
        <w:t>I.10</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5.</w:t>
      </w:r>
      <w:r>
        <w:rPr>
          <w:rFonts w:asciiTheme="minorHAnsi" w:eastAsiaTheme="minorEastAsia" w:hAnsiTheme="minorHAnsi" w:cstheme="minorBidi"/>
          <w:b w:val="0"/>
          <w:smallCaps w:val="0"/>
          <w:noProof/>
          <w:spacing w:val="0"/>
          <w:sz w:val="22"/>
          <w:szCs w:val="22"/>
        </w:rPr>
        <w:tab/>
      </w:r>
      <w:r>
        <w:rPr>
          <w:noProof/>
        </w:rPr>
        <w:t>Verdere besluitvormingsproces</w:t>
      </w:r>
      <w:r>
        <w:rPr>
          <w:noProof/>
        </w:rPr>
        <w:tab/>
      </w:r>
      <w:r w:rsidR="00C325A0">
        <w:rPr>
          <w:noProof/>
        </w:rPr>
        <w:fldChar w:fldCharType="begin"/>
      </w:r>
      <w:r>
        <w:rPr>
          <w:noProof/>
        </w:rPr>
        <w:instrText xml:space="preserve"> PAGEREF _Toc312069199 \h </w:instrText>
      </w:r>
      <w:r w:rsidR="00C325A0">
        <w:rPr>
          <w:noProof/>
        </w:rPr>
      </w:r>
      <w:r w:rsidR="00C325A0">
        <w:rPr>
          <w:noProof/>
        </w:rPr>
        <w:fldChar w:fldCharType="separate"/>
      </w:r>
      <w:r>
        <w:rPr>
          <w:noProof/>
        </w:rPr>
        <w:t>I.10</w:t>
      </w:r>
      <w:r w:rsidR="00C325A0">
        <w:rPr>
          <w:noProof/>
        </w:rPr>
        <w:fldChar w:fldCharType="end"/>
      </w:r>
    </w:p>
    <w:p w:rsidR="008102D8" w:rsidRDefault="008102D8">
      <w:pPr>
        <w:pStyle w:val="TOC1"/>
        <w:rPr>
          <w:rFonts w:asciiTheme="minorHAnsi" w:eastAsiaTheme="minorEastAsia" w:hAnsiTheme="minorHAnsi" w:cstheme="minorBidi"/>
          <w:b w:val="0"/>
          <w:bCs w:val="0"/>
          <w:caps w:val="0"/>
          <w:noProof/>
          <w:color w:val="auto"/>
          <w:sz w:val="22"/>
          <w:szCs w:val="22"/>
        </w:rPr>
      </w:pPr>
      <w:r w:rsidRPr="00676E33">
        <w:rPr>
          <w:noProof/>
        </w:rPr>
        <w:t>II</w:t>
      </w:r>
      <w:r>
        <w:rPr>
          <w:rFonts w:asciiTheme="minorHAnsi" w:eastAsiaTheme="minorEastAsia" w:hAnsiTheme="minorHAnsi" w:cstheme="minorBidi"/>
          <w:b w:val="0"/>
          <w:bCs w:val="0"/>
          <w:caps w:val="0"/>
          <w:noProof/>
          <w:color w:val="auto"/>
          <w:sz w:val="22"/>
          <w:szCs w:val="22"/>
        </w:rPr>
        <w:tab/>
      </w:r>
      <w:r>
        <w:rPr>
          <w:noProof/>
        </w:rPr>
        <w:t>Ruimtelijke situering van de inrichting</w:t>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1.</w:t>
      </w:r>
      <w:r>
        <w:rPr>
          <w:rFonts w:asciiTheme="minorHAnsi" w:eastAsiaTheme="minorEastAsia" w:hAnsiTheme="minorHAnsi" w:cstheme="minorBidi"/>
          <w:b w:val="0"/>
          <w:smallCaps w:val="0"/>
          <w:noProof/>
          <w:spacing w:val="0"/>
          <w:sz w:val="22"/>
          <w:szCs w:val="22"/>
        </w:rPr>
        <w:tab/>
      </w:r>
      <w:r>
        <w:rPr>
          <w:noProof/>
        </w:rPr>
        <w:t>Algemene situering</w:t>
      </w:r>
      <w:r>
        <w:rPr>
          <w:noProof/>
        </w:rPr>
        <w:tab/>
      </w:r>
      <w:r w:rsidR="00C325A0">
        <w:rPr>
          <w:noProof/>
        </w:rPr>
        <w:fldChar w:fldCharType="begin"/>
      </w:r>
      <w:r>
        <w:rPr>
          <w:noProof/>
        </w:rPr>
        <w:instrText xml:space="preserve"> PAGEREF _Toc312069201 \h </w:instrText>
      </w:r>
      <w:r w:rsidR="00C325A0">
        <w:rPr>
          <w:noProof/>
        </w:rPr>
      </w:r>
      <w:r w:rsidR="00C325A0">
        <w:rPr>
          <w:noProof/>
        </w:rPr>
        <w:fldChar w:fldCharType="separate"/>
      </w:r>
      <w:r>
        <w:rPr>
          <w:noProof/>
        </w:rPr>
        <w:t>II.1</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2.</w:t>
      </w:r>
      <w:r>
        <w:rPr>
          <w:rFonts w:asciiTheme="minorHAnsi" w:eastAsiaTheme="minorEastAsia" w:hAnsiTheme="minorHAnsi" w:cstheme="minorBidi"/>
          <w:b w:val="0"/>
          <w:smallCaps w:val="0"/>
          <w:noProof/>
          <w:spacing w:val="0"/>
          <w:sz w:val="22"/>
          <w:szCs w:val="22"/>
        </w:rPr>
        <w:tab/>
      </w:r>
      <w:r>
        <w:rPr>
          <w:noProof/>
        </w:rPr>
        <w:t>Toegangswegen</w:t>
      </w:r>
      <w:r>
        <w:rPr>
          <w:noProof/>
        </w:rPr>
        <w:tab/>
      </w:r>
      <w:r w:rsidR="00C325A0">
        <w:rPr>
          <w:noProof/>
        </w:rPr>
        <w:fldChar w:fldCharType="begin"/>
      </w:r>
      <w:r>
        <w:rPr>
          <w:noProof/>
        </w:rPr>
        <w:instrText xml:space="preserve"> PAGEREF _Toc312069202 \h </w:instrText>
      </w:r>
      <w:r w:rsidR="00C325A0">
        <w:rPr>
          <w:noProof/>
        </w:rPr>
      </w:r>
      <w:r w:rsidR="00C325A0">
        <w:rPr>
          <w:noProof/>
        </w:rPr>
        <w:fldChar w:fldCharType="separate"/>
      </w:r>
      <w:r>
        <w:rPr>
          <w:noProof/>
        </w:rPr>
        <w:t>II.1</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3.</w:t>
      </w:r>
      <w:r>
        <w:rPr>
          <w:rFonts w:asciiTheme="minorHAnsi" w:eastAsiaTheme="minorEastAsia" w:hAnsiTheme="minorHAnsi" w:cstheme="minorBidi"/>
          <w:b w:val="0"/>
          <w:smallCaps w:val="0"/>
          <w:noProof/>
          <w:spacing w:val="0"/>
          <w:sz w:val="22"/>
          <w:szCs w:val="22"/>
        </w:rPr>
        <w:tab/>
      </w:r>
      <w:r>
        <w:rPr>
          <w:noProof/>
        </w:rPr>
        <w:t>Nabije omgeving</w:t>
      </w:r>
      <w:r>
        <w:rPr>
          <w:noProof/>
        </w:rPr>
        <w:tab/>
      </w:r>
      <w:r w:rsidR="00C325A0">
        <w:rPr>
          <w:noProof/>
        </w:rPr>
        <w:fldChar w:fldCharType="begin"/>
      </w:r>
      <w:r>
        <w:rPr>
          <w:noProof/>
        </w:rPr>
        <w:instrText xml:space="preserve"> PAGEREF _Toc312069203 \h </w:instrText>
      </w:r>
      <w:r w:rsidR="00C325A0">
        <w:rPr>
          <w:noProof/>
        </w:rPr>
      </w:r>
      <w:r w:rsidR="00C325A0">
        <w:rPr>
          <w:noProof/>
        </w:rPr>
        <w:fldChar w:fldCharType="separate"/>
      </w:r>
      <w:r>
        <w:rPr>
          <w:noProof/>
        </w:rPr>
        <w:t>II.2</w:t>
      </w:r>
      <w:r w:rsidR="00C325A0">
        <w:rPr>
          <w:noProof/>
        </w:rPr>
        <w:fldChar w:fldCharType="end"/>
      </w:r>
    </w:p>
    <w:p w:rsidR="008102D8" w:rsidRDefault="008102D8">
      <w:pPr>
        <w:pStyle w:val="TOC1"/>
        <w:rPr>
          <w:rFonts w:asciiTheme="minorHAnsi" w:eastAsiaTheme="minorEastAsia" w:hAnsiTheme="minorHAnsi" w:cstheme="minorBidi"/>
          <w:b w:val="0"/>
          <w:bCs w:val="0"/>
          <w:caps w:val="0"/>
          <w:noProof/>
          <w:color w:val="auto"/>
          <w:sz w:val="22"/>
          <w:szCs w:val="22"/>
        </w:rPr>
      </w:pPr>
      <w:r w:rsidRPr="00676E33">
        <w:rPr>
          <w:noProof/>
        </w:rPr>
        <w:t>III</w:t>
      </w:r>
      <w:r>
        <w:rPr>
          <w:rFonts w:asciiTheme="minorHAnsi" w:eastAsiaTheme="minorEastAsia" w:hAnsiTheme="minorHAnsi" w:cstheme="minorBidi"/>
          <w:b w:val="0"/>
          <w:bCs w:val="0"/>
          <w:caps w:val="0"/>
          <w:noProof/>
          <w:color w:val="auto"/>
          <w:sz w:val="22"/>
          <w:szCs w:val="22"/>
        </w:rPr>
        <w:tab/>
      </w:r>
      <w:r>
        <w:rPr>
          <w:noProof/>
        </w:rPr>
        <w:t>Juridische en beleidsmatige randvoorwaarden</w:t>
      </w:r>
    </w:p>
    <w:p w:rsidR="008102D8" w:rsidRDefault="008102D8">
      <w:pPr>
        <w:pStyle w:val="TOC1"/>
        <w:rPr>
          <w:rFonts w:asciiTheme="minorHAnsi" w:eastAsiaTheme="minorEastAsia" w:hAnsiTheme="minorHAnsi" w:cstheme="minorBidi"/>
          <w:b w:val="0"/>
          <w:bCs w:val="0"/>
          <w:caps w:val="0"/>
          <w:noProof/>
          <w:color w:val="auto"/>
          <w:sz w:val="22"/>
          <w:szCs w:val="22"/>
        </w:rPr>
      </w:pPr>
      <w:r w:rsidRPr="00676E33">
        <w:rPr>
          <w:noProof/>
        </w:rPr>
        <w:t>IV</w:t>
      </w:r>
      <w:r>
        <w:rPr>
          <w:rFonts w:asciiTheme="minorHAnsi" w:eastAsiaTheme="minorEastAsia" w:hAnsiTheme="minorHAnsi" w:cstheme="minorBidi"/>
          <w:b w:val="0"/>
          <w:bCs w:val="0"/>
          <w:caps w:val="0"/>
          <w:noProof/>
          <w:color w:val="auto"/>
          <w:sz w:val="22"/>
          <w:szCs w:val="22"/>
        </w:rPr>
        <w:tab/>
      </w:r>
      <w:r>
        <w:rPr>
          <w:noProof/>
        </w:rPr>
        <w:t>Beschrijving van de inrichting</w:t>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1.</w:t>
      </w:r>
      <w:r>
        <w:rPr>
          <w:rFonts w:asciiTheme="minorHAnsi" w:eastAsiaTheme="minorEastAsia" w:hAnsiTheme="minorHAnsi" w:cstheme="minorBidi"/>
          <w:b w:val="0"/>
          <w:smallCaps w:val="0"/>
          <w:noProof/>
          <w:spacing w:val="0"/>
          <w:sz w:val="22"/>
          <w:szCs w:val="22"/>
        </w:rPr>
        <w:tab/>
      </w:r>
      <w:r>
        <w:rPr>
          <w:noProof/>
        </w:rPr>
        <w:t>Algemeen</w:t>
      </w:r>
      <w:r>
        <w:rPr>
          <w:noProof/>
        </w:rPr>
        <w:tab/>
      </w:r>
      <w:r w:rsidR="00C325A0">
        <w:rPr>
          <w:noProof/>
        </w:rPr>
        <w:fldChar w:fldCharType="begin"/>
      </w:r>
      <w:r>
        <w:rPr>
          <w:noProof/>
        </w:rPr>
        <w:instrText xml:space="preserve"> PAGEREF _Toc312069206 \h </w:instrText>
      </w:r>
      <w:r w:rsidR="00C325A0">
        <w:rPr>
          <w:noProof/>
        </w:rPr>
      </w:r>
      <w:r w:rsidR="00C325A0">
        <w:rPr>
          <w:noProof/>
        </w:rPr>
        <w:fldChar w:fldCharType="separate"/>
      </w:r>
      <w:r>
        <w:rPr>
          <w:noProof/>
        </w:rPr>
        <w:t>IV.1</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1.1</w:t>
      </w:r>
      <w:r>
        <w:rPr>
          <w:rFonts w:asciiTheme="minorHAnsi" w:eastAsiaTheme="minorEastAsia" w:hAnsiTheme="minorHAnsi" w:cstheme="minorBidi"/>
          <w:iCs w:val="0"/>
          <w:noProof/>
          <w:spacing w:val="0"/>
          <w:sz w:val="22"/>
          <w:szCs w:val="22"/>
        </w:rPr>
        <w:tab/>
      </w:r>
      <w:r>
        <w:rPr>
          <w:noProof/>
        </w:rPr>
        <w:t>Op- en overslag van vloeistoffen</w:t>
      </w:r>
      <w:r>
        <w:rPr>
          <w:noProof/>
        </w:rPr>
        <w:tab/>
      </w:r>
      <w:r w:rsidR="00C325A0">
        <w:rPr>
          <w:noProof/>
        </w:rPr>
        <w:fldChar w:fldCharType="begin"/>
      </w:r>
      <w:r>
        <w:rPr>
          <w:noProof/>
        </w:rPr>
        <w:instrText xml:space="preserve"> PAGEREF _Toc312069207 \h </w:instrText>
      </w:r>
      <w:r w:rsidR="00C325A0">
        <w:rPr>
          <w:noProof/>
        </w:rPr>
      </w:r>
      <w:r w:rsidR="00C325A0">
        <w:rPr>
          <w:noProof/>
        </w:rPr>
        <w:fldChar w:fldCharType="separate"/>
      </w:r>
      <w:r>
        <w:rPr>
          <w:noProof/>
        </w:rPr>
        <w:t>IV.2</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1.1.1</w:t>
      </w:r>
      <w:r>
        <w:rPr>
          <w:rFonts w:asciiTheme="minorHAnsi" w:eastAsiaTheme="minorEastAsia" w:hAnsiTheme="minorHAnsi" w:cstheme="minorBidi"/>
          <w:noProof/>
          <w:sz w:val="22"/>
          <w:szCs w:val="22"/>
        </w:rPr>
        <w:tab/>
      </w:r>
      <w:r>
        <w:rPr>
          <w:noProof/>
        </w:rPr>
        <w:t>Op- en overslag van vloeistoffen in bulk</w:t>
      </w:r>
      <w:r>
        <w:rPr>
          <w:noProof/>
        </w:rPr>
        <w:tab/>
      </w:r>
      <w:r w:rsidR="00C325A0">
        <w:rPr>
          <w:noProof/>
        </w:rPr>
        <w:fldChar w:fldCharType="begin"/>
      </w:r>
      <w:r>
        <w:rPr>
          <w:noProof/>
        </w:rPr>
        <w:instrText xml:space="preserve"> PAGEREF _Toc312069208 \h </w:instrText>
      </w:r>
      <w:r w:rsidR="00C325A0">
        <w:rPr>
          <w:noProof/>
        </w:rPr>
      </w:r>
      <w:r w:rsidR="00C325A0">
        <w:rPr>
          <w:noProof/>
        </w:rPr>
        <w:fldChar w:fldCharType="separate"/>
      </w:r>
      <w:r>
        <w:rPr>
          <w:noProof/>
        </w:rPr>
        <w:t>IV.2</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1.1.1.1</w:t>
      </w:r>
      <w:r>
        <w:rPr>
          <w:rFonts w:asciiTheme="minorHAnsi" w:eastAsiaTheme="minorEastAsia" w:hAnsiTheme="minorHAnsi" w:cstheme="minorBidi"/>
          <w:smallCaps w:val="0"/>
          <w:noProof/>
          <w:sz w:val="22"/>
          <w:szCs w:val="22"/>
        </w:rPr>
        <w:tab/>
      </w:r>
      <w:r>
        <w:rPr>
          <w:noProof/>
        </w:rPr>
        <w:t>Aard vloeistoffen</w:t>
      </w:r>
      <w:r>
        <w:rPr>
          <w:noProof/>
        </w:rPr>
        <w:tab/>
      </w:r>
      <w:r w:rsidR="00C325A0">
        <w:rPr>
          <w:noProof/>
        </w:rPr>
        <w:fldChar w:fldCharType="begin"/>
      </w:r>
      <w:r>
        <w:rPr>
          <w:noProof/>
        </w:rPr>
        <w:instrText xml:space="preserve"> PAGEREF _Toc312069209 \h </w:instrText>
      </w:r>
      <w:r w:rsidR="00C325A0">
        <w:rPr>
          <w:noProof/>
        </w:rPr>
      </w:r>
      <w:r w:rsidR="00C325A0">
        <w:rPr>
          <w:noProof/>
        </w:rPr>
        <w:fldChar w:fldCharType="separate"/>
      </w:r>
      <w:r>
        <w:rPr>
          <w:noProof/>
        </w:rPr>
        <w:t>IV.2</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1.1.1.2</w:t>
      </w:r>
      <w:r>
        <w:rPr>
          <w:rFonts w:asciiTheme="minorHAnsi" w:eastAsiaTheme="minorEastAsia" w:hAnsiTheme="minorHAnsi" w:cstheme="minorBidi"/>
          <w:smallCaps w:val="0"/>
          <w:noProof/>
          <w:sz w:val="22"/>
          <w:szCs w:val="22"/>
        </w:rPr>
        <w:tab/>
      </w:r>
      <w:r>
        <w:rPr>
          <w:noProof/>
        </w:rPr>
        <w:t>Opslagfaciliteiten</w:t>
      </w:r>
      <w:r>
        <w:rPr>
          <w:noProof/>
        </w:rPr>
        <w:tab/>
      </w:r>
      <w:r w:rsidR="00C325A0">
        <w:rPr>
          <w:noProof/>
        </w:rPr>
        <w:fldChar w:fldCharType="begin"/>
      </w:r>
      <w:r>
        <w:rPr>
          <w:noProof/>
        </w:rPr>
        <w:instrText xml:space="preserve"> PAGEREF _Toc312069210 \h </w:instrText>
      </w:r>
      <w:r w:rsidR="00C325A0">
        <w:rPr>
          <w:noProof/>
        </w:rPr>
      </w:r>
      <w:r w:rsidR="00C325A0">
        <w:rPr>
          <w:noProof/>
        </w:rPr>
        <w:fldChar w:fldCharType="separate"/>
      </w:r>
      <w:r>
        <w:rPr>
          <w:noProof/>
        </w:rPr>
        <w:t>IV.2</w:t>
      </w:r>
      <w:r w:rsidR="00C325A0">
        <w:rPr>
          <w:noProof/>
        </w:rPr>
        <w:fldChar w:fldCharType="end"/>
      </w:r>
    </w:p>
    <w:p w:rsidR="008102D8" w:rsidRDefault="008102D8">
      <w:pPr>
        <w:pStyle w:val="TOC6"/>
        <w:tabs>
          <w:tab w:val="left" w:pos="1787"/>
          <w:tab w:val="right" w:leader="dot" w:pos="9019"/>
        </w:tabs>
        <w:rPr>
          <w:rFonts w:asciiTheme="minorHAnsi" w:eastAsiaTheme="minorEastAsia" w:hAnsiTheme="minorHAnsi" w:cstheme="minorBidi"/>
          <w:noProof/>
          <w:sz w:val="22"/>
          <w:szCs w:val="22"/>
        </w:rPr>
      </w:pPr>
      <w:r>
        <w:rPr>
          <w:noProof/>
        </w:rPr>
        <w:t>1.1.1.2.1</w:t>
      </w:r>
      <w:r>
        <w:rPr>
          <w:rFonts w:asciiTheme="minorHAnsi" w:eastAsiaTheme="minorEastAsia" w:hAnsiTheme="minorHAnsi" w:cstheme="minorBidi"/>
          <w:noProof/>
          <w:sz w:val="22"/>
          <w:szCs w:val="22"/>
        </w:rPr>
        <w:tab/>
      </w:r>
      <w:r>
        <w:rPr>
          <w:noProof/>
        </w:rPr>
        <w:t>Aanwezige tanks en tankenparken</w:t>
      </w:r>
      <w:r>
        <w:rPr>
          <w:noProof/>
        </w:rPr>
        <w:tab/>
      </w:r>
      <w:r w:rsidR="00C325A0">
        <w:rPr>
          <w:noProof/>
        </w:rPr>
        <w:fldChar w:fldCharType="begin"/>
      </w:r>
      <w:r>
        <w:rPr>
          <w:noProof/>
        </w:rPr>
        <w:instrText xml:space="preserve"> PAGEREF _Toc312069211 \h </w:instrText>
      </w:r>
      <w:r w:rsidR="00C325A0">
        <w:rPr>
          <w:noProof/>
        </w:rPr>
      </w:r>
      <w:r w:rsidR="00C325A0">
        <w:rPr>
          <w:noProof/>
        </w:rPr>
        <w:fldChar w:fldCharType="separate"/>
      </w:r>
      <w:r>
        <w:rPr>
          <w:noProof/>
        </w:rPr>
        <w:t>IV.2</w:t>
      </w:r>
      <w:r w:rsidR="00C325A0">
        <w:rPr>
          <w:noProof/>
        </w:rPr>
        <w:fldChar w:fldCharType="end"/>
      </w:r>
    </w:p>
    <w:p w:rsidR="008102D8" w:rsidRDefault="008102D8">
      <w:pPr>
        <w:pStyle w:val="TOC6"/>
        <w:tabs>
          <w:tab w:val="left" w:pos="1787"/>
          <w:tab w:val="right" w:leader="dot" w:pos="9019"/>
        </w:tabs>
        <w:rPr>
          <w:rFonts w:asciiTheme="minorHAnsi" w:eastAsiaTheme="minorEastAsia" w:hAnsiTheme="minorHAnsi" w:cstheme="minorBidi"/>
          <w:noProof/>
          <w:sz w:val="22"/>
          <w:szCs w:val="22"/>
        </w:rPr>
      </w:pPr>
      <w:r>
        <w:rPr>
          <w:noProof/>
        </w:rPr>
        <w:t>1.1.1.2.2</w:t>
      </w:r>
      <w:r>
        <w:rPr>
          <w:rFonts w:asciiTheme="minorHAnsi" w:eastAsiaTheme="minorEastAsia" w:hAnsiTheme="minorHAnsi" w:cstheme="minorBidi"/>
          <w:noProof/>
          <w:sz w:val="22"/>
          <w:szCs w:val="22"/>
        </w:rPr>
        <w:tab/>
      </w:r>
      <w:r>
        <w:rPr>
          <w:noProof/>
        </w:rPr>
        <w:t>Inkuiping opslagtanks</w:t>
      </w:r>
      <w:r>
        <w:rPr>
          <w:noProof/>
        </w:rPr>
        <w:tab/>
      </w:r>
      <w:r w:rsidR="00C325A0">
        <w:rPr>
          <w:noProof/>
        </w:rPr>
        <w:fldChar w:fldCharType="begin"/>
      </w:r>
      <w:r>
        <w:rPr>
          <w:noProof/>
        </w:rPr>
        <w:instrText xml:space="preserve"> PAGEREF _Toc312069212 \h </w:instrText>
      </w:r>
      <w:r w:rsidR="00C325A0">
        <w:rPr>
          <w:noProof/>
        </w:rPr>
      </w:r>
      <w:r w:rsidR="00C325A0">
        <w:rPr>
          <w:noProof/>
        </w:rPr>
        <w:fldChar w:fldCharType="separate"/>
      </w:r>
      <w:r>
        <w:rPr>
          <w:noProof/>
        </w:rPr>
        <w:t>IV.2</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1.1.1.3</w:t>
      </w:r>
      <w:r>
        <w:rPr>
          <w:rFonts w:asciiTheme="minorHAnsi" w:eastAsiaTheme="minorEastAsia" w:hAnsiTheme="minorHAnsi" w:cstheme="minorBidi"/>
          <w:smallCaps w:val="0"/>
          <w:noProof/>
          <w:sz w:val="22"/>
          <w:szCs w:val="22"/>
        </w:rPr>
        <w:tab/>
      </w:r>
      <w:r>
        <w:rPr>
          <w:noProof/>
        </w:rPr>
        <w:t>Overslagfaciliteiten</w:t>
      </w:r>
      <w:r>
        <w:rPr>
          <w:noProof/>
        </w:rPr>
        <w:tab/>
      </w:r>
      <w:r w:rsidR="00C325A0">
        <w:rPr>
          <w:noProof/>
        </w:rPr>
        <w:fldChar w:fldCharType="begin"/>
      </w:r>
      <w:r>
        <w:rPr>
          <w:noProof/>
        </w:rPr>
        <w:instrText xml:space="preserve"> PAGEREF _Toc312069213 \h </w:instrText>
      </w:r>
      <w:r w:rsidR="00C325A0">
        <w:rPr>
          <w:noProof/>
        </w:rPr>
      </w:r>
      <w:r w:rsidR="00C325A0">
        <w:rPr>
          <w:noProof/>
        </w:rPr>
        <w:fldChar w:fldCharType="separate"/>
      </w:r>
      <w:r>
        <w:rPr>
          <w:noProof/>
        </w:rPr>
        <w:t>IV.3</w:t>
      </w:r>
      <w:r w:rsidR="00C325A0">
        <w:rPr>
          <w:noProof/>
        </w:rPr>
        <w:fldChar w:fldCharType="end"/>
      </w:r>
    </w:p>
    <w:p w:rsidR="008102D8" w:rsidRDefault="008102D8">
      <w:pPr>
        <w:pStyle w:val="TOC6"/>
        <w:tabs>
          <w:tab w:val="left" w:pos="1787"/>
          <w:tab w:val="right" w:leader="dot" w:pos="9019"/>
        </w:tabs>
        <w:rPr>
          <w:rFonts w:asciiTheme="minorHAnsi" w:eastAsiaTheme="minorEastAsia" w:hAnsiTheme="minorHAnsi" w:cstheme="minorBidi"/>
          <w:noProof/>
          <w:sz w:val="22"/>
          <w:szCs w:val="22"/>
        </w:rPr>
      </w:pPr>
      <w:r>
        <w:rPr>
          <w:noProof/>
        </w:rPr>
        <w:t>1.1.1.3.1</w:t>
      </w:r>
      <w:r>
        <w:rPr>
          <w:rFonts w:asciiTheme="minorHAnsi" w:eastAsiaTheme="minorEastAsia" w:hAnsiTheme="minorHAnsi" w:cstheme="minorBidi"/>
          <w:noProof/>
          <w:sz w:val="22"/>
          <w:szCs w:val="22"/>
        </w:rPr>
        <w:tab/>
      </w:r>
      <w:r>
        <w:rPr>
          <w:noProof/>
        </w:rPr>
        <w:t>Verlading van schepen</w:t>
      </w:r>
      <w:r>
        <w:rPr>
          <w:noProof/>
        </w:rPr>
        <w:tab/>
      </w:r>
      <w:r w:rsidR="00C325A0">
        <w:rPr>
          <w:noProof/>
        </w:rPr>
        <w:fldChar w:fldCharType="begin"/>
      </w:r>
      <w:r>
        <w:rPr>
          <w:noProof/>
        </w:rPr>
        <w:instrText xml:space="preserve"> PAGEREF _Toc312069214 \h </w:instrText>
      </w:r>
      <w:r w:rsidR="00C325A0">
        <w:rPr>
          <w:noProof/>
        </w:rPr>
      </w:r>
      <w:r w:rsidR="00C325A0">
        <w:rPr>
          <w:noProof/>
        </w:rPr>
        <w:fldChar w:fldCharType="separate"/>
      </w:r>
      <w:r>
        <w:rPr>
          <w:noProof/>
        </w:rPr>
        <w:t>IV.4</w:t>
      </w:r>
      <w:r w:rsidR="00C325A0">
        <w:rPr>
          <w:noProof/>
        </w:rPr>
        <w:fldChar w:fldCharType="end"/>
      </w:r>
    </w:p>
    <w:p w:rsidR="008102D8" w:rsidRDefault="008102D8">
      <w:pPr>
        <w:pStyle w:val="TOC6"/>
        <w:tabs>
          <w:tab w:val="left" w:pos="1787"/>
          <w:tab w:val="right" w:leader="dot" w:pos="9019"/>
        </w:tabs>
        <w:rPr>
          <w:rFonts w:asciiTheme="minorHAnsi" w:eastAsiaTheme="minorEastAsia" w:hAnsiTheme="minorHAnsi" w:cstheme="minorBidi"/>
          <w:noProof/>
          <w:sz w:val="22"/>
          <w:szCs w:val="22"/>
        </w:rPr>
      </w:pPr>
      <w:r>
        <w:rPr>
          <w:noProof/>
        </w:rPr>
        <w:t>1.1.1.3.2</w:t>
      </w:r>
      <w:r>
        <w:rPr>
          <w:rFonts w:asciiTheme="minorHAnsi" w:eastAsiaTheme="minorEastAsia" w:hAnsiTheme="minorHAnsi" w:cstheme="minorBidi"/>
          <w:noProof/>
          <w:sz w:val="22"/>
          <w:szCs w:val="22"/>
        </w:rPr>
        <w:tab/>
      </w:r>
      <w:r>
        <w:rPr>
          <w:noProof/>
        </w:rPr>
        <w:t>Verlading van tankwagens</w:t>
      </w:r>
      <w:r>
        <w:rPr>
          <w:noProof/>
        </w:rPr>
        <w:tab/>
      </w:r>
      <w:r w:rsidR="00C325A0">
        <w:rPr>
          <w:noProof/>
        </w:rPr>
        <w:fldChar w:fldCharType="begin"/>
      </w:r>
      <w:r>
        <w:rPr>
          <w:noProof/>
        </w:rPr>
        <w:instrText xml:space="preserve"> PAGEREF _Toc312069215 \h </w:instrText>
      </w:r>
      <w:r w:rsidR="00C325A0">
        <w:rPr>
          <w:noProof/>
        </w:rPr>
      </w:r>
      <w:r w:rsidR="00C325A0">
        <w:rPr>
          <w:noProof/>
        </w:rPr>
        <w:fldChar w:fldCharType="separate"/>
      </w:r>
      <w:r>
        <w:rPr>
          <w:noProof/>
        </w:rPr>
        <w:t>IV.4</w:t>
      </w:r>
      <w:r w:rsidR="00C325A0">
        <w:rPr>
          <w:noProof/>
        </w:rPr>
        <w:fldChar w:fldCharType="end"/>
      </w:r>
    </w:p>
    <w:p w:rsidR="008102D8" w:rsidRDefault="008102D8">
      <w:pPr>
        <w:pStyle w:val="TOC6"/>
        <w:tabs>
          <w:tab w:val="left" w:pos="1787"/>
          <w:tab w:val="right" w:leader="dot" w:pos="9019"/>
        </w:tabs>
        <w:rPr>
          <w:rFonts w:asciiTheme="minorHAnsi" w:eastAsiaTheme="minorEastAsia" w:hAnsiTheme="minorHAnsi" w:cstheme="minorBidi"/>
          <w:noProof/>
          <w:sz w:val="22"/>
          <w:szCs w:val="22"/>
        </w:rPr>
      </w:pPr>
      <w:r>
        <w:rPr>
          <w:noProof/>
        </w:rPr>
        <w:t>1.1.1.3.3</w:t>
      </w:r>
      <w:r>
        <w:rPr>
          <w:rFonts w:asciiTheme="minorHAnsi" w:eastAsiaTheme="minorEastAsia" w:hAnsiTheme="minorHAnsi" w:cstheme="minorBidi"/>
          <w:noProof/>
          <w:sz w:val="22"/>
          <w:szCs w:val="22"/>
        </w:rPr>
        <w:tab/>
      </w:r>
      <w:r>
        <w:rPr>
          <w:noProof/>
        </w:rPr>
        <w:t>Verlading van spoorwagons</w:t>
      </w:r>
      <w:r>
        <w:rPr>
          <w:noProof/>
        </w:rPr>
        <w:tab/>
      </w:r>
      <w:r w:rsidR="00C325A0">
        <w:rPr>
          <w:noProof/>
        </w:rPr>
        <w:fldChar w:fldCharType="begin"/>
      </w:r>
      <w:r>
        <w:rPr>
          <w:noProof/>
        </w:rPr>
        <w:instrText xml:space="preserve"> PAGEREF _Toc312069216 \h </w:instrText>
      </w:r>
      <w:r w:rsidR="00C325A0">
        <w:rPr>
          <w:noProof/>
        </w:rPr>
      </w:r>
      <w:r w:rsidR="00C325A0">
        <w:rPr>
          <w:noProof/>
        </w:rPr>
        <w:fldChar w:fldCharType="separate"/>
      </w:r>
      <w:r>
        <w:rPr>
          <w:noProof/>
        </w:rPr>
        <w:t>IV.4</w:t>
      </w:r>
      <w:r w:rsidR="00C325A0">
        <w:rPr>
          <w:noProof/>
        </w:rPr>
        <w:fldChar w:fldCharType="end"/>
      </w:r>
    </w:p>
    <w:p w:rsidR="008102D8" w:rsidRDefault="008102D8">
      <w:pPr>
        <w:pStyle w:val="TOC6"/>
        <w:tabs>
          <w:tab w:val="left" w:pos="1787"/>
          <w:tab w:val="right" w:leader="dot" w:pos="9019"/>
        </w:tabs>
        <w:rPr>
          <w:rFonts w:asciiTheme="minorHAnsi" w:eastAsiaTheme="minorEastAsia" w:hAnsiTheme="minorHAnsi" w:cstheme="minorBidi"/>
          <w:noProof/>
          <w:sz w:val="22"/>
          <w:szCs w:val="22"/>
        </w:rPr>
      </w:pPr>
      <w:r>
        <w:rPr>
          <w:noProof/>
        </w:rPr>
        <w:t>1.1.1.3.4</w:t>
      </w:r>
      <w:r>
        <w:rPr>
          <w:rFonts w:asciiTheme="minorHAnsi" w:eastAsiaTheme="minorEastAsia" w:hAnsiTheme="minorHAnsi" w:cstheme="minorBidi"/>
          <w:noProof/>
          <w:sz w:val="22"/>
          <w:szCs w:val="22"/>
        </w:rPr>
        <w:tab/>
      </w:r>
      <w:r>
        <w:rPr>
          <w:noProof/>
        </w:rPr>
        <w:t>Overige overslag</w:t>
      </w:r>
      <w:r>
        <w:rPr>
          <w:noProof/>
        </w:rPr>
        <w:tab/>
      </w:r>
      <w:r w:rsidR="00C325A0">
        <w:rPr>
          <w:noProof/>
        </w:rPr>
        <w:fldChar w:fldCharType="begin"/>
      </w:r>
      <w:r>
        <w:rPr>
          <w:noProof/>
        </w:rPr>
        <w:instrText xml:space="preserve"> PAGEREF _Toc312069217 \h </w:instrText>
      </w:r>
      <w:r w:rsidR="00C325A0">
        <w:rPr>
          <w:noProof/>
        </w:rPr>
      </w:r>
      <w:r w:rsidR="00C325A0">
        <w:rPr>
          <w:noProof/>
        </w:rPr>
        <w:fldChar w:fldCharType="separate"/>
      </w:r>
      <w:r>
        <w:rPr>
          <w:noProof/>
        </w:rPr>
        <w:t>IV.4</w:t>
      </w:r>
      <w:r w:rsidR="00C325A0">
        <w:rPr>
          <w:noProof/>
        </w:rPr>
        <w:fldChar w:fldCharType="end"/>
      </w:r>
    </w:p>
    <w:p w:rsidR="008102D8" w:rsidRDefault="008102D8">
      <w:pPr>
        <w:pStyle w:val="TOC6"/>
        <w:tabs>
          <w:tab w:val="left" w:pos="1787"/>
          <w:tab w:val="right" w:leader="dot" w:pos="9019"/>
        </w:tabs>
        <w:rPr>
          <w:rFonts w:asciiTheme="minorHAnsi" w:eastAsiaTheme="minorEastAsia" w:hAnsiTheme="minorHAnsi" w:cstheme="minorBidi"/>
          <w:noProof/>
          <w:sz w:val="22"/>
          <w:szCs w:val="22"/>
        </w:rPr>
      </w:pPr>
      <w:r>
        <w:rPr>
          <w:noProof/>
        </w:rPr>
        <w:t>1.1.1.3.5</w:t>
      </w:r>
      <w:r>
        <w:rPr>
          <w:rFonts w:asciiTheme="minorHAnsi" w:eastAsiaTheme="minorEastAsia" w:hAnsiTheme="minorHAnsi" w:cstheme="minorBidi"/>
          <w:noProof/>
          <w:sz w:val="22"/>
          <w:szCs w:val="22"/>
        </w:rPr>
        <w:tab/>
      </w:r>
      <w:r>
        <w:rPr>
          <w:noProof/>
        </w:rPr>
        <w:t>Verlading via pijpleiding</w:t>
      </w:r>
      <w:r>
        <w:rPr>
          <w:noProof/>
        </w:rPr>
        <w:tab/>
      </w:r>
      <w:r w:rsidR="00C325A0">
        <w:rPr>
          <w:noProof/>
        </w:rPr>
        <w:fldChar w:fldCharType="begin"/>
      </w:r>
      <w:r>
        <w:rPr>
          <w:noProof/>
        </w:rPr>
        <w:instrText xml:space="preserve"> PAGEREF _Toc312069218 \h </w:instrText>
      </w:r>
      <w:r w:rsidR="00C325A0">
        <w:rPr>
          <w:noProof/>
        </w:rPr>
      </w:r>
      <w:r w:rsidR="00C325A0">
        <w:rPr>
          <w:noProof/>
        </w:rPr>
        <w:fldChar w:fldCharType="separate"/>
      </w:r>
      <w:r>
        <w:rPr>
          <w:noProof/>
        </w:rPr>
        <w:t>IV.5</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1.1.1.4</w:t>
      </w:r>
      <w:r>
        <w:rPr>
          <w:rFonts w:asciiTheme="minorHAnsi" w:eastAsiaTheme="minorEastAsia" w:hAnsiTheme="minorHAnsi" w:cstheme="minorBidi"/>
          <w:smallCaps w:val="0"/>
          <w:noProof/>
          <w:sz w:val="22"/>
          <w:szCs w:val="22"/>
        </w:rPr>
        <w:tab/>
      </w:r>
      <w:r>
        <w:rPr>
          <w:noProof/>
        </w:rPr>
        <w:t>Emissiebeperkende maatregelen bij op- en overslag</w:t>
      </w:r>
      <w:r>
        <w:rPr>
          <w:noProof/>
        </w:rPr>
        <w:tab/>
      </w:r>
      <w:r w:rsidR="00C325A0">
        <w:rPr>
          <w:noProof/>
        </w:rPr>
        <w:fldChar w:fldCharType="begin"/>
      </w:r>
      <w:r>
        <w:rPr>
          <w:noProof/>
        </w:rPr>
        <w:instrText xml:space="preserve"> PAGEREF _Toc312069219 \h </w:instrText>
      </w:r>
      <w:r w:rsidR="00C325A0">
        <w:rPr>
          <w:noProof/>
        </w:rPr>
      </w:r>
      <w:r w:rsidR="00C325A0">
        <w:rPr>
          <w:noProof/>
        </w:rPr>
        <w:fldChar w:fldCharType="separate"/>
      </w:r>
      <w:r>
        <w:rPr>
          <w:noProof/>
        </w:rPr>
        <w:t>IV.5</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1.1.2</w:t>
      </w:r>
      <w:r>
        <w:rPr>
          <w:rFonts w:asciiTheme="minorHAnsi" w:eastAsiaTheme="minorEastAsia" w:hAnsiTheme="minorHAnsi" w:cstheme="minorBidi"/>
          <w:noProof/>
          <w:sz w:val="22"/>
          <w:szCs w:val="22"/>
        </w:rPr>
        <w:tab/>
      </w:r>
      <w:r>
        <w:rPr>
          <w:noProof/>
        </w:rPr>
        <w:t>Opslag en afvullen van eenheidsverpakkingen</w:t>
      </w:r>
      <w:r>
        <w:rPr>
          <w:noProof/>
        </w:rPr>
        <w:tab/>
      </w:r>
      <w:r w:rsidR="00C325A0">
        <w:rPr>
          <w:noProof/>
        </w:rPr>
        <w:fldChar w:fldCharType="begin"/>
      </w:r>
      <w:r>
        <w:rPr>
          <w:noProof/>
        </w:rPr>
        <w:instrText xml:space="preserve"> PAGEREF _Toc312069220 \h </w:instrText>
      </w:r>
      <w:r w:rsidR="00C325A0">
        <w:rPr>
          <w:noProof/>
        </w:rPr>
      </w:r>
      <w:r w:rsidR="00C325A0">
        <w:rPr>
          <w:noProof/>
        </w:rPr>
        <w:fldChar w:fldCharType="separate"/>
      </w:r>
      <w:r>
        <w:rPr>
          <w:noProof/>
        </w:rPr>
        <w:t>IV.7</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1.1.2.1</w:t>
      </w:r>
      <w:r>
        <w:rPr>
          <w:rFonts w:asciiTheme="minorHAnsi" w:eastAsiaTheme="minorEastAsia" w:hAnsiTheme="minorHAnsi" w:cstheme="minorBidi"/>
          <w:smallCaps w:val="0"/>
          <w:noProof/>
          <w:sz w:val="22"/>
          <w:szCs w:val="22"/>
        </w:rPr>
        <w:tab/>
      </w:r>
      <w:r>
        <w:rPr>
          <w:noProof/>
        </w:rPr>
        <w:t>Opslag</w:t>
      </w:r>
      <w:r>
        <w:rPr>
          <w:noProof/>
        </w:rPr>
        <w:tab/>
      </w:r>
      <w:r w:rsidR="00C325A0">
        <w:rPr>
          <w:noProof/>
        </w:rPr>
        <w:fldChar w:fldCharType="begin"/>
      </w:r>
      <w:r>
        <w:rPr>
          <w:noProof/>
        </w:rPr>
        <w:instrText xml:space="preserve"> PAGEREF _Toc312069221 \h </w:instrText>
      </w:r>
      <w:r w:rsidR="00C325A0">
        <w:rPr>
          <w:noProof/>
        </w:rPr>
      </w:r>
      <w:r w:rsidR="00C325A0">
        <w:rPr>
          <w:noProof/>
        </w:rPr>
        <w:fldChar w:fldCharType="separate"/>
      </w:r>
      <w:r>
        <w:rPr>
          <w:noProof/>
        </w:rPr>
        <w:t>IV.7</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1.1.2.2</w:t>
      </w:r>
      <w:r>
        <w:rPr>
          <w:rFonts w:asciiTheme="minorHAnsi" w:eastAsiaTheme="minorEastAsia" w:hAnsiTheme="minorHAnsi" w:cstheme="minorBidi"/>
          <w:smallCaps w:val="0"/>
          <w:noProof/>
          <w:sz w:val="22"/>
          <w:szCs w:val="22"/>
        </w:rPr>
        <w:tab/>
      </w:r>
      <w:r>
        <w:rPr>
          <w:noProof/>
        </w:rPr>
        <w:t>Afvullen</w:t>
      </w:r>
      <w:r>
        <w:rPr>
          <w:noProof/>
        </w:rPr>
        <w:tab/>
      </w:r>
      <w:r w:rsidR="00C325A0">
        <w:rPr>
          <w:noProof/>
        </w:rPr>
        <w:fldChar w:fldCharType="begin"/>
      </w:r>
      <w:r>
        <w:rPr>
          <w:noProof/>
        </w:rPr>
        <w:instrText xml:space="preserve"> PAGEREF _Toc312069222 \h </w:instrText>
      </w:r>
      <w:r w:rsidR="00C325A0">
        <w:rPr>
          <w:noProof/>
        </w:rPr>
      </w:r>
      <w:r w:rsidR="00C325A0">
        <w:rPr>
          <w:noProof/>
        </w:rPr>
        <w:fldChar w:fldCharType="separate"/>
      </w:r>
      <w:r>
        <w:rPr>
          <w:noProof/>
        </w:rPr>
        <w:t>IV.7</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1.2</w:t>
      </w:r>
      <w:r>
        <w:rPr>
          <w:rFonts w:asciiTheme="minorHAnsi" w:eastAsiaTheme="minorEastAsia" w:hAnsiTheme="minorHAnsi" w:cstheme="minorBidi"/>
          <w:iCs w:val="0"/>
          <w:noProof/>
          <w:spacing w:val="0"/>
          <w:sz w:val="22"/>
          <w:szCs w:val="22"/>
        </w:rPr>
        <w:tab/>
      </w:r>
      <w:r>
        <w:rPr>
          <w:noProof/>
        </w:rPr>
        <w:t>Nutsvoorzieningen</w:t>
      </w:r>
      <w:r>
        <w:rPr>
          <w:noProof/>
        </w:rPr>
        <w:tab/>
      </w:r>
      <w:r w:rsidR="00C325A0">
        <w:rPr>
          <w:noProof/>
        </w:rPr>
        <w:fldChar w:fldCharType="begin"/>
      </w:r>
      <w:r>
        <w:rPr>
          <w:noProof/>
        </w:rPr>
        <w:instrText xml:space="preserve"> PAGEREF _Toc312069223 \h </w:instrText>
      </w:r>
      <w:r w:rsidR="00C325A0">
        <w:rPr>
          <w:noProof/>
        </w:rPr>
      </w:r>
      <w:r w:rsidR="00C325A0">
        <w:rPr>
          <w:noProof/>
        </w:rPr>
        <w:fldChar w:fldCharType="separate"/>
      </w:r>
      <w:r>
        <w:rPr>
          <w:noProof/>
        </w:rPr>
        <w:t>IV.7</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2.</w:t>
      </w:r>
      <w:r>
        <w:rPr>
          <w:rFonts w:asciiTheme="minorHAnsi" w:eastAsiaTheme="minorEastAsia" w:hAnsiTheme="minorHAnsi" w:cstheme="minorBidi"/>
          <w:b w:val="0"/>
          <w:smallCaps w:val="0"/>
          <w:noProof/>
          <w:spacing w:val="0"/>
          <w:sz w:val="22"/>
          <w:szCs w:val="22"/>
        </w:rPr>
        <w:tab/>
      </w:r>
      <w:r>
        <w:rPr>
          <w:noProof/>
        </w:rPr>
        <w:t>Waterhuishouding VTE</w:t>
      </w:r>
      <w:r>
        <w:rPr>
          <w:noProof/>
        </w:rPr>
        <w:tab/>
      </w:r>
      <w:r w:rsidR="00C325A0">
        <w:rPr>
          <w:noProof/>
        </w:rPr>
        <w:fldChar w:fldCharType="begin"/>
      </w:r>
      <w:r>
        <w:rPr>
          <w:noProof/>
        </w:rPr>
        <w:instrText xml:space="preserve"> PAGEREF _Toc312069224 \h </w:instrText>
      </w:r>
      <w:r w:rsidR="00C325A0">
        <w:rPr>
          <w:noProof/>
        </w:rPr>
      </w:r>
      <w:r w:rsidR="00C325A0">
        <w:rPr>
          <w:noProof/>
        </w:rPr>
        <w:fldChar w:fldCharType="separate"/>
      </w:r>
      <w:r>
        <w:rPr>
          <w:noProof/>
        </w:rPr>
        <w:t>IV.9</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2.1</w:t>
      </w:r>
      <w:r>
        <w:rPr>
          <w:rFonts w:asciiTheme="minorHAnsi" w:eastAsiaTheme="minorEastAsia" w:hAnsiTheme="minorHAnsi" w:cstheme="minorBidi"/>
          <w:iCs w:val="0"/>
          <w:noProof/>
          <w:spacing w:val="0"/>
          <w:sz w:val="22"/>
          <w:szCs w:val="22"/>
        </w:rPr>
        <w:tab/>
      </w:r>
      <w:r>
        <w:rPr>
          <w:noProof/>
        </w:rPr>
        <w:t>Watergebruik</w:t>
      </w:r>
      <w:r>
        <w:rPr>
          <w:noProof/>
        </w:rPr>
        <w:tab/>
      </w:r>
      <w:r w:rsidR="00C325A0">
        <w:rPr>
          <w:noProof/>
        </w:rPr>
        <w:fldChar w:fldCharType="begin"/>
      </w:r>
      <w:r>
        <w:rPr>
          <w:noProof/>
        </w:rPr>
        <w:instrText xml:space="preserve"> PAGEREF _Toc312069225 \h </w:instrText>
      </w:r>
      <w:r w:rsidR="00C325A0">
        <w:rPr>
          <w:noProof/>
        </w:rPr>
      </w:r>
      <w:r w:rsidR="00C325A0">
        <w:rPr>
          <w:noProof/>
        </w:rPr>
        <w:fldChar w:fldCharType="separate"/>
      </w:r>
      <w:r>
        <w:rPr>
          <w:noProof/>
        </w:rPr>
        <w:t>IV.9</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2.2</w:t>
      </w:r>
      <w:r>
        <w:rPr>
          <w:rFonts w:asciiTheme="minorHAnsi" w:eastAsiaTheme="minorEastAsia" w:hAnsiTheme="minorHAnsi" w:cstheme="minorBidi"/>
          <w:iCs w:val="0"/>
          <w:noProof/>
          <w:spacing w:val="0"/>
          <w:sz w:val="22"/>
          <w:szCs w:val="22"/>
        </w:rPr>
        <w:tab/>
      </w:r>
      <w:r>
        <w:rPr>
          <w:noProof/>
        </w:rPr>
        <w:t>Bedrijfsafvalwater</w:t>
      </w:r>
      <w:r>
        <w:rPr>
          <w:noProof/>
        </w:rPr>
        <w:tab/>
      </w:r>
      <w:r w:rsidR="00C325A0">
        <w:rPr>
          <w:noProof/>
        </w:rPr>
        <w:fldChar w:fldCharType="begin"/>
      </w:r>
      <w:r>
        <w:rPr>
          <w:noProof/>
        </w:rPr>
        <w:instrText xml:space="preserve"> PAGEREF _Toc312069226 \h </w:instrText>
      </w:r>
      <w:r w:rsidR="00C325A0">
        <w:rPr>
          <w:noProof/>
        </w:rPr>
      </w:r>
      <w:r w:rsidR="00C325A0">
        <w:rPr>
          <w:noProof/>
        </w:rPr>
        <w:fldChar w:fldCharType="separate"/>
      </w:r>
      <w:r>
        <w:rPr>
          <w:noProof/>
        </w:rPr>
        <w:t>IV.9</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2.2.1</w:t>
      </w:r>
      <w:r>
        <w:rPr>
          <w:rFonts w:asciiTheme="minorHAnsi" w:eastAsiaTheme="minorEastAsia" w:hAnsiTheme="minorHAnsi" w:cstheme="minorBidi"/>
          <w:noProof/>
          <w:sz w:val="22"/>
          <w:szCs w:val="22"/>
        </w:rPr>
        <w:tab/>
      </w:r>
      <w:r>
        <w:rPr>
          <w:noProof/>
        </w:rPr>
        <w:t>Herkomst</w:t>
      </w:r>
      <w:r>
        <w:rPr>
          <w:noProof/>
        </w:rPr>
        <w:tab/>
      </w:r>
      <w:r w:rsidR="00C325A0">
        <w:rPr>
          <w:noProof/>
        </w:rPr>
        <w:fldChar w:fldCharType="begin"/>
      </w:r>
      <w:r>
        <w:rPr>
          <w:noProof/>
        </w:rPr>
        <w:instrText xml:space="preserve"> PAGEREF _Toc312069227 \h </w:instrText>
      </w:r>
      <w:r w:rsidR="00C325A0">
        <w:rPr>
          <w:noProof/>
        </w:rPr>
      </w:r>
      <w:r w:rsidR="00C325A0">
        <w:rPr>
          <w:noProof/>
        </w:rPr>
        <w:fldChar w:fldCharType="separate"/>
      </w:r>
      <w:r>
        <w:rPr>
          <w:noProof/>
        </w:rPr>
        <w:t>IV.9</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2.2.2</w:t>
      </w:r>
      <w:r>
        <w:rPr>
          <w:rFonts w:asciiTheme="minorHAnsi" w:eastAsiaTheme="minorEastAsia" w:hAnsiTheme="minorHAnsi" w:cstheme="minorBidi"/>
          <w:noProof/>
          <w:sz w:val="22"/>
          <w:szCs w:val="22"/>
        </w:rPr>
        <w:tab/>
      </w:r>
      <w:r>
        <w:rPr>
          <w:noProof/>
        </w:rPr>
        <w:t>Opvang en behandeling</w:t>
      </w:r>
      <w:r>
        <w:rPr>
          <w:noProof/>
        </w:rPr>
        <w:tab/>
      </w:r>
      <w:r w:rsidR="00C325A0">
        <w:rPr>
          <w:noProof/>
        </w:rPr>
        <w:fldChar w:fldCharType="begin"/>
      </w:r>
      <w:r>
        <w:rPr>
          <w:noProof/>
        </w:rPr>
        <w:instrText xml:space="preserve"> PAGEREF _Toc312069228 \h </w:instrText>
      </w:r>
      <w:r w:rsidR="00C325A0">
        <w:rPr>
          <w:noProof/>
        </w:rPr>
      </w:r>
      <w:r w:rsidR="00C325A0">
        <w:rPr>
          <w:noProof/>
        </w:rPr>
        <w:fldChar w:fldCharType="separate"/>
      </w:r>
      <w:r>
        <w:rPr>
          <w:noProof/>
        </w:rPr>
        <w:t>IV.11</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lastRenderedPageBreak/>
        <w:t>2.3</w:t>
      </w:r>
      <w:r>
        <w:rPr>
          <w:rFonts w:asciiTheme="minorHAnsi" w:eastAsiaTheme="minorEastAsia" w:hAnsiTheme="minorHAnsi" w:cstheme="minorBidi"/>
          <w:iCs w:val="0"/>
          <w:noProof/>
          <w:spacing w:val="0"/>
          <w:sz w:val="22"/>
          <w:szCs w:val="22"/>
        </w:rPr>
        <w:tab/>
      </w:r>
      <w:r>
        <w:rPr>
          <w:noProof/>
        </w:rPr>
        <w:t>Afvalwater sanitaire installaties</w:t>
      </w:r>
      <w:r>
        <w:rPr>
          <w:noProof/>
        </w:rPr>
        <w:tab/>
      </w:r>
      <w:r w:rsidR="00C325A0">
        <w:rPr>
          <w:noProof/>
        </w:rPr>
        <w:fldChar w:fldCharType="begin"/>
      </w:r>
      <w:r>
        <w:rPr>
          <w:noProof/>
        </w:rPr>
        <w:instrText xml:space="preserve"> PAGEREF _Toc312069229 \h </w:instrText>
      </w:r>
      <w:r w:rsidR="00C325A0">
        <w:rPr>
          <w:noProof/>
        </w:rPr>
      </w:r>
      <w:r w:rsidR="00C325A0">
        <w:rPr>
          <w:noProof/>
        </w:rPr>
        <w:fldChar w:fldCharType="separate"/>
      </w:r>
      <w:r>
        <w:rPr>
          <w:noProof/>
        </w:rPr>
        <w:t>IV.11</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2.4</w:t>
      </w:r>
      <w:r>
        <w:rPr>
          <w:rFonts w:asciiTheme="minorHAnsi" w:eastAsiaTheme="minorEastAsia" w:hAnsiTheme="minorHAnsi" w:cstheme="minorBidi"/>
          <w:iCs w:val="0"/>
          <w:noProof/>
          <w:spacing w:val="0"/>
          <w:sz w:val="22"/>
          <w:szCs w:val="22"/>
        </w:rPr>
        <w:tab/>
      </w:r>
      <w:r>
        <w:rPr>
          <w:noProof/>
        </w:rPr>
        <w:t>Niet verontreinigd hemelwater</w:t>
      </w:r>
      <w:r>
        <w:rPr>
          <w:noProof/>
        </w:rPr>
        <w:tab/>
      </w:r>
      <w:r w:rsidR="00C325A0">
        <w:rPr>
          <w:noProof/>
        </w:rPr>
        <w:fldChar w:fldCharType="begin"/>
      </w:r>
      <w:r>
        <w:rPr>
          <w:noProof/>
        </w:rPr>
        <w:instrText xml:space="preserve"> PAGEREF _Toc312069230 \h </w:instrText>
      </w:r>
      <w:r w:rsidR="00C325A0">
        <w:rPr>
          <w:noProof/>
        </w:rPr>
      </w:r>
      <w:r w:rsidR="00C325A0">
        <w:rPr>
          <w:noProof/>
        </w:rPr>
        <w:fldChar w:fldCharType="separate"/>
      </w:r>
      <w:r>
        <w:rPr>
          <w:noProof/>
        </w:rPr>
        <w:t>IV.11</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2.5</w:t>
      </w:r>
      <w:r>
        <w:rPr>
          <w:rFonts w:asciiTheme="minorHAnsi" w:eastAsiaTheme="minorEastAsia" w:hAnsiTheme="minorHAnsi" w:cstheme="minorBidi"/>
          <w:iCs w:val="0"/>
          <w:noProof/>
          <w:spacing w:val="0"/>
          <w:sz w:val="22"/>
          <w:szCs w:val="22"/>
        </w:rPr>
        <w:tab/>
      </w:r>
      <w:r>
        <w:rPr>
          <w:noProof/>
        </w:rPr>
        <w:t>Oppervlaktewater gebruikt voor druktesten</w:t>
      </w:r>
      <w:r>
        <w:rPr>
          <w:noProof/>
        </w:rPr>
        <w:tab/>
      </w:r>
      <w:r w:rsidR="00C325A0">
        <w:rPr>
          <w:noProof/>
        </w:rPr>
        <w:fldChar w:fldCharType="begin"/>
      </w:r>
      <w:r>
        <w:rPr>
          <w:noProof/>
        </w:rPr>
        <w:instrText xml:space="preserve"> PAGEREF _Toc312069231 \h </w:instrText>
      </w:r>
      <w:r w:rsidR="00C325A0">
        <w:rPr>
          <w:noProof/>
        </w:rPr>
      </w:r>
      <w:r w:rsidR="00C325A0">
        <w:rPr>
          <w:noProof/>
        </w:rPr>
        <w:fldChar w:fldCharType="separate"/>
      </w:r>
      <w:r>
        <w:rPr>
          <w:noProof/>
        </w:rPr>
        <w:t>IV.11</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2.6</w:t>
      </w:r>
      <w:r>
        <w:rPr>
          <w:rFonts w:asciiTheme="minorHAnsi" w:eastAsiaTheme="minorEastAsia" w:hAnsiTheme="minorHAnsi" w:cstheme="minorBidi"/>
          <w:iCs w:val="0"/>
          <w:noProof/>
          <w:spacing w:val="0"/>
          <w:sz w:val="22"/>
          <w:szCs w:val="22"/>
        </w:rPr>
        <w:tab/>
      </w:r>
      <w:r>
        <w:rPr>
          <w:noProof/>
        </w:rPr>
        <w:t>Samenvattende waterbalans</w:t>
      </w:r>
      <w:r>
        <w:rPr>
          <w:noProof/>
        </w:rPr>
        <w:tab/>
      </w:r>
      <w:r w:rsidR="00C325A0">
        <w:rPr>
          <w:noProof/>
        </w:rPr>
        <w:fldChar w:fldCharType="begin"/>
      </w:r>
      <w:r>
        <w:rPr>
          <w:noProof/>
        </w:rPr>
        <w:instrText xml:space="preserve"> PAGEREF _Toc312069232 \h </w:instrText>
      </w:r>
      <w:r w:rsidR="00C325A0">
        <w:rPr>
          <w:noProof/>
        </w:rPr>
      </w:r>
      <w:r w:rsidR="00C325A0">
        <w:rPr>
          <w:noProof/>
        </w:rPr>
        <w:fldChar w:fldCharType="separate"/>
      </w:r>
      <w:r>
        <w:rPr>
          <w:noProof/>
        </w:rPr>
        <w:t>IV.12</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3.</w:t>
      </w:r>
      <w:r>
        <w:rPr>
          <w:rFonts w:asciiTheme="minorHAnsi" w:eastAsiaTheme="minorEastAsia" w:hAnsiTheme="minorHAnsi" w:cstheme="minorBidi"/>
          <w:b w:val="0"/>
          <w:smallCaps w:val="0"/>
          <w:noProof/>
          <w:spacing w:val="0"/>
          <w:sz w:val="22"/>
          <w:szCs w:val="22"/>
        </w:rPr>
        <w:tab/>
      </w:r>
      <w:r>
        <w:rPr>
          <w:noProof/>
        </w:rPr>
        <w:t>Energieverbruik</w:t>
      </w:r>
      <w:r>
        <w:rPr>
          <w:noProof/>
        </w:rPr>
        <w:tab/>
      </w:r>
      <w:r w:rsidR="00C325A0">
        <w:rPr>
          <w:noProof/>
        </w:rPr>
        <w:fldChar w:fldCharType="begin"/>
      </w:r>
      <w:r>
        <w:rPr>
          <w:noProof/>
        </w:rPr>
        <w:instrText xml:space="preserve"> PAGEREF _Toc312069233 \h </w:instrText>
      </w:r>
      <w:r w:rsidR="00C325A0">
        <w:rPr>
          <w:noProof/>
        </w:rPr>
      </w:r>
      <w:r w:rsidR="00C325A0">
        <w:rPr>
          <w:noProof/>
        </w:rPr>
        <w:fldChar w:fldCharType="separate"/>
      </w:r>
      <w:r>
        <w:rPr>
          <w:noProof/>
        </w:rPr>
        <w:t>IV.13</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4.</w:t>
      </w:r>
      <w:r>
        <w:rPr>
          <w:rFonts w:asciiTheme="minorHAnsi" w:eastAsiaTheme="minorEastAsia" w:hAnsiTheme="minorHAnsi" w:cstheme="minorBidi"/>
          <w:b w:val="0"/>
          <w:smallCaps w:val="0"/>
          <w:noProof/>
          <w:spacing w:val="0"/>
          <w:sz w:val="22"/>
          <w:szCs w:val="22"/>
        </w:rPr>
        <w:tab/>
      </w:r>
      <w:r>
        <w:rPr>
          <w:noProof/>
        </w:rPr>
        <w:t>Afvalstoffen</w:t>
      </w:r>
      <w:r>
        <w:rPr>
          <w:noProof/>
        </w:rPr>
        <w:tab/>
      </w:r>
      <w:r w:rsidR="00C325A0">
        <w:rPr>
          <w:noProof/>
        </w:rPr>
        <w:fldChar w:fldCharType="begin"/>
      </w:r>
      <w:r>
        <w:rPr>
          <w:noProof/>
        </w:rPr>
        <w:instrText xml:space="preserve"> PAGEREF _Toc312069234 \h </w:instrText>
      </w:r>
      <w:r w:rsidR="00C325A0">
        <w:rPr>
          <w:noProof/>
        </w:rPr>
      </w:r>
      <w:r w:rsidR="00C325A0">
        <w:rPr>
          <w:noProof/>
        </w:rPr>
        <w:fldChar w:fldCharType="separate"/>
      </w:r>
      <w:r>
        <w:rPr>
          <w:noProof/>
        </w:rPr>
        <w:t>IV.13</w:t>
      </w:r>
      <w:r w:rsidR="00C325A0">
        <w:rPr>
          <w:noProof/>
        </w:rPr>
        <w:fldChar w:fldCharType="end"/>
      </w:r>
    </w:p>
    <w:p w:rsidR="008102D8" w:rsidRDefault="008102D8">
      <w:pPr>
        <w:pStyle w:val="TOC1"/>
        <w:rPr>
          <w:rFonts w:asciiTheme="minorHAnsi" w:eastAsiaTheme="minorEastAsia" w:hAnsiTheme="minorHAnsi" w:cstheme="minorBidi"/>
          <w:b w:val="0"/>
          <w:bCs w:val="0"/>
          <w:caps w:val="0"/>
          <w:noProof/>
          <w:color w:val="auto"/>
          <w:sz w:val="22"/>
          <w:szCs w:val="22"/>
        </w:rPr>
      </w:pPr>
      <w:r w:rsidRPr="00676E33">
        <w:rPr>
          <w:noProof/>
        </w:rPr>
        <w:t>V</w:t>
      </w:r>
      <w:r>
        <w:rPr>
          <w:rFonts w:asciiTheme="minorHAnsi" w:eastAsiaTheme="minorEastAsia" w:hAnsiTheme="minorHAnsi" w:cstheme="minorBidi"/>
          <w:b w:val="0"/>
          <w:bCs w:val="0"/>
          <w:caps w:val="0"/>
          <w:noProof/>
          <w:color w:val="auto"/>
          <w:sz w:val="22"/>
          <w:szCs w:val="22"/>
        </w:rPr>
        <w:tab/>
      </w:r>
      <w:r>
        <w:rPr>
          <w:noProof/>
        </w:rPr>
        <w:t>Geplande situatie</w:t>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1.</w:t>
      </w:r>
      <w:r>
        <w:rPr>
          <w:rFonts w:asciiTheme="minorHAnsi" w:eastAsiaTheme="minorEastAsia" w:hAnsiTheme="minorHAnsi" w:cstheme="minorBidi"/>
          <w:b w:val="0"/>
          <w:smallCaps w:val="0"/>
          <w:noProof/>
          <w:spacing w:val="0"/>
          <w:sz w:val="22"/>
          <w:szCs w:val="22"/>
        </w:rPr>
        <w:tab/>
      </w:r>
      <w:r>
        <w:rPr>
          <w:noProof/>
        </w:rPr>
        <w:t>Overzicht vande geplande wijzigingen</w:t>
      </w:r>
      <w:r>
        <w:rPr>
          <w:noProof/>
        </w:rPr>
        <w:tab/>
      </w:r>
      <w:r w:rsidR="00C325A0">
        <w:rPr>
          <w:noProof/>
        </w:rPr>
        <w:fldChar w:fldCharType="begin"/>
      </w:r>
      <w:r>
        <w:rPr>
          <w:noProof/>
        </w:rPr>
        <w:instrText xml:space="preserve"> PAGEREF _Toc312069236 \h </w:instrText>
      </w:r>
      <w:r w:rsidR="00C325A0">
        <w:rPr>
          <w:noProof/>
        </w:rPr>
      </w:r>
      <w:r w:rsidR="00C325A0">
        <w:rPr>
          <w:noProof/>
        </w:rPr>
        <w:fldChar w:fldCharType="separate"/>
      </w:r>
      <w:r>
        <w:rPr>
          <w:noProof/>
        </w:rPr>
        <w:t>V.1</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2.</w:t>
      </w:r>
      <w:r>
        <w:rPr>
          <w:rFonts w:asciiTheme="minorHAnsi" w:eastAsiaTheme="minorEastAsia" w:hAnsiTheme="minorHAnsi" w:cstheme="minorBidi"/>
          <w:b w:val="0"/>
          <w:smallCaps w:val="0"/>
          <w:noProof/>
          <w:spacing w:val="0"/>
          <w:sz w:val="22"/>
          <w:szCs w:val="22"/>
        </w:rPr>
        <w:tab/>
      </w:r>
      <w:r>
        <w:rPr>
          <w:noProof/>
        </w:rPr>
        <w:t>Verantwoording van de wijzigingen</w:t>
      </w:r>
      <w:r>
        <w:rPr>
          <w:noProof/>
        </w:rPr>
        <w:tab/>
      </w:r>
      <w:r w:rsidR="00C325A0">
        <w:rPr>
          <w:noProof/>
        </w:rPr>
        <w:fldChar w:fldCharType="begin"/>
      </w:r>
      <w:r>
        <w:rPr>
          <w:noProof/>
        </w:rPr>
        <w:instrText xml:space="preserve"> PAGEREF _Toc312069237 \h </w:instrText>
      </w:r>
      <w:r w:rsidR="00C325A0">
        <w:rPr>
          <w:noProof/>
        </w:rPr>
      </w:r>
      <w:r w:rsidR="00C325A0">
        <w:rPr>
          <w:noProof/>
        </w:rPr>
        <w:fldChar w:fldCharType="separate"/>
      </w:r>
      <w:r>
        <w:rPr>
          <w:noProof/>
        </w:rPr>
        <w:t>V.4</w:t>
      </w:r>
      <w:r w:rsidR="00C325A0">
        <w:rPr>
          <w:noProof/>
        </w:rPr>
        <w:fldChar w:fldCharType="end"/>
      </w:r>
    </w:p>
    <w:p w:rsidR="008102D8" w:rsidRDefault="008102D8">
      <w:pPr>
        <w:pStyle w:val="TOC1"/>
        <w:rPr>
          <w:rFonts w:asciiTheme="minorHAnsi" w:eastAsiaTheme="minorEastAsia" w:hAnsiTheme="minorHAnsi" w:cstheme="minorBidi"/>
          <w:b w:val="0"/>
          <w:bCs w:val="0"/>
          <w:caps w:val="0"/>
          <w:noProof/>
          <w:color w:val="auto"/>
          <w:sz w:val="22"/>
          <w:szCs w:val="22"/>
        </w:rPr>
      </w:pPr>
      <w:r w:rsidRPr="00676E33">
        <w:rPr>
          <w:noProof/>
        </w:rPr>
        <w:t>VI</w:t>
      </w:r>
      <w:r>
        <w:rPr>
          <w:rFonts w:asciiTheme="minorHAnsi" w:eastAsiaTheme="minorEastAsia" w:hAnsiTheme="minorHAnsi" w:cstheme="minorBidi"/>
          <w:b w:val="0"/>
          <w:bCs w:val="0"/>
          <w:caps w:val="0"/>
          <w:noProof/>
          <w:color w:val="auto"/>
          <w:sz w:val="22"/>
          <w:szCs w:val="22"/>
        </w:rPr>
        <w:tab/>
      </w:r>
      <w:r>
        <w:rPr>
          <w:noProof/>
        </w:rPr>
        <w:t>Beschrijving van overwogen alternatieven</w:t>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1.</w:t>
      </w:r>
      <w:r>
        <w:rPr>
          <w:rFonts w:asciiTheme="minorHAnsi" w:eastAsiaTheme="minorEastAsia" w:hAnsiTheme="minorHAnsi" w:cstheme="minorBidi"/>
          <w:b w:val="0"/>
          <w:smallCaps w:val="0"/>
          <w:noProof/>
          <w:spacing w:val="0"/>
          <w:sz w:val="22"/>
          <w:szCs w:val="22"/>
        </w:rPr>
        <w:tab/>
      </w:r>
      <w:r>
        <w:rPr>
          <w:noProof/>
        </w:rPr>
        <w:t>Nulalternatief</w:t>
      </w:r>
      <w:r>
        <w:rPr>
          <w:noProof/>
        </w:rPr>
        <w:tab/>
      </w:r>
      <w:r w:rsidR="00C325A0">
        <w:rPr>
          <w:noProof/>
        </w:rPr>
        <w:fldChar w:fldCharType="begin"/>
      </w:r>
      <w:r>
        <w:rPr>
          <w:noProof/>
        </w:rPr>
        <w:instrText xml:space="preserve"> PAGEREF _Toc312069239 \h </w:instrText>
      </w:r>
      <w:r w:rsidR="00C325A0">
        <w:rPr>
          <w:noProof/>
        </w:rPr>
      </w:r>
      <w:r w:rsidR="00C325A0">
        <w:rPr>
          <w:noProof/>
        </w:rPr>
        <w:fldChar w:fldCharType="separate"/>
      </w:r>
      <w:r>
        <w:rPr>
          <w:noProof/>
        </w:rPr>
        <w:t>VI.1</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2.</w:t>
      </w:r>
      <w:r>
        <w:rPr>
          <w:rFonts w:asciiTheme="minorHAnsi" w:eastAsiaTheme="minorEastAsia" w:hAnsiTheme="minorHAnsi" w:cstheme="minorBidi"/>
          <w:b w:val="0"/>
          <w:smallCaps w:val="0"/>
          <w:noProof/>
          <w:spacing w:val="0"/>
          <w:sz w:val="22"/>
          <w:szCs w:val="22"/>
        </w:rPr>
        <w:tab/>
      </w:r>
      <w:r>
        <w:rPr>
          <w:noProof/>
        </w:rPr>
        <w:t>Locatiealternatief</w:t>
      </w:r>
      <w:r>
        <w:rPr>
          <w:noProof/>
        </w:rPr>
        <w:tab/>
      </w:r>
      <w:r w:rsidR="00C325A0">
        <w:rPr>
          <w:noProof/>
        </w:rPr>
        <w:fldChar w:fldCharType="begin"/>
      </w:r>
      <w:r>
        <w:rPr>
          <w:noProof/>
        </w:rPr>
        <w:instrText xml:space="preserve"> PAGEREF _Toc312069240 \h </w:instrText>
      </w:r>
      <w:r w:rsidR="00C325A0">
        <w:rPr>
          <w:noProof/>
        </w:rPr>
      </w:r>
      <w:r w:rsidR="00C325A0">
        <w:rPr>
          <w:noProof/>
        </w:rPr>
        <w:fldChar w:fldCharType="separate"/>
      </w:r>
      <w:r>
        <w:rPr>
          <w:noProof/>
        </w:rPr>
        <w:t>VI.1</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3.</w:t>
      </w:r>
      <w:r>
        <w:rPr>
          <w:rFonts w:asciiTheme="minorHAnsi" w:eastAsiaTheme="minorEastAsia" w:hAnsiTheme="minorHAnsi" w:cstheme="minorBidi"/>
          <w:b w:val="0"/>
          <w:smallCaps w:val="0"/>
          <w:noProof/>
          <w:spacing w:val="0"/>
          <w:sz w:val="22"/>
          <w:szCs w:val="22"/>
        </w:rPr>
        <w:tab/>
      </w:r>
      <w:r>
        <w:rPr>
          <w:noProof/>
        </w:rPr>
        <w:t>Uitvoeringsalternatieven en BBT</w:t>
      </w:r>
      <w:r>
        <w:rPr>
          <w:noProof/>
        </w:rPr>
        <w:tab/>
      </w:r>
      <w:r w:rsidR="00C325A0">
        <w:rPr>
          <w:noProof/>
        </w:rPr>
        <w:fldChar w:fldCharType="begin"/>
      </w:r>
      <w:r>
        <w:rPr>
          <w:noProof/>
        </w:rPr>
        <w:instrText xml:space="preserve"> PAGEREF _Toc312069241 \h </w:instrText>
      </w:r>
      <w:r w:rsidR="00C325A0">
        <w:rPr>
          <w:noProof/>
        </w:rPr>
      </w:r>
      <w:r w:rsidR="00C325A0">
        <w:rPr>
          <w:noProof/>
        </w:rPr>
        <w:fldChar w:fldCharType="separate"/>
      </w:r>
      <w:r>
        <w:rPr>
          <w:noProof/>
        </w:rPr>
        <w:t>VI.1</w:t>
      </w:r>
      <w:r w:rsidR="00C325A0">
        <w:rPr>
          <w:noProof/>
        </w:rPr>
        <w:fldChar w:fldCharType="end"/>
      </w:r>
    </w:p>
    <w:p w:rsidR="008102D8" w:rsidRDefault="008102D8">
      <w:pPr>
        <w:pStyle w:val="TOC1"/>
        <w:rPr>
          <w:rFonts w:asciiTheme="minorHAnsi" w:eastAsiaTheme="minorEastAsia" w:hAnsiTheme="minorHAnsi" w:cstheme="minorBidi"/>
          <w:b w:val="0"/>
          <w:bCs w:val="0"/>
          <w:caps w:val="0"/>
          <w:noProof/>
          <w:color w:val="auto"/>
          <w:sz w:val="22"/>
          <w:szCs w:val="22"/>
        </w:rPr>
      </w:pPr>
      <w:r w:rsidRPr="00676E33">
        <w:rPr>
          <w:noProof/>
        </w:rPr>
        <w:t>VII</w:t>
      </w:r>
      <w:r>
        <w:rPr>
          <w:rFonts w:asciiTheme="minorHAnsi" w:eastAsiaTheme="minorEastAsia" w:hAnsiTheme="minorHAnsi" w:cstheme="minorBidi"/>
          <w:b w:val="0"/>
          <w:bCs w:val="0"/>
          <w:caps w:val="0"/>
          <w:noProof/>
          <w:color w:val="auto"/>
          <w:sz w:val="22"/>
          <w:szCs w:val="22"/>
        </w:rPr>
        <w:tab/>
      </w:r>
      <w:r>
        <w:rPr>
          <w:noProof/>
        </w:rPr>
        <w:t>ingreep-effectanalyse</w:t>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1.</w:t>
      </w:r>
      <w:r>
        <w:rPr>
          <w:rFonts w:asciiTheme="minorHAnsi" w:eastAsiaTheme="minorEastAsia" w:hAnsiTheme="minorHAnsi" w:cstheme="minorBidi"/>
          <w:b w:val="0"/>
          <w:smallCaps w:val="0"/>
          <w:noProof/>
          <w:spacing w:val="0"/>
          <w:sz w:val="22"/>
          <w:szCs w:val="22"/>
        </w:rPr>
        <w:tab/>
      </w:r>
      <w:r>
        <w:rPr>
          <w:noProof/>
        </w:rPr>
        <w:t>Ingreep-effectmatrix</w:t>
      </w:r>
      <w:r>
        <w:rPr>
          <w:noProof/>
        </w:rPr>
        <w:tab/>
      </w:r>
      <w:r w:rsidR="00C325A0">
        <w:rPr>
          <w:noProof/>
        </w:rPr>
        <w:fldChar w:fldCharType="begin"/>
      </w:r>
      <w:r>
        <w:rPr>
          <w:noProof/>
        </w:rPr>
        <w:instrText xml:space="preserve"> PAGEREF _Toc312069243 \h </w:instrText>
      </w:r>
      <w:r w:rsidR="00C325A0">
        <w:rPr>
          <w:noProof/>
        </w:rPr>
      </w:r>
      <w:r w:rsidR="00C325A0">
        <w:rPr>
          <w:noProof/>
        </w:rPr>
        <w:fldChar w:fldCharType="separate"/>
      </w:r>
      <w:r>
        <w:rPr>
          <w:noProof/>
        </w:rPr>
        <w:t>VII.1</w:t>
      </w:r>
      <w:r w:rsidR="00C325A0">
        <w:rPr>
          <w:noProof/>
        </w:rPr>
        <w:fldChar w:fldCharType="end"/>
      </w:r>
    </w:p>
    <w:p w:rsidR="008102D8" w:rsidRDefault="008102D8">
      <w:pPr>
        <w:pStyle w:val="TOC1"/>
        <w:rPr>
          <w:rFonts w:asciiTheme="minorHAnsi" w:eastAsiaTheme="minorEastAsia" w:hAnsiTheme="minorHAnsi" w:cstheme="minorBidi"/>
          <w:b w:val="0"/>
          <w:bCs w:val="0"/>
          <w:caps w:val="0"/>
          <w:noProof/>
          <w:color w:val="auto"/>
          <w:sz w:val="22"/>
          <w:szCs w:val="22"/>
        </w:rPr>
      </w:pPr>
      <w:r w:rsidRPr="00676E33">
        <w:rPr>
          <w:noProof/>
        </w:rPr>
        <w:t>VIII</w:t>
      </w:r>
      <w:r>
        <w:rPr>
          <w:rFonts w:asciiTheme="minorHAnsi" w:eastAsiaTheme="minorEastAsia" w:hAnsiTheme="minorHAnsi" w:cstheme="minorBidi"/>
          <w:b w:val="0"/>
          <w:bCs w:val="0"/>
          <w:caps w:val="0"/>
          <w:noProof/>
          <w:color w:val="auto"/>
          <w:sz w:val="22"/>
          <w:szCs w:val="22"/>
        </w:rPr>
        <w:tab/>
      </w:r>
      <w:r>
        <w:rPr>
          <w:noProof/>
        </w:rPr>
        <w:t>Effectvoorspelling en -beoordeling</w:t>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1.</w:t>
      </w:r>
      <w:r>
        <w:rPr>
          <w:rFonts w:asciiTheme="minorHAnsi" w:eastAsiaTheme="minorEastAsia" w:hAnsiTheme="minorHAnsi" w:cstheme="minorBidi"/>
          <w:b w:val="0"/>
          <w:smallCaps w:val="0"/>
          <w:noProof/>
          <w:spacing w:val="0"/>
          <w:sz w:val="22"/>
          <w:szCs w:val="22"/>
        </w:rPr>
        <w:tab/>
      </w:r>
      <w:r>
        <w:rPr>
          <w:noProof/>
        </w:rPr>
        <w:t>Oppervlaktewater</w:t>
      </w:r>
      <w:r>
        <w:rPr>
          <w:noProof/>
        </w:rPr>
        <w:tab/>
      </w:r>
      <w:r w:rsidR="00C325A0">
        <w:rPr>
          <w:noProof/>
        </w:rPr>
        <w:fldChar w:fldCharType="begin"/>
      </w:r>
      <w:r>
        <w:rPr>
          <w:noProof/>
        </w:rPr>
        <w:instrText xml:space="preserve"> PAGEREF _Toc312069245 \h </w:instrText>
      </w:r>
      <w:r w:rsidR="00C325A0">
        <w:rPr>
          <w:noProof/>
        </w:rPr>
      </w:r>
      <w:r w:rsidR="00C325A0">
        <w:rPr>
          <w:noProof/>
        </w:rPr>
        <w:fldChar w:fldCharType="separate"/>
      </w:r>
      <w:r>
        <w:rPr>
          <w:noProof/>
        </w:rPr>
        <w:t>VIII.2</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1.1</w:t>
      </w:r>
      <w:r>
        <w:rPr>
          <w:rFonts w:asciiTheme="minorHAnsi" w:eastAsiaTheme="minorEastAsia" w:hAnsiTheme="minorHAnsi" w:cstheme="minorBidi"/>
          <w:iCs w:val="0"/>
          <w:noProof/>
          <w:spacing w:val="0"/>
          <w:sz w:val="22"/>
          <w:szCs w:val="22"/>
        </w:rPr>
        <w:tab/>
      </w:r>
      <w:r>
        <w:rPr>
          <w:noProof/>
        </w:rPr>
        <w:t>Inleidend gedeelte</w:t>
      </w:r>
      <w:r>
        <w:rPr>
          <w:noProof/>
        </w:rPr>
        <w:tab/>
      </w:r>
      <w:r w:rsidR="00C325A0">
        <w:rPr>
          <w:noProof/>
        </w:rPr>
        <w:fldChar w:fldCharType="begin"/>
      </w:r>
      <w:r>
        <w:rPr>
          <w:noProof/>
        </w:rPr>
        <w:instrText xml:space="preserve"> PAGEREF _Toc312069246 \h </w:instrText>
      </w:r>
      <w:r w:rsidR="00C325A0">
        <w:rPr>
          <w:noProof/>
        </w:rPr>
      </w:r>
      <w:r w:rsidR="00C325A0">
        <w:rPr>
          <w:noProof/>
        </w:rPr>
        <w:fldChar w:fldCharType="separate"/>
      </w:r>
      <w:r>
        <w:rPr>
          <w:noProof/>
        </w:rPr>
        <w:t>VIII.2</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1.1.1</w:t>
      </w:r>
      <w:r>
        <w:rPr>
          <w:rFonts w:asciiTheme="minorHAnsi" w:eastAsiaTheme="minorEastAsia" w:hAnsiTheme="minorHAnsi" w:cstheme="minorBidi"/>
          <w:noProof/>
          <w:sz w:val="22"/>
          <w:szCs w:val="22"/>
        </w:rPr>
        <w:tab/>
      </w:r>
      <w:r>
        <w:rPr>
          <w:noProof/>
        </w:rPr>
        <w:t>Te onderscheiden stappen bij de uitwerking van de discipline</w:t>
      </w:r>
      <w:r>
        <w:rPr>
          <w:noProof/>
        </w:rPr>
        <w:tab/>
      </w:r>
      <w:r w:rsidR="00C325A0">
        <w:rPr>
          <w:noProof/>
        </w:rPr>
        <w:fldChar w:fldCharType="begin"/>
      </w:r>
      <w:r>
        <w:rPr>
          <w:noProof/>
        </w:rPr>
        <w:instrText xml:space="preserve"> PAGEREF _Toc312069247 \h </w:instrText>
      </w:r>
      <w:r w:rsidR="00C325A0">
        <w:rPr>
          <w:noProof/>
        </w:rPr>
      </w:r>
      <w:r w:rsidR="00C325A0">
        <w:rPr>
          <w:noProof/>
        </w:rPr>
        <w:fldChar w:fldCharType="separate"/>
      </w:r>
      <w:r>
        <w:rPr>
          <w:noProof/>
        </w:rPr>
        <w:t>VIII.2</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1.1.2</w:t>
      </w:r>
      <w:r>
        <w:rPr>
          <w:rFonts w:asciiTheme="minorHAnsi" w:eastAsiaTheme="minorEastAsia" w:hAnsiTheme="minorHAnsi" w:cstheme="minorBidi"/>
          <w:noProof/>
          <w:sz w:val="22"/>
          <w:szCs w:val="22"/>
        </w:rPr>
        <w:tab/>
      </w:r>
      <w:r>
        <w:rPr>
          <w:noProof/>
        </w:rPr>
        <w:t>effectvoorspelling en -beoordeling:</w:t>
      </w:r>
      <w:r>
        <w:rPr>
          <w:noProof/>
        </w:rPr>
        <w:tab/>
      </w:r>
      <w:r w:rsidR="00C325A0">
        <w:rPr>
          <w:noProof/>
        </w:rPr>
        <w:fldChar w:fldCharType="begin"/>
      </w:r>
      <w:r>
        <w:rPr>
          <w:noProof/>
        </w:rPr>
        <w:instrText xml:space="preserve"> PAGEREF _Toc312069248 \h </w:instrText>
      </w:r>
      <w:r w:rsidR="00C325A0">
        <w:rPr>
          <w:noProof/>
        </w:rPr>
      </w:r>
      <w:r w:rsidR="00C325A0">
        <w:rPr>
          <w:noProof/>
        </w:rPr>
        <w:fldChar w:fldCharType="separate"/>
      </w:r>
      <w:r>
        <w:rPr>
          <w:noProof/>
        </w:rPr>
        <w:t>VIII.2</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1.1.3</w:t>
      </w:r>
      <w:r>
        <w:rPr>
          <w:rFonts w:asciiTheme="minorHAnsi" w:eastAsiaTheme="minorEastAsia" w:hAnsiTheme="minorHAnsi" w:cstheme="minorBidi"/>
          <w:noProof/>
          <w:sz w:val="22"/>
          <w:szCs w:val="22"/>
        </w:rPr>
        <w:tab/>
      </w:r>
      <w:r>
        <w:rPr>
          <w:noProof/>
        </w:rPr>
        <w:t>milderende maatregelen:</w:t>
      </w:r>
      <w:r>
        <w:rPr>
          <w:noProof/>
        </w:rPr>
        <w:tab/>
      </w:r>
      <w:r w:rsidR="00C325A0">
        <w:rPr>
          <w:noProof/>
        </w:rPr>
        <w:fldChar w:fldCharType="begin"/>
      </w:r>
      <w:r>
        <w:rPr>
          <w:noProof/>
        </w:rPr>
        <w:instrText xml:space="preserve"> PAGEREF _Toc312069249 \h </w:instrText>
      </w:r>
      <w:r w:rsidR="00C325A0">
        <w:rPr>
          <w:noProof/>
        </w:rPr>
      </w:r>
      <w:r w:rsidR="00C325A0">
        <w:rPr>
          <w:noProof/>
        </w:rPr>
        <w:fldChar w:fldCharType="separate"/>
      </w:r>
      <w:r>
        <w:rPr>
          <w:noProof/>
        </w:rPr>
        <w:t>VIII.2</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1.2</w:t>
      </w:r>
      <w:r>
        <w:rPr>
          <w:rFonts w:asciiTheme="minorHAnsi" w:eastAsiaTheme="minorEastAsia" w:hAnsiTheme="minorHAnsi" w:cstheme="minorBidi"/>
          <w:iCs w:val="0"/>
          <w:noProof/>
          <w:spacing w:val="0"/>
          <w:sz w:val="22"/>
          <w:szCs w:val="22"/>
        </w:rPr>
        <w:tab/>
      </w:r>
      <w:r>
        <w:rPr>
          <w:noProof/>
        </w:rPr>
        <w:t>Afbakening en beschrijving studiegebied</w:t>
      </w:r>
      <w:r>
        <w:rPr>
          <w:noProof/>
        </w:rPr>
        <w:tab/>
      </w:r>
      <w:r w:rsidR="00C325A0">
        <w:rPr>
          <w:noProof/>
        </w:rPr>
        <w:fldChar w:fldCharType="begin"/>
      </w:r>
      <w:r>
        <w:rPr>
          <w:noProof/>
        </w:rPr>
        <w:instrText xml:space="preserve"> PAGEREF _Toc312069250 \h </w:instrText>
      </w:r>
      <w:r w:rsidR="00C325A0">
        <w:rPr>
          <w:noProof/>
        </w:rPr>
      </w:r>
      <w:r w:rsidR="00C325A0">
        <w:rPr>
          <w:noProof/>
        </w:rPr>
        <w:fldChar w:fldCharType="separate"/>
      </w:r>
      <w:r>
        <w:rPr>
          <w:noProof/>
        </w:rPr>
        <w:t>VIII.3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1.2.1</w:t>
      </w:r>
      <w:r>
        <w:rPr>
          <w:rFonts w:asciiTheme="minorHAnsi" w:eastAsiaTheme="minorEastAsia" w:hAnsiTheme="minorHAnsi" w:cstheme="minorBidi"/>
          <w:noProof/>
          <w:sz w:val="22"/>
          <w:szCs w:val="22"/>
        </w:rPr>
        <w:tab/>
      </w:r>
      <w:r>
        <w:rPr>
          <w:noProof/>
        </w:rPr>
        <w:t>Hydraulische kenmerken kanaaldokken</w:t>
      </w:r>
      <w:r>
        <w:rPr>
          <w:noProof/>
        </w:rPr>
        <w:tab/>
      </w:r>
      <w:r w:rsidR="00C325A0">
        <w:rPr>
          <w:noProof/>
        </w:rPr>
        <w:fldChar w:fldCharType="begin"/>
      </w:r>
      <w:r>
        <w:rPr>
          <w:noProof/>
        </w:rPr>
        <w:instrText xml:space="preserve"> PAGEREF _Toc312069251 \h </w:instrText>
      </w:r>
      <w:r w:rsidR="00C325A0">
        <w:rPr>
          <w:noProof/>
        </w:rPr>
      </w:r>
      <w:r w:rsidR="00C325A0">
        <w:rPr>
          <w:noProof/>
        </w:rPr>
        <w:fldChar w:fldCharType="separate"/>
      </w:r>
      <w:r>
        <w:rPr>
          <w:noProof/>
        </w:rPr>
        <w:t>VIII.3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1.2.2</w:t>
      </w:r>
      <w:r>
        <w:rPr>
          <w:rFonts w:asciiTheme="minorHAnsi" w:eastAsiaTheme="minorEastAsia" w:hAnsiTheme="minorHAnsi" w:cstheme="minorBidi"/>
          <w:noProof/>
          <w:sz w:val="22"/>
          <w:szCs w:val="22"/>
        </w:rPr>
        <w:tab/>
      </w:r>
      <w:r>
        <w:rPr>
          <w:noProof/>
        </w:rPr>
        <w:t>Kwaliteit van de havendokken</w:t>
      </w:r>
      <w:r>
        <w:rPr>
          <w:noProof/>
        </w:rPr>
        <w:tab/>
      </w:r>
      <w:r w:rsidR="00C325A0">
        <w:rPr>
          <w:noProof/>
        </w:rPr>
        <w:fldChar w:fldCharType="begin"/>
      </w:r>
      <w:r>
        <w:rPr>
          <w:noProof/>
        </w:rPr>
        <w:instrText xml:space="preserve"> PAGEREF _Toc312069252 \h </w:instrText>
      </w:r>
      <w:r w:rsidR="00C325A0">
        <w:rPr>
          <w:noProof/>
        </w:rPr>
      </w:r>
      <w:r w:rsidR="00C325A0">
        <w:rPr>
          <w:noProof/>
        </w:rPr>
        <w:fldChar w:fldCharType="separate"/>
      </w:r>
      <w:r>
        <w:rPr>
          <w:noProof/>
        </w:rPr>
        <w:t>VIII.4</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1.2.2.1</w:t>
      </w:r>
      <w:r>
        <w:rPr>
          <w:rFonts w:asciiTheme="minorHAnsi" w:eastAsiaTheme="minorEastAsia" w:hAnsiTheme="minorHAnsi" w:cstheme="minorBidi"/>
          <w:smallCaps w:val="0"/>
          <w:noProof/>
          <w:sz w:val="22"/>
          <w:szCs w:val="22"/>
        </w:rPr>
        <w:tab/>
      </w:r>
      <w:r>
        <w:rPr>
          <w:noProof/>
        </w:rPr>
        <w:t>Fysico-chemische kwaliteit</w:t>
      </w:r>
      <w:r>
        <w:rPr>
          <w:noProof/>
        </w:rPr>
        <w:tab/>
      </w:r>
      <w:r w:rsidR="00C325A0">
        <w:rPr>
          <w:noProof/>
        </w:rPr>
        <w:fldChar w:fldCharType="begin"/>
      </w:r>
      <w:r>
        <w:rPr>
          <w:noProof/>
        </w:rPr>
        <w:instrText xml:space="preserve"> PAGEREF _Toc312069253 \h </w:instrText>
      </w:r>
      <w:r w:rsidR="00C325A0">
        <w:rPr>
          <w:noProof/>
        </w:rPr>
      </w:r>
      <w:r w:rsidR="00C325A0">
        <w:rPr>
          <w:noProof/>
        </w:rPr>
        <w:fldChar w:fldCharType="separate"/>
      </w:r>
      <w:r>
        <w:rPr>
          <w:noProof/>
        </w:rPr>
        <w:t>VIII.4</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1.2.2.2</w:t>
      </w:r>
      <w:r>
        <w:rPr>
          <w:rFonts w:asciiTheme="minorHAnsi" w:eastAsiaTheme="minorEastAsia" w:hAnsiTheme="minorHAnsi" w:cstheme="minorBidi"/>
          <w:smallCaps w:val="0"/>
          <w:noProof/>
          <w:sz w:val="22"/>
          <w:szCs w:val="22"/>
        </w:rPr>
        <w:tab/>
      </w:r>
      <w:r>
        <w:rPr>
          <w:noProof/>
        </w:rPr>
        <w:t>Ecologisch potentieel / toestand</w:t>
      </w:r>
      <w:r>
        <w:rPr>
          <w:noProof/>
        </w:rPr>
        <w:tab/>
      </w:r>
      <w:r w:rsidR="00C325A0">
        <w:rPr>
          <w:noProof/>
        </w:rPr>
        <w:fldChar w:fldCharType="begin"/>
      </w:r>
      <w:r>
        <w:rPr>
          <w:noProof/>
        </w:rPr>
        <w:instrText xml:space="preserve"> PAGEREF _Toc312069254 \h </w:instrText>
      </w:r>
      <w:r w:rsidR="00C325A0">
        <w:rPr>
          <w:noProof/>
        </w:rPr>
      </w:r>
      <w:r w:rsidR="00C325A0">
        <w:rPr>
          <w:noProof/>
        </w:rPr>
        <w:fldChar w:fldCharType="separate"/>
      </w:r>
      <w:r>
        <w:rPr>
          <w:noProof/>
        </w:rPr>
        <w:t>VIII.5</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1.3</w:t>
      </w:r>
      <w:r>
        <w:rPr>
          <w:rFonts w:asciiTheme="minorHAnsi" w:eastAsiaTheme="minorEastAsia" w:hAnsiTheme="minorHAnsi" w:cstheme="minorBidi"/>
          <w:iCs w:val="0"/>
          <w:noProof/>
          <w:spacing w:val="0"/>
          <w:sz w:val="22"/>
          <w:szCs w:val="22"/>
        </w:rPr>
        <w:tab/>
      </w:r>
      <w:r>
        <w:rPr>
          <w:noProof/>
        </w:rPr>
        <w:t>Referentiesituatie</w:t>
      </w:r>
      <w:r>
        <w:rPr>
          <w:noProof/>
        </w:rPr>
        <w:tab/>
      </w:r>
      <w:r w:rsidR="00C325A0">
        <w:rPr>
          <w:noProof/>
        </w:rPr>
        <w:fldChar w:fldCharType="begin"/>
      </w:r>
      <w:r>
        <w:rPr>
          <w:noProof/>
        </w:rPr>
        <w:instrText xml:space="preserve"> PAGEREF _Toc312069255 \h </w:instrText>
      </w:r>
      <w:r w:rsidR="00C325A0">
        <w:rPr>
          <w:noProof/>
        </w:rPr>
      </w:r>
      <w:r w:rsidR="00C325A0">
        <w:rPr>
          <w:noProof/>
        </w:rPr>
        <w:fldChar w:fldCharType="separate"/>
      </w:r>
      <w:r>
        <w:rPr>
          <w:noProof/>
        </w:rPr>
        <w:t>VIII.5</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1.3.1</w:t>
      </w:r>
      <w:r>
        <w:rPr>
          <w:rFonts w:asciiTheme="minorHAnsi" w:eastAsiaTheme="minorEastAsia" w:hAnsiTheme="minorHAnsi" w:cstheme="minorBidi"/>
          <w:noProof/>
          <w:sz w:val="22"/>
          <w:szCs w:val="22"/>
        </w:rPr>
        <w:tab/>
      </w:r>
      <w:r>
        <w:rPr>
          <w:noProof/>
        </w:rPr>
        <w:t>Lozen van bedrijfsafvalwater</w:t>
      </w:r>
      <w:r>
        <w:rPr>
          <w:noProof/>
        </w:rPr>
        <w:tab/>
      </w:r>
      <w:r w:rsidR="00C325A0">
        <w:rPr>
          <w:noProof/>
        </w:rPr>
        <w:fldChar w:fldCharType="begin"/>
      </w:r>
      <w:r>
        <w:rPr>
          <w:noProof/>
        </w:rPr>
        <w:instrText xml:space="preserve"> PAGEREF _Toc312069256 \h </w:instrText>
      </w:r>
      <w:r w:rsidR="00C325A0">
        <w:rPr>
          <w:noProof/>
        </w:rPr>
      </w:r>
      <w:r w:rsidR="00C325A0">
        <w:rPr>
          <w:noProof/>
        </w:rPr>
        <w:fldChar w:fldCharType="separate"/>
      </w:r>
      <w:r>
        <w:rPr>
          <w:noProof/>
        </w:rPr>
        <w:t>VIII.5</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1.3.1.1</w:t>
      </w:r>
      <w:r>
        <w:rPr>
          <w:rFonts w:asciiTheme="minorHAnsi" w:eastAsiaTheme="minorEastAsia" w:hAnsiTheme="minorHAnsi" w:cstheme="minorBidi"/>
          <w:smallCaps w:val="0"/>
          <w:noProof/>
          <w:sz w:val="22"/>
          <w:szCs w:val="22"/>
        </w:rPr>
        <w:tab/>
      </w:r>
      <w:r>
        <w:rPr>
          <w:noProof/>
        </w:rPr>
        <w:t>Karakteristieken van het geloosde bedrijfsavalwater</w:t>
      </w:r>
      <w:r>
        <w:rPr>
          <w:noProof/>
        </w:rPr>
        <w:tab/>
      </w:r>
      <w:r w:rsidR="00C325A0">
        <w:rPr>
          <w:noProof/>
        </w:rPr>
        <w:fldChar w:fldCharType="begin"/>
      </w:r>
      <w:r>
        <w:rPr>
          <w:noProof/>
        </w:rPr>
        <w:instrText xml:space="preserve"> PAGEREF _Toc312069257 \h </w:instrText>
      </w:r>
      <w:r w:rsidR="00C325A0">
        <w:rPr>
          <w:noProof/>
        </w:rPr>
      </w:r>
      <w:r w:rsidR="00C325A0">
        <w:rPr>
          <w:noProof/>
        </w:rPr>
        <w:fldChar w:fldCharType="separate"/>
      </w:r>
      <w:r>
        <w:rPr>
          <w:noProof/>
        </w:rPr>
        <w:t>VIII.5</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1.3.1.2</w:t>
      </w:r>
      <w:r>
        <w:rPr>
          <w:rFonts w:asciiTheme="minorHAnsi" w:eastAsiaTheme="minorEastAsia" w:hAnsiTheme="minorHAnsi" w:cstheme="minorBidi"/>
          <w:smallCaps w:val="0"/>
          <w:noProof/>
          <w:sz w:val="22"/>
          <w:szCs w:val="22"/>
        </w:rPr>
        <w:tab/>
      </w:r>
      <w:r>
        <w:rPr>
          <w:noProof/>
        </w:rPr>
        <w:t>Beïnvloeding kwaliteit dokken</w:t>
      </w:r>
      <w:r>
        <w:rPr>
          <w:noProof/>
        </w:rPr>
        <w:tab/>
      </w:r>
      <w:r w:rsidR="00C325A0">
        <w:rPr>
          <w:noProof/>
        </w:rPr>
        <w:fldChar w:fldCharType="begin"/>
      </w:r>
      <w:r>
        <w:rPr>
          <w:noProof/>
        </w:rPr>
        <w:instrText xml:space="preserve"> PAGEREF _Toc312069258 \h </w:instrText>
      </w:r>
      <w:r w:rsidR="00C325A0">
        <w:rPr>
          <w:noProof/>
        </w:rPr>
      </w:r>
      <w:r w:rsidR="00C325A0">
        <w:rPr>
          <w:noProof/>
        </w:rPr>
        <w:fldChar w:fldCharType="separate"/>
      </w:r>
      <w:r>
        <w:rPr>
          <w:noProof/>
        </w:rPr>
        <w:t>VIII.11</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1.3.2</w:t>
      </w:r>
      <w:r>
        <w:rPr>
          <w:rFonts w:asciiTheme="minorHAnsi" w:eastAsiaTheme="minorEastAsia" w:hAnsiTheme="minorHAnsi" w:cstheme="minorBidi"/>
          <w:noProof/>
          <w:sz w:val="22"/>
          <w:szCs w:val="22"/>
        </w:rPr>
        <w:tab/>
      </w:r>
      <w:r>
        <w:rPr>
          <w:noProof/>
        </w:rPr>
        <w:t>Lozen van huishoudelijk afvalwater</w:t>
      </w:r>
      <w:r>
        <w:rPr>
          <w:noProof/>
        </w:rPr>
        <w:tab/>
      </w:r>
      <w:r w:rsidR="00C325A0">
        <w:rPr>
          <w:noProof/>
        </w:rPr>
        <w:fldChar w:fldCharType="begin"/>
      </w:r>
      <w:r>
        <w:rPr>
          <w:noProof/>
        </w:rPr>
        <w:instrText xml:space="preserve"> PAGEREF _Toc312069259 \h </w:instrText>
      </w:r>
      <w:r w:rsidR="00C325A0">
        <w:rPr>
          <w:noProof/>
        </w:rPr>
      </w:r>
      <w:r w:rsidR="00C325A0">
        <w:rPr>
          <w:noProof/>
        </w:rPr>
        <w:fldChar w:fldCharType="separate"/>
      </w:r>
      <w:r>
        <w:rPr>
          <w:noProof/>
        </w:rPr>
        <w:t>VIII.12</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1.3.3</w:t>
      </w:r>
      <w:r>
        <w:rPr>
          <w:rFonts w:asciiTheme="minorHAnsi" w:eastAsiaTheme="minorEastAsia" w:hAnsiTheme="minorHAnsi" w:cstheme="minorBidi"/>
          <w:noProof/>
          <w:sz w:val="22"/>
          <w:szCs w:val="22"/>
        </w:rPr>
        <w:tab/>
      </w:r>
      <w:r>
        <w:rPr>
          <w:noProof/>
        </w:rPr>
        <w:t>Lozen van niet verontreinigd hemelwater</w:t>
      </w:r>
      <w:r>
        <w:rPr>
          <w:noProof/>
        </w:rPr>
        <w:tab/>
      </w:r>
      <w:r w:rsidR="00C325A0">
        <w:rPr>
          <w:noProof/>
        </w:rPr>
        <w:fldChar w:fldCharType="begin"/>
      </w:r>
      <w:r>
        <w:rPr>
          <w:noProof/>
        </w:rPr>
        <w:instrText xml:space="preserve"> PAGEREF _Toc312069260 \h </w:instrText>
      </w:r>
      <w:r w:rsidR="00C325A0">
        <w:rPr>
          <w:noProof/>
        </w:rPr>
      </w:r>
      <w:r w:rsidR="00C325A0">
        <w:rPr>
          <w:noProof/>
        </w:rPr>
        <w:fldChar w:fldCharType="separate"/>
      </w:r>
      <w:r>
        <w:rPr>
          <w:noProof/>
        </w:rPr>
        <w:t>VIII.12</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1.3.4</w:t>
      </w:r>
      <w:r>
        <w:rPr>
          <w:rFonts w:asciiTheme="minorHAnsi" w:eastAsiaTheme="minorEastAsia" w:hAnsiTheme="minorHAnsi" w:cstheme="minorBidi"/>
          <w:noProof/>
          <w:sz w:val="22"/>
          <w:szCs w:val="22"/>
        </w:rPr>
        <w:tab/>
      </w:r>
      <w:r>
        <w:rPr>
          <w:noProof/>
        </w:rPr>
        <w:t>Captatie van oppervlaktewater</w:t>
      </w:r>
      <w:r>
        <w:rPr>
          <w:noProof/>
        </w:rPr>
        <w:tab/>
      </w:r>
      <w:r w:rsidR="00C325A0">
        <w:rPr>
          <w:noProof/>
        </w:rPr>
        <w:fldChar w:fldCharType="begin"/>
      </w:r>
      <w:r>
        <w:rPr>
          <w:noProof/>
        </w:rPr>
        <w:instrText xml:space="preserve"> PAGEREF _Toc312069261 \h </w:instrText>
      </w:r>
      <w:r w:rsidR="00C325A0">
        <w:rPr>
          <w:noProof/>
        </w:rPr>
      </w:r>
      <w:r w:rsidR="00C325A0">
        <w:rPr>
          <w:noProof/>
        </w:rPr>
        <w:fldChar w:fldCharType="separate"/>
      </w:r>
      <w:r>
        <w:rPr>
          <w:noProof/>
        </w:rPr>
        <w:t>VIII.12</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1.4</w:t>
      </w:r>
      <w:r>
        <w:rPr>
          <w:rFonts w:asciiTheme="minorHAnsi" w:eastAsiaTheme="minorEastAsia" w:hAnsiTheme="minorHAnsi" w:cstheme="minorBidi"/>
          <w:iCs w:val="0"/>
          <w:noProof/>
          <w:spacing w:val="0"/>
          <w:sz w:val="22"/>
          <w:szCs w:val="22"/>
        </w:rPr>
        <w:tab/>
      </w:r>
      <w:r>
        <w:rPr>
          <w:noProof/>
        </w:rPr>
        <w:t>Geplande situatie</w:t>
      </w:r>
      <w:r>
        <w:rPr>
          <w:noProof/>
        </w:rPr>
        <w:tab/>
      </w:r>
      <w:r w:rsidR="00C325A0">
        <w:rPr>
          <w:noProof/>
        </w:rPr>
        <w:fldChar w:fldCharType="begin"/>
      </w:r>
      <w:r>
        <w:rPr>
          <w:noProof/>
        </w:rPr>
        <w:instrText xml:space="preserve"> PAGEREF _Toc312069262 \h </w:instrText>
      </w:r>
      <w:r w:rsidR="00C325A0">
        <w:rPr>
          <w:noProof/>
        </w:rPr>
      </w:r>
      <w:r w:rsidR="00C325A0">
        <w:rPr>
          <w:noProof/>
        </w:rPr>
        <w:fldChar w:fldCharType="separate"/>
      </w:r>
      <w:r>
        <w:rPr>
          <w:noProof/>
        </w:rPr>
        <w:t>VIII.13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1.4.1</w:t>
      </w:r>
      <w:r>
        <w:rPr>
          <w:rFonts w:asciiTheme="minorHAnsi" w:eastAsiaTheme="minorEastAsia" w:hAnsiTheme="minorHAnsi" w:cstheme="minorBidi"/>
          <w:noProof/>
          <w:sz w:val="22"/>
          <w:szCs w:val="22"/>
        </w:rPr>
        <w:tab/>
      </w:r>
      <w:r>
        <w:rPr>
          <w:noProof/>
        </w:rPr>
        <w:t>Lozen van bedrijfsafvalwater</w:t>
      </w:r>
      <w:r>
        <w:rPr>
          <w:noProof/>
        </w:rPr>
        <w:tab/>
      </w:r>
      <w:r w:rsidR="00C325A0">
        <w:rPr>
          <w:noProof/>
        </w:rPr>
        <w:fldChar w:fldCharType="begin"/>
      </w:r>
      <w:r>
        <w:rPr>
          <w:noProof/>
        </w:rPr>
        <w:instrText xml:space="preserve"> PAGEREF _Toc312069263 \h </w:instrText>
      </w:r>
      <w:r w:rsidR="00C325A0">
        <w:rPr>
          <w:noProof/>
        </w:rPr>
      </w:r>
      <w:r w:rsidR="00C325A0">
        <w:rPr>
          <w:noProof/>
        </w:rPr>
        <w:fldChar w:fldCharType="separate"/>
      </w:r>
      <w:r>
        <w:rPr>
          <w:noProof/>
        </w:rPr>
        <w:t>VIII.13</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1.4.1.1</w:t>
      </w:r>
      <w:r>
        <w:rPr>
          <w:rFonts w:asciiTheme="minorHAnsi" w:eastAsiaTheme="minorEastAsia" w:hAnsiTheme="minorHAnsi" w:cstheme="minorBidi"/>
          <w:smallCaps w:val="0"/>
          <w:noProof/>
          <w:sz w:val="22"/>
          <w:szCs w:val="22"/>
        </w:rPr>
        <w:tab/>
      </w:r>
      <w:r>
        <w:rPr>
          <w:noProof/>
        </w:rPr>
        <w:t>Karakteristieken van het geloosde bedrijfsavalwater</w:t>
      </w:r>
      <w:r>
        <w:rPr>
          <w:noProof/>
        </w:rPr>
        <w:tab/>
      </w:r>
      <w:r w:rsidR="00C325A0">
        <w:rPr>
          <w:noProof/>
        </w:rPr>
        <w:fldChar w:fldCharType="begin"/>
      </w:r>
      <w:r>
        <w:rPr>
          <w:noProof/>
        </w:rPr>
        <w:instrText xml:space="preserve"> PAGEREF _Toc312069264 \h </w:instrText>
      </w:r>
      <w:r w:rsidR="00C325A0">
        <w:rPr>
          <w:noProof/>
        </w:rPr>
      </w:r>
      <w:r w:rsidR="00C325A0">
        <w:rPr>
          <w:noProof/>
        </w:rPr>
        <w:fldChar w:fldCharType="separate"/>
      </w:r>
      <w:r>
        <w:rPr>
          <w:noProof/>
        </w:rPr>
        <w:t>VIII.13</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1.4.1.2</w:t>
      </w:r>
      <w:r>
        <w:rPr>
          <w:rFonts w:asciiTheme="minorHAnsi" w:eastAsiaTheme="minorEastAsia" w:hAnsiTheme="minorHAnsi" w:cstheme="minorBidi"/>
          <w:smallCaps w:val="0"/>
          <w:noProof/>
          <w:sz w:val="22"/>
          <w:szCs w:val="22"/>
        </w:rPr>
        <w:tab/>
      </w:r>
      <w:r>
        <w:rPr>
          <w:noProof/>
        </w:rPr>
        <w:t>Beïnvloeding kwaliteit dokken</w:t>
      </w:r>
      <w:r>
        <w:rPr>
          <w:noProof/>
        </w:rPr>
        <w:tab/>
      </w:r>
      <w:r w:rsidR="00C325A0">
        <w:rPr>
          <w:noProof/>
        </w:rPr>
        <w:fldChar w:fldCharType="begin"/>
      </w:r>
      <w:r>
        <w:rPr>
          <w:noProof/>
        </w:rPr>
        <w:instrText xml:space="preserve"> PAGEREF _Toc312069265 \h </w:instrText>
      </w:r>
      <w:r w:rsidR="00C325A0">
        <w:rPr>
          <w:noProof/>
        </w:rPr>
      </w:r>
      <w:r w:rsidR="00C325A0">
        <w:rPr>
          <w:noProof/>
        </w:rPr>
        <w:fldChar w:fldCharType="separate"/>
      </w:r>
      <w:r>
        <w:rPr>
          <w:noProof/>
        </w:rPr>
        <w:t>VIII.14</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1.4.1.3</w:t>
      </w:r>
      <w:r>
        <w:rPr>
          <w:rFonts w:asciiTheme="minorHAnsi" w:eastAsiaTheme="minorEastAsia" w:hAnsiTheme="minorHAnsi" w:cstheme="minorBidi"/>
          <w:smallCaps w:val="0"/>
          <w:noProof/>
          <w:sz w:val="22"/>
          <w:szCs w:val="22"/>
        </w:rPr>
        <w:tab/>
      </w:r>
      <w:r>
        <w:rPr>
          <w:noProof/>
        </w:rPr>
        <w:t>Significantiebeoordeling</w:t>
      </w:r>
      <w:r>
        <w:rPr>
          <w:noProof/>
        </w:rPr>
        <w:tab/>
      </w:r>
      <w:r w:rsidR="00C325A0">
        <w:rPr>
          <w:noProof/>
        </w:rPr>
        <w:fldChar w:fldCharType="begin"/>
      </w:r>
      <w:r>
        <w:rPr>
          <w:noProof/>
        </w:rPr>
        <w:instrText xml:space="preserve"> PAGEREF _Toc312069266 \h </w:instrText>
      </w:r>
      <w:r w:rsidR="00C325A0">
        <w:rPr>
          <w:noProof/>
        </w:rPr>
      </w:r>
      <w:r w:rsidR="00C325A0">
        <w:rPr>
          <w:noProof/>
        </w:rPr>
        <w:fldChar w:fldCharType="separate"/>
      </w:r>
      <w:r>
        <w:rPr>
          <w:noProof/>
        </w:rPr>
        <w:t>VIII.15</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1.4.1.4</w:t>
      </w:r>
      <w:r>
        <w:rPr>
          <w:rFonts w:asciiTheme="minorHAnsi" w:eastAsiaTheme="minorEastAsia" w:hAnsiTheme="minorHAnsi" w:cstheme="minorBidi"/>
          <w:smallCaps w:val="0"/>
          <w:noProof/>
          <w:sz w:val="22"/>
          <w:szCs w:val="22"/>
        </w:rPr>
        <w:tab/>
      </w:r>
      <w:r>
        <w:rPr>
          <w:noProof/>
        </w:rPr>
        <w:t>Evaluatie beoogde lozingsvoorwaarden</w:t>
      </w:r>
      <w:r>
        <w:rPr>
          <w:noProof/>
        </w:rPr>
        <w:tab/>
      </w:r>
      <w:r w:rsidR="00C325A0">
        <w:rPr>
          <w:noProof/>
        </w:rPr>
        <w:fldChar w:fldCharType="begin"/>
      </w:r>
      <w:r>
        <w:rPr>
          <w:noProof/>
        </w:rPr>
        <w:instrText xml:space="preserve"> PAGEREF _Toc312069267 \h </w:instrText>
      </w:r>
      <w:r w:rsidR="00C325A0">
        <w:rPr>
          <w:noProof/>
        </w:rPr>
      </w:r>
      <w:r w:rsidR="00C325A0">
        <w:rPr>
          <w:noProof/>
        </w:rPr>
        <w:fldChar w:fldCharType="separate"/>
      </w:r>
      <w:r>
        <w:rPr>
          <w:noProof/>
        </w:rPr>
        <w:t>VIII.16</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1.4.2</w:t>
      </w:r>
      <w:r>
        <w:rPr>
          <w:rFonts w:asciiTheme="minorHAnsi" w:eastAsiaTheme="minorEastAsia" w:hAnsiTheme="minorHAnsi" w:cstheme="minorBidi"/>
          <w:noProof/>
          <w:sz w:val="22"/>
          <w:szCs w:val="22"/>
        </w:rPr>
        <w:tab/>
      </w:r>
      <w:r>
        <w:rPr>
          <w:noProof/>
        </w:rPr>
        <w:t>Lozen van huishoudelijk afvalwater</w:t>
      </w:r>
      <w:r>
        <w:rPr>
          <w:noProof/>
        </w:rPr>
        <w:tab/>
      </w:r>
      <w:r w:rsidR="00C325A0">
        <w:rPr>
          <w:noProof/>
        </w:rPr>
        <w:fldChar w:fldCharType="begin"/>
      </w:r>
      <w:r>
        <w:rPr>
          <w:noProof/>
        </w:rPr>
        <w:instrText xml:space="preserve"> PAGEREF _Toc312069268 \h </w:instrText>
      </w:r>
      <w:r w:rsidR="00C325A0">
        <w:rPr>
          <w:noProof/>
        </w:rPr>
      </w:r>
      <w:r w:rsidR="00C325A0">
        <w:rPr>
          <w:noProof/>
        </w:rPr>
        <w:fldChar w:fldCharType="separate"/>
      </w:r>
      <w:r>
        <w:rPr>
          <w:noProof/>
        </w:rPr>
        <w:t>VIII.23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1.4.3</w:t>
      </w:r>
      <w:r>
        <w:rPr>
          <w:rFonts w:asciiTheme="minorHAnsi" w:eastAsiaTheme="minorEastAsia" w:hAnsiTheme="minorHAnsi" w:cstheme="minorBidi"/>
          <w:noProof/>
          <w:sz w:val="22"/>
          <w:szCs w:val="22"/>
        </w:rPr>
        <w:tab/>
      </w:r>
      <w:r>
        <w:rPr>
          <w:noProof/>
        </w:rPr>
        <w:t>Captatie van oppervlaktewater</w:t>
      </w:r>
      <w:r>
        <w:rPr>
          <w:noProof/>
        </w:rPr>
        <w:tab/>
      </w:r>
      <w:r w:rsidR="00C325A0">
        <w:rPr>
          <w:noProof/>
        </w:rPr>
        <w:fldChar w:fldCharType="begin"/>
      </w:r>
      <w:r>
        <w:rPr>
          <w:noProof/>
        </w:rPr>
        <w:instrText xml:space="preserve"> PAGEREF _Toc312069269 \h </w:instrText>
      </w:r>
      <w:r w:rsidR="00C325A0">
        <w:rPr>
          <w:noProof/>
        </w:rPr>
      </w:r>
      <w:r w:rsidR="00C325A0">
        <w:rPr>
          <w:noProof/>
        </w:rPr>
        <w:fldChar w:fldCharType="separate"/>
      </w:r>
      <w:r>
        <w:rPr>
          <w:noProof/>
        </w:rPr>
        <w:t>VIII.23</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lastRenderedPageBreak/>
        <w:t>1.5</w:t>
      </w:r>
      <w:r>
        <w:rPr>
          <w:rFonts w:asciiTheme="minorHAnsi" w:eastAsiaTheme="minorEastAsia" w:hAnsiTheme="minorHAnsi" w:cstheme="minorBidi"/>
          <w:iCs w:val="0"/>
          <w:noProof/>
          <w:spacing w:val="0"/>
          <w:sz w:val="22"/>
          <w:szCs w:val="22"/>
        </w:rPr>
        <w:tab/>
      </w:r>
      <w:r>
        <w:rPr>
          <w:noProof/>
        </w:rPr>
        <w:t>Incidenten / calamiteiten</w:t>
      </w:r>
      <w:r>
        <w:rPr>
          <w:noProof/>
        </w:rPr>
        <w:tab/>
      </w:r>
      <w:r w:rsidR="00C325A0">
        <w:rPr>
          <w:noProof/>
        </w:rPr>
        <w:fldChar w:fldCharType="begin"/>
      </w:r>
      <w:r>
        <w:rPr>
          <w:noProof/>
        </w:rPr>
        <w:instrText xml:space="preserve"> PAGEREF _Toc312069270 \h </w:instrText>
      </w:r>
      <w:r w:rsidR="00C325A0">
        <w:rPr>
          <w:noProof/>
        </w:rPr>
      </w:r>
      <w:r w:rsidR="00C325A0">
        <w:rPr>
          <w:noProof/>
        </w:rPr>
        <w:fldChar w:fldCharType="separate"/>
      </w:r>
      <w:r>
        <w:rPr>
          <w:noProof/>
        </w:rPr>
        <w:t>VIII.23</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2.</w:t>
      </w:r>
      <w:r>
        <w:rPr>
          <w:rFonts w:asciiTheme="minorHAnsi" w:eastAsiaTheme="minorEastAsia" w:hAnsiTheme="minorHAnsi" w:cstheme="minorBidi"/>
          <w:b w:val="0"/>
          <w:smallCaps w:val="0"/>
          <w:noProof/>
          <w:spacing w:val="0"/>
          <w:sz w:val="22"/>
          <w:szCs w:val="22"/>
        </w:rPr>
        <w:tab/>
      </w:r>
      <w:r>
        <w:rPr>
          <w:noProof/>
        </w:rPr>
        <w:t>Lucht</w:t>
      </w:r>
      <w:r>
        <w:rPr>
          <w:noProof/>
        </w:rPr>
        <w:tab/>
      </w:r>
      <w:r w:rsidR="00C325A0">
        <w:rPr>
          <w:noProof/>
        </w:rPr>
        <w:fldChar w:fldCharType="begin"/>
      </w:r>
      <w:r>
        <w:rPr>
          <w:noProof/>
        </w:rPr>
        <w:instrText xml:space="preserve"> PAGEREF _Toc312069271 \h </w:instrText>
      </w:r>
      <w:r w:rsidR="00C325A0">
        <w:rPr>
          <w:noProof/>
        </w:rPr>
      </w:r>
      <w:r w:rsidR="00C325A0">
        <w:rPr>
          <w:noProof/>
        </w:rPr>
        <w:fldChar w:fldCharType="separate"/>
      </w:r>
      <w:r>
        <w:rPr>
          <w:noProof/>
        </w:rPr>
        <w:t>VIII.24</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rFonts w:cs="Arial"/>
          <w:noProof/>
          <w:spacing w:val="0"/>
        </w:rPr>
        <w:t>2.1</w:t>
      </w:r>
      <w:r>
        <w:rPr>
          <w:rFonts w:asciiTheme="minorHAnsi" w:eastAsiaTheme="minorEastAsia" w:hAnsiTheme="minorHAnsi" w:cstheme="minorBidi"/>
          <w:iCs w:val="0"/>
          <w:noProof/>
          <w:spacing w:val="0"/>
          <w:sz w:val="22"/>
          <w:szCs w:val="22"/>
        </w:rPr>
        <w:tab/>
      </w:r>
      <w:r>
        <w:rPr>
          <w:noProof/>
        </w:rPr>
        <w:t>Beknopte beschrijving van methodiek</w:t>
      </w:r>
      <w:r>
        <w:rPr>
          <w:noProof/>
        </w:rPr>
        <w:tab/>
      </w:r>
      <w:r w:rsidR="00C325A0">
        <w:rPr>
          <w:noProof/>
        </w:rPr>
        <w:fldChar w:fldCharType="begin"/>
      </w:r>
      <w:r>
        <w:rPr>
          <w:noProof/>
        </w:rPr>
        <w:instrText xml:space="preserve"> PAGEREF _Toc312069272 \h </w:instrText>
      </w:r>
      <w:r w:rsidR="00C325A0">
        <w:rPr>
          <w:noProof/>
        </w:rPr>
      </w:r>
      <w:r w:rsidR="00C325A0">
        <w:rPr>
          <w:noProof/>
        </w:rPr>
        <w:fldChar w:fldCharType="separate"/>
      </w:r>
      <w:r>
        <w:rPr>
          <w:noProof/>
        </w:rPr>
        <w:t>VIII.24</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2.2</w:t>
      </w:r>
      <w:r>
        <w:rPr>
          <w:rFonts w:asciiTheme="minorHAnsi" w:eastAsiaTheme="minorEastAsia" w:hAnsiTheme="minorHAnsi" w:cstheme="minorBidi"/>
          <w:iCs w:val="0"/>
          <w:noProof/>
          <w:spacing w:val="0"/>
          <w:sz w:val="22"/>
          <w:szCs w:val="22"/>
        </w:rPr>
        <w:tab/>
      </w:r>
      <w:r>
        <w:rPr>
          <w:noProof/>
        </w:rPr>
        <w:t>Beoordelingskader</w:t>
      </w:r>
      <w:r>
        <w:rPr>
          <w:noProof/>
        </w:rPr>
        <w:tab/>
      </w:r>
      <w:r w:rsidR="00C325A0">
        <w:rPr>
          <w:noProof/>
        </w:rPr>
        <w:fldChar w:fldCharType="begin"/>
      </w:r>
      <w:r>
        <w:rPr>
          <w:noProof/>
        </w:rPr>
        <w:instrText xml:space="preserve"> PAGEREF _Toc312069273 \h </w:instrText>
      </w:r>
      <w:r w:rsidR="00C325A0">
        <w:rPr>
          <w:noProof/>
        </w:rPr>
      </w:r>
      <w:r w:rsidR="00C325A0">
        <w:rPr>
          <w:noProof/>
        </w:rPr>
        <w:fldChar w:fldCharType="separate"/>
      </w:r>
      <w:r>
        <w:rPr>
          <w:noProof/>
        </w:rPr>
        <w:t>VIII.25</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2.3</w:t>
      </w:r>
      <w:r>
        <w:rPr>
          <w:rFonts w:asciiTheme="minorHAnsi" w:eastAsiaTheme="minorEastAsia" w:hAnsiTheme="minorHAnsi" w:cstheme="minorBidi"/>
          <w:iCs w:val="0"/>
          <w:noProof/>
          <w:spacing w:val="0"/>
          <w:sz w:val="22"/>
          <w:szCs w:val="22"/>
        </w:rPr>
        <w:tab/>
      </w:r>
      <w:r>
        <w:rPr>
          <w:noProof/>
        </w:rPr>
        <w:t>Grenswaarden en –richtwaarden luchtkwaliteit toegepast bij het beoordelingskader</w:t>
      </w:r>
      <w:r>
        <w:rPr>
          <w:noProof/>
        </w:rPr>
        <w:tab/>
      </w:r>
      <w:r w:rsidR="00C325A0">
        <w:rPr>
          <w:noProof/>
        </w:rPr>
        <w:fldChar w:fldCharType="begin"/>
      </w:r>
      <w:r>
        <w:rPr>
          <w:noProof/>
        </w:rPr>
        <w:instrText xml:space="preserve"> PAGEREF _Toc312069274 \h </w:instrText>
      </w:r>
      <w:r w:rsidR="00C325A0">
        <w:rPr>
          <w:noProof/>
        </w:rPr>
      </w:r>
      <w:r w:rsidR="00C325A0">
        <w:rPr>
          <w:noProof/>
        </w:rPr>
        <w:fldChar w:fldCharType="separate"/>
      </w:r>
      <w:r>
        <w:rPr>
          <w:noProof/>
        </w:rPr>
        <w:t>VIII.27</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rFonts w:cs="Arial"/>
          <w:noProof/>
        </w:rPr>
        <w:t>Geur(hinder)</w:t>
      </w:r>
      <w:r>
        <w:rPr>
          <w:noProof/>
        </w:rPr>
        <w:tab/>
      </w:r>
      <w:r w:rsidR="00C325A0">
        <w:rPr>
          <w:noProof/>
        </w:rPr>
        <w:fldChar w:fldCharType="begin"/>
      </w:r>
      <w:r>
        <w:rPr>
          <w:noProof/>
        </w:rPr>
        <w:instrText xml:space="preserve"> PAGEREF _Toc312069275 \h </w:instrText>
      </w:r>
      <w:r w:rsidR="00C325A0">
        <w:rPr>
          <w:noProof/>
        </w:rPr>
      </w:r>
      <w:r w:rsidR="00C325A0">
        <w:rPr>
          <w:noProof/>
        </w:rPr>
        <w:fldChar w:fldCharType="separate"/>
      </w:r>
      <w:r>
        <w:rPr>
          <w:noProof/>
        </w:rPr>
        <w:t>VIII.32</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2.4</w:t>
      </w:r>
      <w:r>
        <w:rPr>
          <w:rFonts w:asciiTheme="minorHAnsi" w:eastAsiaTheme="minorEastAsia" w:hAnsiTheme="minorHAnsi" w:cstheme="minorBidi"/>
          <w:iCs w:val="0"/>
          <w:noProof/>
          <w:spacing w:val="0"/>
          <w:sz w:val="22"/>
          <w:szCs w:val="22"/>
        </w:rPr>
        <w:tab/>
      </w:r>
      <w:r>
        <w:rPr>
          <w:noProof/>
        </w:rPr>
        <w:t>Afbakening en beschrijving studiegebied</w:t>
      </w:r>
      <w:r>
        <w:rPr>
          <w:noProof/>
        </w:rPr>
        <w:tab/>
      </w:r>
      <w:r w:rsidR="00C325A0">
        <w:rPr>
          <w:noProof/>
        </w:rPr>
        <w:fldChar w:fldCharType="begin"/>
      </w:r>
      <w:r>
        <w:rPr>
          <w:noProof/>
        </w:rPr>
        <w:instrText xml:space="preserve"> PAGEREF _Toc312069276 \h </w:instrText>
      </w:r>
      <w:r w:rsidR="00C325A0">
        <w:rPr>
          <w:noProof/>
        </w:rPr>
      </w:r>
      <w:r w:rsidR="00C325A0">
        <w:rPr>
          <w:noProof/>
        </w:rPr>
        <w:fldChar w:fldCharType="separate"/>
      </w:r>
      <w:r>
        <w:rPr>
          <w:noProof/>
        </w:rPr>
        <w:t>VIII.33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2.4.1</w:t>
      </w:r>
      <w:r>
        <w:rPr>
          <w:rFonts w:asciiTheme="minorHAnsi" w:eastAsiaTheme="minorEastAsia" w:hAnsiTheme="minorHAnsi" w:cstheme="minorBidi"/>
          <w:noProof/>
          <w:sz w:val="22"/>
          <w:szCs w:val="22"/>
        </w:rPr>
        <w:tab/>
      </w:r>
      <w:r>
        <w:rPr>
          <w:noProof/>
        </w:rPr>
        <w:t>Afbakening studiegebied</w:t>
      </w:r>
      <w:r>
        <w:rPr>
          <w:noProof/>
        </w:rPr>
        <w:tab/>
      </w:r>
      <w:r w:rsidR="00C325A0">
        <w:rPr>
          <w:noProof/>
        </w:rPr>
        <w:fldChar w:fldCharType="begin"/>
      </w:r>
      <w:r>
        <w:rPr>
          <w:noProof/>
        </w:rPr>
        <w:instrText xml:space="preserve"> PAGEREF _Toc312069277 \h </w:instrText>
      </w:r>
      <w:r w:rsidR="00C325A0">
        <w:rPr>
          <w:noProof/>
        </w:rPr>
      </w:r>
      <w:r w:rsidR="00C325A0">
        <w:rPr>
          <w:noProof/>
        </w:rPr>
        <w:fldChar w:fldCharType="separate"/>
      </w:r>
      <w:r>
        <w:rPr>
          <w:noProof/>
        </w:rPr>
        <w:t>VIII.33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2.4.2</w:t>
      </w:r>
      <w:r>
        <w:rPr>
          <w:rFonts w:asciiTheme="minorHAnsi" w:eastAsiaTheme="minorEastAsia" w:hAnsiTheme="minorHAnsi" w:cstheme="minorBidi"/>
          <w:noProof/>
          <w:sz w:val="22"/>
          <w:szCs w:val="22"/>
        </w:rPr>
        <w:tab/>
      </w:r>
      <w:r>
        <w:rPr>
          <w:noProof/>
        </w:rPr>
        <w:t>Beschrijving van de actuele luchtkwaliteit binnen het studiegebied</w:t>
      </w:r>
      <w:r>
        <w:rPr>
          <w:noProof/>
        </w:rPr>
        <w:tab/>
      </w:r>
      <w:r w:rsidR="00C325A0">
        <w:rPr>
          <w:noProof/>
        </w:rPr>
        <w:fldChar w:fldCharType="begin"/>
      </w:r>
      <w:r>
        <w:rPr>
          <w:noProof/>
        </w:rPr>
        <w:instrText xml:space="preserve"> PAGEREF _Toc312069278 \h </w:instrText>
      </w:r>
      <w:r w:rsidR="00C325A0">
        <w:rPr>
          <w:noProof/>
        </w:rPr>
      </w:r>
      <w:r w:rsidR="00C325A0">
        <w:rPr>
          <w:noProof/>
        </w:rPr>
        <w:fldChar w:fldCharType="separate"/>
      </w:r>
      <w:r>
        <w:rPr>
          <w:noProof/>
        </w:rPr>
        <w:t>VIII.33</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2.4.2.1</w:t>
      </w:r>
      <w:r>
        <w:rPr>
          <w:rFonts w:asciiTheme="minorHAnsi" w:eastAsiaTheme="minorEastAsia" w:hAnsiTheme="minorHAnsi" w:cstheme="minorBidi"/>
          <w:smallCaps w:val="0"/>
          <w:noProof/>
          <w:sz w:val="22"/>
          <w:szCs w:val="22"/>
        </w:rPr>
        <w:tab/>
      </w:r>
      <w:r>
        <w:rPr>
          <w:noProof/>
        </w:rPr>
        <w:t>Algemene parameters</w:t>
      </w:r>
      <w:r>
        <w:rPr>
          <w:noProof/>
        </w:rPr>
        <w:tab/>
      </w:r>
      <w:r w:rsidR="00C325A0">
        <w:rPr>
          <w:noProof/>
        </w:rPr>
        <w:fldChar w:fldCharType="begin"/>
      </w:r>
      <w:r>
        <w:rPr>
          <w:noProof/>
        </w:rPr>
        <w:instrText xml:space="preserve"> PAGEREF _Toc312069279 \h </w:instrText>
      </w:r>
      <w:r w:rsidR="00C325A0">
        <w:rPr>
          <w:noProof/>
        </w:rPr>
      </w:r>
      <w:r w:rsidR="00C325A0">
        <w:rPr>
          <w:noProof/>
        </w:rPr>
        <w:fldChar w:fldCharType="separate"/>
      </w:r>
      <w:r>
        <w:rPr>
          <w:noProof/>
        </w:rPr>
        <w:t>VIII.33</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2.4.2.2</w:t>
      </w:r>
      <w:r>
        <w:rPr>
          <w:rFonts w:asciiTheme="minorHAnsi" w:eastAsiaTheme="minorEastAsia" w:hAnsiTheme="minorHAnsi" w:cstheme="minorBidi"/>
          <w:smallCaps w:val="0"/>
          <w:noProof/>
          <w:sz w:val="22"/>
          <w:szCs w:val="22"/>
        </w:rPr>
        <w:tab/>
      </w:r>
      <w:r>
        <w:rPr>
          <w:noProof/>
        </w:rPr>
        <w:t>Vluchtige organische stoffen</w:t>
      </w:r>
      <w:r>
        <w:rPr>
          <w:noProof/>
        </w:rPr>
        <w:tab/>
      </w:r>
      <w:r w:rsidR="00C325A0">
        <w:rPr>
          <w:noProof/>
        </w:rPr>
        <w:fldChar w:fldCharType="begin"/>
      </w:r>
      <w:r>
        <w:rPr>
          <w:noProof/>
        </w:rPr>
        <w:instrText xml:space="preserve"> PAGEREF _Toc312069280 \h </w:instrText>
      </w:r>
      <w:r w:rsidR="00C325A0">
        <w:rPr>
          <w:noProof/>
        </w:rPr>
      </w:r>
      <w:r w:rsidR="00C325A0">
        <w:rPr>
          <w:noProof/>
        </w:rPr>
        <w:fldChar w:fldCharType="separate"/>
      </w:r>
      <w:r>
        <w:rPr>
          <w:noProof/>
        </w:rPr>
        <w:t>VIII.34</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2.5</w:t>
      </w:r>
      <w:r>
        <w:rPr>
          <w:rFonts w:asciiTheme="minorHAnsi" w:eastAsiaTheme="minorEastAsia" w:hAnsiTheme="minorHAnsi" w:cstheme="minorBidi"/>
          <w:iCs w:val="0"/>
          <w:noProof/>
          <w:spacing w:val="0"/>
          <w:sz w:val="22"/>
          <w:szCs w:val="22"/>
        </w:rPr>
        <w:tab/>
      </w:r>
      <w:r>
        <w:rPr>
          <w:noProof/>
        </w:rPr>
        <w:t>Referentiesituatie</w:t>
      </w:r>
      <w:r>
        <w:rPr>
          <w:noProof/>
        </w:rPr>
        <w:tab/>
      </w:r>
      <w:r w:rsidR="00C325A0">
        <w:rPr>
          <w:noProof/>
        </w:rPr>
        <w:fldChar w:fldCharType="begin"/>
      </w:r>
      <w:r>
        <w:rPr>
          <w:noProof/>
        </w:rPr>
        <w:instrText xml:space="preserve"> PAGEREF _Toc312069281 \h </w:instrText>
      </w:r>
      <w:r w:rsidR="00C325A0">
        <w:rPr>
          <w:noProof/>
        </w:rPr>
      </w:r>
      <w:r w:rsidR="00C325A0">
        <w:rPr>
          <w:noProof/>
        </w:rPr>
        <w:fldChar w:fldCharType="separate"/>
      </w:r>
      <w:r>
        <w:rPr>
          <w:noProof/>
        </w:rPr>
        <w:t>VIII.36</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2.5.1</w:t>
      </w:r>
      <w:r>
        <w:rPr>
          <w:rFonts w:asciiTheme="minorHAnsi" w:eastAsiaTheme="minorEastAsia" w:hAnsiTheme="minorHAnsi" w:cstheme="minorBidi"/>
          <w:noProof/>
          <w:sz w:val="22"/>
          <w:szCs w:val="22"/>
        </w:rPr>
        <w:tab/>
      </w:r>
      <w:r>
        <w:rPr>
          <w:noProof/>
        </w:rPr>
        <w:t>Relevante emissiebronnen van het bedrijf</w:t>
      </w:r>
      <w:r>
        <w:rPr>
          <w:noProof/>
        </w:rPr>
        <w:tab/>
      </w:r>
      <w:r w:rsidR="00C325A0">
        <w:rPr>
          <w:noProof/>
        </w:rPr>
        <w:fldChar w:fldCharType="begin"/>
      </w:r>
      <w:r>
        <w:rPr>
          <w:noProof/>
        </w:rPr>
        <w:instrText xml:space="preserve"> PAGEREF _Toc312069282 \h </w:instrText>
      </w:r>
      <w:r w:rsidR="00C325A0">
        <w:rPr>
          <w:noProof/>
        </w:rPr>
      </w:r>
      <w:r w:rsidR="00C325A0">
        <w:rPr>
          <w:noProof/>
        </w:rPr>
        <w:fldChar w:fldCharType="separate"/>
      </w:r>
      <w:r>
        <w:rPr>
          <w:noProof/>
        </w:rPr>
        <w:t>VIII.36</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2.5.1.1</w:t>
      </w:r>
      <w:r>
        <w:rPr>
          <w:rFonts w:asciiTheme="minorHAnsi" w:eastAsiaTheme="minorEastAsia" w:hAnsiTheme="minorHAnsi" w:cstheme="minorBidi"/>
          <w:smallCaps w:val="0"/>
          <w:noProof/>
          <w:sz w:val="22"/>
          <w:szCs w:val="22"/>
        </w:rPr>
        <w:tab/>
      </w:r>
      <w:r>
        <w:rPr>
          <w:noProof/>
        </w:rPr>
        <w:t>Emissies te wijten aan de op- en overslag van vluchtige organische stoffen</w:t>
      </w:r>
      <w:r>
        <w:rPr>
          <w:noProof/>
        </w:rPr>
        <w:tab/>
      </w:r>
      <w:r w:rsidR="00C325A0">
        <w:rPr>
          <w:noProof/>
        </w:rPr>
        <w:fldChar w:fldCharType="begin"/>
      </w:r>
      <w:r>
        <w:rPr>
          <w:noProof/>
        </w:rPr>
        <w:instrText xml:space="preserve"> PAGEREF _Toc312069283 \h </w:instrText>
      </w:r>
      <w:r w:rsidR="00C325A0">
        <w:rPr>
          <w:noProof/>
        </w:rPr>
      </w:r>
      <w:r w:rsidR="00C325A0">
        <w:rPr>
          <w:noProof/>
        </w:rPr>
        <w:fldChar w:fldCharType="separate"/>
      </w:r>
      <w:r>
        <w:rPr>
          <w:noProof/>
        </w:rPr>
        <w:t>VIII.36</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2.5.1.2</w:t>
      </w:r>
      <w:r>
        <w:rPr>
          <w:rFonts w:asciiTheme="minorHAnsi" w:eastAsiaTheme="minorEastAsia" w:hAnsiTheme="minorHAnsi" w:cstheme="minorBidi"/>
          <w:smallCaps w:val="0"/>
          <w:noProof/>
          <w:sz w:val="22"/>
          <w:szCs w:val="22"/>
        </w:rPr>
        <w:tab/>
      </w:r>
      <w:r>
        <w:rPr>
          <w:noProof/>
        </w:rPr>
        <w:t>Fugitieve emissies</w:t>
      </w:r>
      <w:r>
        <w:rPr>
          <w:noProof/>
        </w:rPr>
        <w:tab/>
      </w:r>
      <w:r w:rsidR="00C325A0">
        <w:rPr>
          <w:noProof/>
        </w:rPr>
        <w:fldChar w:fldCharType="begin"/>
      </w:r>
      <w:r>
        <w:rPr>
          <w:noProof/>
        </w:rPr>
        <w:instrText xml:space="preserve"> PAGEREF _Toc312069284 \h </w:instrText>
      </w:r>
      <w:r w:rsidR="00C325A0">
        <w:rPr>
          <w:noProof/>
        </w:rPr>
      </w:r>
      <w:r w:rsidR="00C325A0">
        <w:rPr>
          <w:noProof/>
        </w:rPr>
        <w:fldChar w:fldCharType="separate"/>
      </w:r>
      <w:r>
        <w:rPr>
          <w:noProof/>
        </w:rPr>
        <w:t>VIII.37</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2.5.1.3</w:t>
      </w:r>
      <w:r>
        <w:rPr>
          <w:rFonts w:asciiTheme="minorHAnsi" w:eastAsiaTheme="minorEastAsia" w:hAnsiTheme="minorHAnsi" w:cstheme="minorBidi"/>
          <w:smallCaps w:val="0"/>
          <w:noProof/>
          <w:sz w:val="22"/>
          <w:szCs w:val="22"/>
        </w:rPr>
        <w:tab/>
      </w:r>
      <w:r>
        <w:rPr>
          <w:noProof/>
        </w:rPr>
        <w:t>Emissies afvullen eenheidsverpakkingen</w:t>
      </w:r>
      <w:r>
        <w:rPr>
          <w:noProof/>
        </w:rPr>
        <w:tab/>
      </w:r>
      <w:r w:rsidR="00C325A0">
        <w:rPr>
          <w:noProof/>
        </w:rPr>
        <w:fldChar w:fldCharType="begin"/>
      </w:r>
      <w:r>
        <w:rPr>
          <w:noProof/>
        </w:rPr>
        <w:instrText xml:space="preserve"> PAGEREF _Toc312069285 \h </w:instrText>
      </w:r>
      <w:r w:rsidR="00C325A0">
        <w:rPr>
          <w:noProof/>
        </w:rPr>
      </w:r>
      <w:r w:rsidR="00C325A0">
        <w:rPr>
          <w:noProof/>
        </w:rPr>
        <w:fldChar w:fldCharType="separate"/>
      </w:r>
      <w:r>
        <w:rPr>
          <w:noProof/>
        </w:rPr>
        <w:t>VIII.37</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2.5.1.4</w:t>
      </w:r>
      <w:r>
        <w:rPr>
          <w:rFonts w:asciiTheme="minorHAnsi" w:eastAsiaTheme="minorEastAsia" w:hAnsiTheme="minorHAnsi" w:cstheme="minorBidi"/>
          <w:smallCaps w:val="0"/>
          <w:noProof/>
          <w:sz w:val="22"/>
          <w:szCs w:val="22"/>
        </w:rPr>
        <w:tab/>
      </w:r>
      <w:r>
        <w:rPr>
          <w:noProof/>
        </w:rPr>
        <w:t>Verbrandingsemissies</w:t>
      </w:r>
      <w:r>
        <w:rPr>
          <w:noProof/>
        </w:rPr>
        <w:tab/>
      </w:r>
      <w:r w:rsidR="00C325A0">
        <w:rPr>
          <w:noProof/>
        </w:rPr>
        <w:fldChar w:fldCharType="begin"/>
      </w:r>
      <w:r>
        <w:rPr>
          <w:noProof/>
        </w:rPr>
        <w:instrText xml:space="preserve"> PAGEREF _Toc312069286 \h </w:instrText>
      </w:r>
      <w:r w:rsidR="00C325A0">
        <w:rPr>
          <w:noProof/>
        </w:rPr>
      </w:r>
      <w:r w:rsidR="00C325A0">
        <w:rPr>
          <w:noProof/>
        </w:rPr>
        <w:fldChar w:fldCharType="separate"/>
      </w:r>
      <w:r>
        <w:rPr>
          <w:noProof/>
        </w:rPr>
        <w:t>VIII.38</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2.5.1.5</w:t>
      </w:r>
      <w:r>
        <w:rPr>
          <w:rFonts w:asciiTheme="minorHAnsi" w:eastAsiaTheme="minorEastAsia" w:hAnsiTheme="minorHAnsi" w:cstheme="minorBidi"/>
          <w:smallCaps w:val="0"/>
          <w:noProof/>
          <w:sz w:val="22"/>
          <w:szCs w:val="22"/>
        </w:rPr>
        <w:tab/>
      </w:r>
      <w:r>
        <w:rPr>
          <w:noProof/>
        </w:rPr>
        <w:t>Transportemissies</w:t>
      </w:r>
      <w:r>
        <w:rPr>
          <w:noProof/>
        </w:rPr>
        <w:tab/>
      </w:r>
      <w:r w:rsidR="00C325A0">
        <w:rPr>
          <w:noProof/>
        </w:rPr>
        <w:fldChar w:fldCharType="begin"/>
      </w:r>
      <w:r>
        <w:rPr>
          <w:noProof/>
        </w:rPr>
        <w:instrText xml:space="preserve"> PAGEREF _Toc312069287 \h </w:instrText>
      </w:r>
      <w:r w:rsidR="00C325A0">
        <w:rPr>
          <w:noProof/>
        </w:rPr>
      </w:r>
      <w:r w:rsidR="00C325A0">
        <w:rPr>
          <w:noProof/>
        </w:rPr>
        <w:fldChar w:fldCharType="separate"/>
      </w:r>
      <w:r>
        <w:rPr>
          <w:noProof/>
        </w:rPr>
        <w:t>VIII.38</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2.5.2</w:t>
      </w:r>
      <w:r>
        <w:rPr>
          <w:rFonts w:asciiTheme="minorHAnsi" w:eastAsiaTheme="minorEastAsia" w:hAnsiTheme="minorHAnsi" w:cstheme="minorBidi"/>
          <w:noProof/>
          <w:sz w:val="22"/>
          <w:szCs w:val="22"/>
        </w:rPr>
        <w:tab/>
      </w:r>
      <w:r>
        <w:rPr>
          <w:noProof/>
        </w:rPr>
        <w:t>Effectevaluatie actuele emissies</w:t>
      </w:r>
      <w:r>
        <w:rPr>
          <w:noProof/>
        </w:rPr>
        <w:tab/>
      </w:r>
      <w:r w:rsidR="00C325A0">
        <w:rPr>
          <w:noProof/>
        </w:rPr>
        <w:fldChar w:fldCharType="begin"/>
      </w:r>
      <w:r>
        <w:rPr>
          <w:noProof/>
        </w:rPr>
        <w:instrText xml:space="preserve"> PAGEREF _Toc312069288 \h </w:instrText>
      </w:r>
      <w:r w:rsidR="00C325A0">
        <w:rPr>
          <w:noProof/>
        </w:rPr>
      </w:r>
      <w:r w:rsidR="00C325A0">
        <w:rPr>
          <w:noProof/>
        </w:rPr>
        <w:fldChar w:fldCharType="separate"/>
      </w:r>
      <w:r>
        <w:rPr>
          <w:noProof/>
        </w:rPr>
        <w:t>VIII.39</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2.5.2.1</w:t>
      </w:r>
      <w:r>
        <w:rPr>
          <w:rFonts w:asciiTheme="minorHAnsi" w:eastAsiaTheme="minorEastAsia" w:hAnsiTheme="minorHAnsi" w:cstheme="minorBidi"/>
          <w:smallCaps w:val="0"/>
          <w:noProof/>
          <w:sz w:val="22"/>
          <w:szCs w:val="22"/>
        </w:rPr>
        <w:tab/>
      </w:r>
      <w:r>
        <w:rPr>
          <w:noProof/>
        </w:rPr>
        <w:t>VOS-emissies</w:t>
      </w:r>
      <w:r>
        <w:rPr>
          <w:noProof/>
        </w:rPr>
        <w:tab/>
      </w:r>
      <w:r w:rsidR="00C325A0">
        <w:rPr>
          <w:noProof/>
        </w:rPr>
        <w:fldChar w:fldCharType="begin"/>
      </w:r>
      <w:r>
        <w:rPr>
          <w:noProof/>
        </w:rPr>
        <w:instrText xml:space="preserve"> PAGEREF _Toc312069289 \h </w:instrText>
      </w:r>
      <w:r w:rsidR="00C325A0">
        <w:rPr>
          <w:noProof/>
        </w:rPr>
      </w:r>
      <w:r w:rsidR="00C325A0">
        <w:rPr>
          <w:noProof/>
        </w:rPr>
        <w:fldChar w:fldCharType="separate"/>
      </w:r>
      <w:r>
        <w:rPr>
          <w:noProof/>
        </w:rPr>
        <w:t>VIII.39</w:t>
      </w:r>
      <w:r w:rsidR="00C325A0">
        <w:rPr>
          <w:noProof/>
        </w:rPr>
        <w:fldChar w:fldCharType="end"/>
      </w:r>
    </w:p>
    <w:p w:rsidR="008102D8" w:rsidRDefault="008102D8">
      <w:pPr>
        <w:pStyle w:val="TOC6"/>
        <w:tabs>
          <w:tab w:val="left" w:pos="1787"/>
          <w:tab w:val="right" w:leader="dot" w:pos="9019"/>
        </w:tabs>
        <w:rPr>
          <w:rFonts w:asciiTheme="minorHAnsi" w:eastAsiaTheme="minorEastAsia" w:hAnsiTheme="minorHAnsi" w:cstheme="minorBidi"/>
          <w:noProof/>
          <w:sz w:val="22"/>
          <w:szCs w:val="22"/>
        </w:rPr>
      </w:pPr>
      <w:r>
        <w:rPr>
          <w:noProof/>
        </w:rPr>
        <w:t>2.5.2.1.1</w:t>
      </w:r>
      <w:r>
        <w:rPr>
          <w:rFonts w:asciiTheme="minorHAnsi" w:eastAsiaTheme="minorEastAsia" w:hAnsiTheme="minorHAnsi" w:cstheme="minorBidi"/>
          <w:noProof/>
          <w:sz w:val="22"/>
          <w:szCs w:val="22"/>
        </w:rPr>
        <w:tab/>
      </w:r>
      <w:r>
        <w:rPr>
          <w:noProof/>
        </w:rPr>
        <w:t>VOS-totaal</w:t>
      </w:r>
      <w:r>
        <w:rPr>
          <w:noProof/>
        </w:rPr>
        <w:tab/>
      </w:r>
      <w:r w:rsidR="00C325A0">
        <w:rPr>
          <w:noProof/>
        </w:rPr>
        <w:fldChar w:fldCharType="begin"/>
      </w:r>
      <w:r>
        <w:rPr>
          <w:noProof/>
        </w:rPr>
        <w:instrText xml:space="preserve"> PAGEREF _Toc312069290 \h </w:instrText>
      </w:r>
      <w:r w:rsidR="00C325A0">
        <w:rPr>
          <w:noProof/>
        </w:rPr>
      </w:r>
      <w:r w:rsidR="00C325A0">
        <w:rPr>
          <w:noProof/>
        </w:rPr>
        <w:fldChar w:fldCharType="separate"/>
      </w:r>
      <w:r>
        <w:rPr>
          <w:noProof/>
        </w:rPr>
        <w:t>VIII.40</w:t>
      </w:r>
      <w:r w:rsidR="00C325A0">
        <w:rPr>
          <w:noProof/>
        </w:rPr>
        <w:fldChar w:fldCharType="end"/>
      </w:r>
    </w:p>
    <w:p w:rsidR="008102D8" w:rsidRDefault="008102D8">
      <w:pPr>
        <w:pStyle w:val="TOC6"/>
        <w:tabs>
          <w:tab w:val="left" w:pos="1787"/>
          <w:tab w:val="right" w:leader="dot" w:pos="9019"/>
        </w:tabs>
        <w:rPr>
          <w:rFonts w:asciiTheme="minorHAnsi" w:eastAsiaTheme="minorEastAsia" w:hAnsiTheme="minorHAnsi" w:cstheme="minorBidi"/>
          <w:noProof/>
          <w:sz w:val="22"/>
          <w:szCs w:val="22"/>
        </w:rPr>
      </w:pPr>
      <w:r>
        <w:rPr>
          <w:noProof/>
        </w:rPr>
        <w:t>2.5.2.1.2</w:t>
      </w:r>
      <w:r>
        <w:rPr>
          <w:rFonts w:asciiTheme="minorHAnsi" w:eastAsiaTheme="minorEastAsia" w:hAnsiTheme="minorHAnsi" w:cstheme="minorBidi"/>
          <w:noProof/>
          <w:sz w:val="22"/>
          <w:szCs w:val="22"/>
        </w:rPr>
        <w:tab/>
      </w:r>
      <w:r>
        <w:rPr>
          <w:noProof/>
        </w:rPr>
        <w:t>Geuremissies</w:t>
      </w:r>
      <w:r>
        <w:rPr>
          <w:noProof/>
        </w:rPr>
        <w:tab/>
      </w:r>
      <w:r w:rsidR="00C325A0">
        <w:rPr>
          <w:noProof/>
        </w:rPr>
        <w:fldChar w:fldCharType="begin"/>
      </w:r>
      <w:r>
        <w:rPr>
          <w:noProof/>
        </w:rPr>
        <w:instrText xml:space="preserve"> PAGEREF _Toc312069291 \h </w:instrText>
      </w:r>
      <w:r w:rsidR="00C325A0">
        <w:rPr>
          <w:noProof/>
        </w:rPr>
      </w:r>
      <w:r w:rsidR="00C325A0">
        <w:rPr>
          <w:noProof/>
        </w:rPr>
        <w:fldChar w:fldCharType="separate"/>
      </w:r>
      <w:r>
        <w:rPr>
          <w:noProof/>
        </w:rPr>
        <w:t>VIII.42</w:t>
      </w:r>
      <w:r w:rsidR="00C325A0">
        <w:rPr>
          <w:noProof/>
        </w:rPr>
        <w:fldChar w:fldCharType="end"/>
      </w:r>
    </w:p>
    <w:p w:rsidR="008102D8" w:rsidRDefault="008102D8">
      <w:pPr>
        <w:pStyle w:val="TOC6"/>
        <w:tabs>
          <w:tab w:val="left" w:pos="1787"/>
          <w:tab w:val="right" w:leader="dot" w:pos="9019"/>
        </w:tabs>
        <w:rPr>
          <w:rFonts w:asciiTheme="minorHAnsi" w:eastAsiaTheme="minorEastAsia" w:hAnsiTheme="minorHAnsi" w:cstheme="minorBidi"/>
          <w:noProof/>
          <w:sz w:val="22"/>
          <w:szCs w:val="22"/>
        </w:rPr>
      </w:pPr>
      <w:r>
        <w:rPr>
          <w:noProof/>
        </w:rPr>
        <w:t>2.5.2.1.3</w:t>
      </w:r>
      <w:r>
        <w:rPr>
          <w:rFonts w:asciiTheme="minorHAnsi" w:eastAsiaTheme="minorEastAsia" w:hAnsiTheme="minorHAnsi" w:cstheme="minorBidi"/>
          <w:noProof/>
          <w:sz w:val="22"/>
          <w:szCs w:val="22"/>
        </w:rPr>
        <w:tab/>
      </w:r>
      <w:r>
        <w:rPr>
          <w:noProof/>
        </w:rPr>
        <w:t>Zuuremissies</w:t>
      </w:r>
      <w:r>
        <w:rPr>
          <w:noProof/>
        </w:rPr>
        <w:tab/>
      </w:r>
      <w:r w:rsidR="00C325A0">
        <w:rPr>
          <w:noProof/>
        </w:rPr>
        <w:fldChar w:fldCharType="begin"/>
      </w:r>
      <w:r>
        <w:rPr>
          <w:noProof/>
        </w:rPr>
        <w:instrText xml:space="preserve"> PAGEREF _Toc312069292 \h </w:instrText>
      </w:r>
      <w:r w:rsidR="00C325A0">
        <w:rPr>
          <w:noProof/>
        </w:rPr>
      </w:r>
      <w:r w:rsidR="00C325A0">
        <w:rPr>
          <w:noProof/>
        </w:rPr>
        <w:fldChar w:fldCharType="separate"/>
      </w:r>
      <w:r>
        <w:rPr>
          <w:noProof/>
        </w:rPr>
        <w:t>VIII.42</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2.5.2.2</w:t>
      </w:r>
      <w:r>
        <w:rPr>
          <w:rFonts w:asciiTheme="minorHAnsi" w:eastAsiaTheme="minorEastAsia" w:hAnsiTheme="minorHAnsi" w:cstheme="minorBidi"/>
          <w:smallCaps w:val="0"/>
          <w:noProof/>
          <w:sz w:val="22"/>
          <w:szCs w:val="22"/>
        </w:rPr>
        <w:tab/>
      </w:r>
      <w:r>
        <w:rPr>
          <w:noProof/>
        </w:rPr>
        <w:t>NO</w:t>
      </w:r>
      <w:r w:rsidRPr="00676E33">
        <w:rPr>
          <w:noProof/>
          <w:vertAlign w:val="subscript"/>
        </w:rPr>
        <w:t>x</w:t>
      </w:r>
      <w:r>
        <w:rPr>
          <w:noProof/>
        </w:rPr>
        <w:t>-emissies</w:t>
      </w:r>
      <w:r>
        <w:rPr>
          <w:noProof/>
        </w:rPr>
        <w:tab/>
      </w:r>
      <w:r w:rsidR="00C325A0">
        <w:rPr>
          <w:noProof/>
        </w:rPr>
        <w:fldChar w:fldCharType="begin"/>
      </w:r>
      <w:r>
        <w:rPr>
          <w:noProof/>
        </w:rPr>
        <w:instrText xml:space="preserve"> PAGEREF _Toc312069293 \h </w:instrText>
      </w:r>
      <w:r w:rsidR="00C325A0">
        <w:rPr>
          <w:noProof/>
        </w:rPr>
      </w:r>
      <w:r w:rsidR="00C325A0">
        <w:rPr>
          <w:noProof/>
        </w:rPr>
        <w:fldChar w:fldCharType="separate"/>
      </w:r>
      <w:r>
        <w:rPr>
          <w:noProof/>
        </w:rPr>
        <w:t>VIII.42</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2.5.2.3</w:t>
      </w:r>
      <w:r>
        <w:rPr>
          <w:rFonts w:asciiTheme="minorHAnsi" w:eastAsiaTheme="minorEastAsia" w:hAnsiTheme="minorHAnsi" w:cstheme="minorBidi"/>
          <w:smallCaps w:val="0"/>
          <w:noProof/>
          <w:sz w:val="22"/>
          <w:szCs w:val="22"/>
        </w:rPr>
        <w:tab/>
      </w:r>
      <w:r>
        <w:rPr>
          <w:noProof/>
        </w:rPr>
        <w:t>Transportemissies</w:t>
      </w:r>
      <w:r>
        <w:rPr>
          <w:noProof/>
        </w:rPr>
        <w:tab/>
      </w:r>
      <w:r w:rsidR="00C325A0">
        <w:rPr>
          <w:noProof/>
        </w:rPr>
        <w:fldChar w:fldCharType="begin"/>
      </w:r>
      <w:r>
        <w:rPr>
          <w:noProof/>
        </w:rPr>
        <w:instrText xml:space="preserve"> PAGEREF _Toc312069294 \h </w:instrText>
      </w:r>
      <w:r w:rsidR="00C325A0">
        <w:rPr>
          <w:noProof/>
        </w:rPr>
      </w:r>
      <w:r w:rsidR="00C325A0">
        <w:rPr>
          <w:noProof/>
        </w:rPr>
        <w:fldChar w:fldCharType="separate"/>
      </w:r>
      <w:r>
        <w:rPr>
          <w:noProof/>
        </w:rPr>
        <w:t>VIII.43</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2.6</w:t>
      </w:r>
      <w:r>
        <w:rPr>
          <w:rFonts w:asciiTheme="minorHAnsi" w:eastAsiaTheme="minorEastAsia" w:hAnsiTheme="minorHAnsi" w:cstheme="minorBidi"/>
          <w:iCs w:val="0"/>
          <w:noProof/>
          <w:spacing w:val="0"/>
          <w:sz w:val="22"/>
          <w:szCs w:val="22"/>
        </w:rPr>
        <w:tab/>
      </w:r>
      <w:r>
        <w:rPr>
          <w:noProof/>
        </w:rPr>
        <w:t>Geplande situatie</w:t>
      </w:r>
      <w:r>
        <w:rPr>
          <w:noProof/>
        </w:rPr>
        <w:tab/>
      </w:r>
      <w:r w:rsidR="00C325A0">
        <w:rPr>
          <w:noProof/>
        </w:rPr>
        <w:fldChar w:fldCharType="begin"/>
      </w:r>
      <w:r>
        <w:rPr>
          <w:noProof/>
        </w:rPr>
        <w:instrText xml:space="preserve"> PAGEREF _Toc312069295 \h </w:instrText>
      </w:r>
      <w:r w:rsidR="00C325A0">
        <w:rPr>
          <w:noProof/>
        </w:rPr>
      </w:r>
      <w:r w:rsidR="00C325A0">
        <w:rPr>
          <w:noProof/>
        </w:rPr>
        <w:fldChar w:fldCharType="separate"/>
      </w:r>
      <w:r>
        <w:rPr>
          <w:noProof/>
        </w:rPr>
        <w:t>VIII.43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2.6.1</w:t>
      </w:r>
      <w:r>
        <w:rPr>
          <w:rFonts w:asciiTheme="minorHAnsi" w:eastAsiaTheme="minorEastAsia" w:hAnsiTheme="minorHAnsi" w:cstheme="minorBidi"/>
          <w:noProof/>
          <w:sz w:val="22"/>
          <w:szCs w:val="22"/>
        </w:rPr>
        <w:tab/>
      </w:r>
      <w:r>
        <w:rPr>
          <w:noProof/>
        </w:rPr>
        <w:t>Relevante emissiebronnen van het bedrijf</w:t>
      </w:r>
      <w:r>
        <w:rPr>
          <w:noProof/>
        </w:rPr>
        <w:tab/>
      </w:r>
      <w:r w:rsidR="00C325A0">
        <w:rPr>
          <w:noProof/>
        </w:rPr>
        <w:fldChar w:fldCharType="begin"/>
      </w:r>
      <w:r>
        <w:rPr>
          <w:noProof/>
        </w:rPr>
        <w:instrText xml:space="preserve"> PAGEREF _Toc312069296 \h </w:instrText>
      </w:r>
      <w:r w:rsidR="00C325A0">
        <w:rPr>
          <w:noProof/>
        </w:rPr>
      </w:r>
      <w:r w:rsidR="00C325A0">
        <w:rPr>
          <w:noProof/>
        </w:rPr>
        <w:fldChar w:fldCharType="separate"/>
      </w:r>
      <w:r>
        <w:rPr>
          <w:noProof/>
        </w:rPr>
        <w:t>VIII.43</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2.6.1.1</w:t>
      </w:r>
      <w:r>
        <w:rPr>
          <w:rFonts w:asciiTheme="minorHAnsi" w:eastAsiaTheme="minorEastAsia" w:hAnsiTheme="minorHAnsi" w:cstheme="minorBidi"/>
          <w:smallCaps w:val="0"/>
          <w:noProof/>
          <w:sz w:val="22"/>
          <w:szCs w:val="22"/>
        </w:rPr>
        <w:tab/>
      </w:r>
      <w:r>
        <w:rPr>
          <w:noProof/>
        </w:rPr>
        <w:t>Emissies te wijten aan de op- en overslag van vluchtige organische stoffen</w:t>
      </w:r>
      <w:r>
        <w:rPr>
          <w:noProof/>
        </w:rPr>
        <w:tab/>
      </w:r>
      <w:r w:rsidR="00C325A0">
        <w:rPr>
          <w:noProof/>
        </w:rPr>
        <w:fldChar w:fldCharType="begin"/>
      </w:r>
      <w:r>
        <w:rPr>
          <w:noProof/>
        </w:rPr>
        <w:instrText xml:space="preserve"> PAGEREF _Toc312069297 \h </w:instrText>
      </w:r>
      <w:r w:rsidR="00C325A0">
        <w:rPr>
          <w:noProof/>
        </w:rPr>
      </w:r>
      <w:r w:rsidR="00C325A0">
        <w:rPr>
          <w:noProof/>
        </w:rPr>
        <w:fldChar w:fldCharType="separate"/>
      </w:r>
      <w:r>
        <w:rPr>
          <w:noProof/>
        </w:rPr>
        <w:t>VIII.44</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2.6.1.2</w:t>
      </w:r>
      <w:r>
        <w:rPr>
          <w:rFonts w:asciiTheme="minorHAnsi" w:eastAsiaTheme="minorEastAsia" w:hAnsiTheme="minorHAnsi" w:cstheme="minorBidi"/>
          <w:smallCaps w:val="0"/>
          <w:noProof/>
          <w:sz w:val="22"/>
          <w:szCs w:val="22"/>
        </w:rPr>
        <w:tab/>
      </w:r>
      <w:r>
        <w:rPr>
          <w:noProof/>
        </w:rPr>
        <w:t>Fugitieve emissies</w:t>
      </w:r>
      <w:r>
        <w:rPr>
          <w:noProof/>
        </w:rPr>
        <w:tab/>
      </w:r>
      <w:r w:rsidR="00C325A0">
        <w:rPr>
          <w:noProof/>
        </w:rPr>
        <w:fldChar w:fldCharType="begin"/>
      </w:r>
      <w:r>
        <w:rPr>
          <w:noProof/>
        </w:rPr>
        <w:instrText xml:space="preserve"> PAGEREF _Toc312069298 \h </w:instrText>
      </w:r>
      <w:r w:rsidR="00C325A0">
        <w:rPr>
          <w:noProof/>
        </w:rPr>
      </w:r>
      <w:r w:rsidR="00C325A0">
        <w:rPr>
          <w:noProof/>
        </w:rPr>
        <w:fldChar w:fldCharType="separate"/>
      </w:r>
      <w:r>
        <w:rPr>
          <w:noProof/>
        </w:rPr>
        <w:t>VIII.48</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2.6.1.3</w:t>
      </w:r>
      <w:r>
        <w:rPr>
          <w:rFonts w:asciiTheme="minorHAnsi" w:eastAsiaTheme="minorEastAsia" w:hAnsiTheme="minorHAnsi" w:cstheme="minorBidi"/>
          <w:smallCaps w:val="0"/>
          <w:noProof/>
          <w:sz w:val="22"/>
          <w:szCs w:val="22"/>
        </w:rPr>
        <w:tab/>
      </w:r>
      <w:r>
        <w:rPr>
          <w:noProof/>
        </w:rPr>
        <w:t>Emissies afvullen eenheidsverpakkingen</w:t>
      </w:r>
      <w:r>
        <w:rPr>
          <w:noProof/>
        </w:rPr>
        <w:tab/>
      </w:r>
      <w:r w:rsidR="00C325A0">
        <w:rPr>
          <w:noProof/>
        </w:rPr>
        <w:fldChar w:fldCharType="begin"/>
      </w:r>
      <w:r>
        <w:rPr>
          <w:noProof/>
        </w:rPr>
        <w:instrText xml:space="preserve"> PAGEREF _Toc312069299 \h </w:instrText>
      </w:r>
      <w:r w:rsidR="00C325A0">
        <w:rPr>
          <w:noProof/>
        </w:rPr>
      </w:r>
      <w:r w:rsidR="00C325A0">
        <w:rPr>
          <w:noProof/>
        </w:rPr>
        <w:fldChar w:fldCharType="separate"/>
      </w:r>
      <w:r>
        <w:rPr>
          <w:noProof/>
        </w:rPr>
        <w:t>VIII.49</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2.6.1.4</w:t>
      </w:r>
      <w:r>
        <w:rPr>
          <w:rFonts w:asciiTheme="minorHAnsi" w:eastAsiaTheme="minorEastAsia" w:hAnsiTheme="minorHAnsi" w:cstheme="minorBidi"/>
          <w:smallCaps w:val="0"/>
          <w:noProof/>
          <w:sz w:val="22"/>
          <w:szCs w:val="22"/>
        </w:rPr>
        <w:tab/>
      </w:r>
      <w:r>
        <w:rPr>
          <w:noProof/>
        </w:rPr>
        <w:t>Verbrandingsemissies</w:t>
      </w:r>
      <w:r>
        <w:rPr>
          <w:noProof/>
        </w:rPr>
        <w:tab/>
      </w:r>
      <w:r w:rsidR="00C325A0">
        <w:rPr>
          <w:noProof/>
        </w:rPr>
        <w:fldChar w:fldCharType="begin"/>
      </w:r>
      <w:r>
        <w:rPr>
          <w:noProof/>
        </w:rPr>
        <w:instrText xml:space="preserve"> PAGEREF _Toc312069300 \h </w:instrText>
      </w:r>
      <w:r w:rsidR="00C325A0">
        <w:rPr>
          <w:noProof/>
        </w:rPr>
      </w:r>
      <w:r w:rsidR="00C325A0">
        <w:rPr>
          <w:noProof/>
        </w:rPr>
        <w:fldChar w:fldCharType="separate"/>
      </w:r>
      <w:r>
        <w:rPr>
          <w:noProof/>
        </w:rPr>
        <w:t>VIII.49</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2.6.1.5</w:t>
      </w:r>
      <w:r>
        <w:rPr>
          <w:rFonts w:asciiTheme="minorHAnsi" w:eastAsiaTheme="minorEastAsia" w:hAnsiTheme="minorHAnsi" w:cstheme="minorBidi"/>
          <w:smallCaps w:val="0"/>
          <w:noProof/>
          <w:sz w:val="22"/>
          <w:szCs w:val="22"/>
        </w:rPr>
        <w:tab/>
      </w:r>
      <w:r>
        <w:rPr>
          <w:noProof/>
        </w:rPr>
        <w:t>Transportemissies</w:t>
      </w:r>
      <w:r>
        <w:rPr>
          <w:noProof/>
        </w:rPr>
        <w:tab/>
      </w:r>
      <w:r w:rsidR="00C325A0">
        <w:rPr>
          <w:noProof/>
        </w:rPr>
        <w:fldChar w:fldCharType="begin"/>
      </w:r>
      <w:r>
        <w:rPr>
          <w:noProof/>
        </w:rPr>
        <w:instrText xml:space="preserve"> PAGEREF _Toc312069301 \h </w:instrText>
      </w:r>
      <w:r w:rsidR="00C325A0">
        <w:rPr>
          <w:noProof/>
        </w:rPr>
      </w:r>
      <w:r w:rsidR="00C325A0">
        <w:rPr>
          <w:noProof/>
        </w:rPr>
        <w:fldChar w:fldCharType="separate"/>
      </w:r>
      <w:r>
        <w:rPr>
          <w:noProof/>
        </w:rPr>
        <w:t>VIII.49</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2.6.2</w:t>
      </w:r>
      <w:r>
        <w:rPr>
          <w:rFonts w:asciiTheme="minorHAnsi" w:eastAsiaTheme="minorEastAsia" w:hAnsiTheme="minorHAnsi" w:cstheme="minorBidi"/>
          <w:noProof/>
          <w:sz w:val="22"/>
          <w:szCs w:val="22"/>
        </w:rPr>
        <w:tab/>
      </w:r>
      <w:r>
        <w:rPr>
          <w:noProof/>
        </w:rPr>
        <w:t>Effectevaluatie</w:t>
      </w:r>
      <w:r>
        <w:rPr>
          <w:noProof/>
        </w:rPr>
        <w:tab/>
      </w:r>
      <w:r w:rsidR="00C325A0">
        <w:rPr>
          <w:noProof/>
        </w:rPr>
        <w:fldChar w:fldCharType="begin"/>
      </w:r>
      <w:r>
        <w:rPr>
          <w:noProof/>
        </w:rPr>
        <w:instrText xml:space="preserve"> PAGEREF _Toc312069302 \h </w:instrText>
      </w:r>
      <w:r w:rsidR="00C325A0">
        <w:rPr>
          <w:noProof/>
        </w:rPr>
      </w:r>
      <w:r w:rsidR="00C325A0">
        <w:rPr>
          <w:noProof/>
        </w:rPr>
        <w:fldChar w:fldCharType="separate"/>
      </w:r>
      <w:r>
        <w:rPr>
          <w:noProof/>
        </w:rPr>
        <w:t>VIII.50</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2.6.2.1</w:t>
      </w:r>
      <w:r>
        <w:rPr>
          <w:rFonts w:asciiTheme="minorHAnsi" w:eastAsiaTheme="minorEastAsia" w:hAnsiTheme="minorHAnsi" w:cstheme="minorBidi"/>
          <w:smallCaps w:val="0"/>
          <w:noProof/>
          <w:sz w:val="22"/>
          <w:szCs w:val="22"/>
        </w:rPr>
        <w:tab/>
      </w:r>
      <w:r>
        <w:rPr>
          <w:noProof/>
        </w:rPr>
        <w:t>Realistisch scenario</w:t>
      </w:r>
      <w:r>
        <w:rPr>
          <w:noProof/>
        </w:rPr>
        <w:tab/>
      </w:r>
      <w:r w:rsidR="00C325A0">
        <w:rPr>
          <w:noProof/>
        </w:rPr>
        <w:fldChar w:fldCharType="begin"/>
      </w:r>
      <w:r>
        <w:rPr>
          <w:noProof/>
        </w:rPr>
        <w:instrText xml:space="preserve"> PAGEREF _Toc312069303 \h </w:instrText>
      </w:r>
      <w:r w:rsidR="00C325A0">
        <w:rPr>
          <w:noProof/>
        </w:rPr>
      </w:r>
      <w:r w:rsidR="00C325A0">
        <w:rPr>
          <w:noProof/>
        </w:rPr>
        <w:fldChar w:fldCharType="separate"/>
      </w:r>
      <w:r>
        <w:rPr>
          <w:noProof/>
        </w:rPr>
        <w:t>VIII.50</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2.6.2.2</w:t>
      </w:r>
      <w:r>
        <w:rPr>
          <w:rFonts w:asciiTheme="minorHAnsi" w:eastAsiaTheme="minorEastAsia" w:hAnsiTheme="minorHAnsi" w:cstheme="minorBidi"/>
          <w:smallCaps w:val="0"/>
          <w:noProof/>
          <w:sz w:val="22"/>
          <w:szCs w:val="22"/>
        </w:rPr>
        <w:tab/>
      </w:r>
      <w:r>
        <w:rPr>
          <w:noProof/>
        </w:rPr>
        <w:t>Maximalistisch scenario VOS-totaal</w:t>
      </w:r>
      <w:r>
        <w:rPr>
          <w:noProof/>
        </w:rPr>
        <w:tab/>
      </w:r>
      <w:r w:rsidR="00C325A0">
        <w:rPr>
          <w:noProof/>
        </w:rPr>
        <w:fldChar w:fldCharType="begin"/>
      </w:r>
      <w:r>
        <w:rPr>
          <w:noProof/>
        </w:rPr>
        <w:instrText xml:space="preserve"> PAGEREF _Toc312069304 \h </w:instrText>
      </w:r>
      <w:r w:rsidR="00C325A0">
        <w:rPr>
          <w:noProof/>
        </w:rPr>
      </w:r>
      <w:r w:rsidR="00C325A0">
        <w:rPr>
          <w:noProof/>
        </w:rPr>
        <w:fldChar w:fldCharType="separate"/>
      </w:r>
      <w:r>
        <w:rPr>
          <w:noProof/>
        </w:rPr>
        <w:t>VIII.53</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2.6.2.3</w:t>
      </w:r>
      <w:r>
        <w:rPr>
          <w:rFonts w:asciiTheme="minorHAnsi" w:eastAsiaTheme="minorEastAsia" w:hAnsiTheme="minorHAnsi" w:cstheme="minorBidi"/>
          <w:smallCaps w:val="0"/>
          <w:noProof/>
          <w:sz w:val="22"/>
          <w:szCs w:val="22"/>
        </w:rPr>
        <w:tab/>
      </w:r>
      <w:r>
        <w:rPr>
          <w:noProof/>
        </w:rPr>
        <w:t>Maximalistisch scenario (zeer) giftige en CMR-stoffen</w:t>
      </w:r>
      <w:r>
        <w:rPr>
          <w:noProof/>
        </w:rPr>
        <w:tab/>
      </w:r>
      <w:r w:rsidR="00C325A0">
        <w:rPr>
          <w:noProof/>
        </w:rPr>
        <w:fldChar w:fldCharType="begin"/>
      </w:r>
      <w:r>
        <w:rPr>
          <w:noProof/>
        </w:rPr>
        <w:instrText xml:space="preserve"> PAGEREF _Toc312069305 \h </w:instrText>
      </w:r>
      <w:r w:rsidR="00C325A0">
        <w:rPr>
          <w:noProof/>
        </w:rPr>
      </w:r>
      <w:r w:rsidR="00C325A0">
        <w:rPr>
          <w:noProof/>
        </w:rPr>
        <w:fldChar w:fldCharType="separate"/>
      </w:r>
      <w:r>
        <w:rPr>
          <w:noProof/>
        </w:rPr>
        <w:t>VIII.55</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2.6.2.4</w:t>
      </w:r>
      <w:r>
        <w:rPr>
          <w:rFonts w:asciiTheme="minorHAnsi" w:eastAsiaTheme="minorEastAsia" w:hAnsiTheme="minorHAnsi" w:cstheme="minorBidi"/>
          <w:smallCaps w:val="0"/>
          <w:noProof/>
          <w:sz w:val="22"/>
          <w:szCs w:val="22"/>
        </w:rPr>
        <w:tab/>
      </w:r>
      <w:r>
        <w:rPr>
          <w:noProof/>
        </w:rPr>
        <w:t>Maximalistisch scenario geurstoffen</w:t>
      </w:r>
      <w:r>
        <w:rPr>
          <w:noProof/>
        </w:rPr>
        <w:tab/>
      </w:r>
      <w:r w:rsidR="00C325A0">
        <w:rPr>
          <w:noProof/>
        </w:rPr>
        <w:fldChar w:fldCharType="begin"/>
      </w:r>
      <w:r>
        <w:rPr>
          <w:noProof/>
        </w:rPr>
        <w:instrText xml:space="preserve"> PAGEREF _Toc312069306 \h </w:instrText>
      </w:r>
      <w:r w:rsidR="00C325A0">
        <w:rPr>
          <w:noProof/>
        </w:rPr>
      </w:r>
      <w:r w:rsidR="00C325A0">
        <w:rPr>
          <w:noProof/>
        </w:rPr>
        <w:fldChar w:fldCharType="separate"/>
      </w:r>
      <w:r>
        <w:rPr>
          <w:noProof/>
        </w:rPr>
        <w:t>VIII.58</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2.6.2.5</w:t>
      </w:r>
      <w:r>
        <w:rPr>
          <w:rFonts w:asciiTheme="minorHAnsi" w:eastAsiaTheme="minorEastAsia" w:hAnsiTheme="minorHAnsi" w:cstheme="minorBidi"/>
          <w:smallCaps w:val="0"/>
          <w:noProof/>
          <w:sz w:val="22"/>
          <w:szCs w:val="22"/>
        </w:rPr>
        <w:tab/>
      </w:r>
      <w:r>
        <w:rPr>
          <w:noProof/>
        </w:rPr>
        <w:t>Transportemissies</w:t>
      </w:r>
      <w:r>
        <w:rPr>
          <w:noProof/>
        </w:rPr>
        <w:tab/>
      </w:r>
      <w:r w:rsidR="00C325A0">
        <w:rPr>
          <w:noProof/>
        </w:rPr>
        <w:fldChar w:fldCharType="begin"/>
      </w:r>
      <w:r>
        <w:rPr>
          <w:noProof/>
        </w:rPr>
        <w:instrText xml:space="preserve"> PAGEREF _Toc312069307 \h </w:instrText>
      </w:r>
      <w:r w:rsidR="00C325A0">
        <w:rPr>
          <w:noProof/>
        </w:rPr>
      </w:r>
      <w:r w:rsidR="00C325A0">
        <w:rPr>
          <w:noProof/>
        </w:rPr>
        <w:fldChar w:fldCharType="separate"/>
      </w:r>
      <w:r>
        <w:rPr>
          <w:noProof/>
        </w:rPr>
        <w:t>VIII.58</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2.6.3</w:t>
      </w:r>
      <w:r>
        <w:rPr>
          <w:rFonts w:asciiTheme="minorHAnsi" w:eastAsiaTheme="minorEastAsia" w:hAnsiTheme="minorHAnsi" w:cstheme="minorBidi"/>
          <w:noProof/>
          <w:sz w:val="22"/>
          <w:szCs w:val="22"/>
        </w:rPr>
        <w:tab/>
      </w:r>
      <w:r>
        <w:rPr>
          <w:noProof/>
        </w:rPr>
        <w:t>Besluit geplande situatie</w:t>
      </w:r>
      <w:r>
        <w:rPr>
          <w:noProof/>
        </w:rPr>
        <w:tab/>
      </w:r>
      <w:r w:rsidR="00C325A0">
        <w:rPr>
          <w:noProof/>
        </w:rPr>
        <w:fldChar w:fldCharType="begin"/>
      </w:r>
      <w:r>
        <w:rPr>
          <w:noProof/>
        </w:rPr>
        <w:instrText xml:space="preserve"> PAGEREF _Toc312069308 \h </w:instrText>
      </w:r>
      <w:r w:rsidR="00C325A0">
        <w:rPr>
          <w:noProof/>
        </w:rPr>
      </w:r>
      <w:r w:rsidR="00C325A0">
        <w:rPr>
          <w:noProof/>
        </w:rPr>
        <w:fldChar w:fldCharType="separate"/>
      </w:r>
      <w:r>
        <w:rPr>
          <w:noProof/>
        </w:rPr>
        <w:t>VIII.58</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2.7</w:t>
      </w:r>
      <w:r>
        <w:rPr>
          <w:rFonts w:asciiTheme="minorHAnsi" w:eastAsiaTheme="minorEastAsia" w:hAnsiTheme="minorHAnsi" w:cstheme="minorBidi"/>
          <w:iCs w:val="0"/>
          <w:noProof/>
          <w:spacing w:val="0"/>
          <w:sz w:val="22"/>
          <w:szCs w:val="22"/>
        </w:rPr>
        <w:tab/>
      </w:r>
      <w:r>
        <w:rPr>
          <w:noProof/>
        </w:rPr>
        <w:t>Evaluatie kostenefficiëntie van bijkomende emissiereducerende maatregelen</w:t>
      </w:r>
      <w:r>
        <w:rPr>
          <w:noProof/>
        </w:rPr>
        <w:tab/>
      </w:r>
      <w:r w:rsidR="00C325A0">
        <w:rPr>
          <w:noProof/>
        </w:rPr>
        <w:fldChar w:fldCharType="begin"/>
      </w:r>
      <w:r>
        <w:rPr>
          <w:noProof/>
        </w:rPr>
        <w:instrText xml:space="preserve"> PAGEREF _Toc312069309 \h </w:instrText>
      </w:r>
      <w:r w:rsidR="00C325A0">
        <w:rPr>
          <w:noProof/>
        </w:rPr>
      </w:r>
      <w:r w:rsidR="00C325A0">
        <w:rPr>
          <w:noProof/>
        </w:rPr>
        <w:fldChar w:fldCharType="separate"/>
      </w:r>
      <w:r>
        <w:rPr>
          <w:noProof/>
        </w:rPr>
        <w:t>VIII.59</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2.7.1</w:t>
      </w:r>
      <w:r>
        <w:rPr>
          <w:rFonts w:asciiTheme="minorHAnsi" w:eastAsiaTheme="minorEastAsia" w:hAnsiTheme="minorHAnsi" w:cstheme="minorBidi"/>
          <w:noProof/>
          <w:sz w:val="22"/>
          <w:szCs w:val="22"/>
        </w:rPr>
        <w:tab/>
      </w:r>
      <w:r>
        <w:rPr>
          <w:noProof/>
        </w:rPr>
        <w:t>Nieuwe opslagtanks</w:t>
      </w:r>
      <w:r>
        <w:rPr>
          <w:noProof/>
        </w:rPr>
        <w:tab/>
      </w:r>
      <w:r w:rsidR="00C325A0">
        <w:rPr>
          <w:noProof/>
        </w:rPr>
        <w:fldChar w:fldCharType="begin"/>
      </w:r>
      <w:r>
        <w:rPr>
          <w:noProof/>
        </w:rPr>
        <w:instrText xml:space="preserve"> PAGEREF _Toc312069310 \h </w:instrText>
      </w:r>
      <w:r w:rsidR="00C325A0">
        <w:rPr>
          <w:noProof/>
        </w:rPr>
      </w:r>
      <w:r w:rsidR="00C325A0">
        <w:rPr>
          <w:noProof/>
        </w:rPr>
        <w:fldChar w:fldCharType="separate"/>
      </w:r>
      <w:r>
        <w:rPr>
          <w:noProof/>
        </w:rPr>
        <w:t>VIII.59</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2.7.2</w:t>
      </w:r>
      <w:r>
        <w:rPr>
          <w:rFonts w:asciiTheme="minorHAnsi" w:eastAsiaTheme="minorEastAsia" w:hAnsiTheme="minorHAnsi" w:cstheme="minorBidi"/>
          <w:noProof/>
          <w:sz w:val="22"/>
          <w:szCs w:val="22"/>
        </w:rPr>
        <w:tab/>
      </w:r>
      <w:r>
        <w:rPr>
          <w:noProof/>
        </w:rPr>
        <w:t>Gebruik van damp-retour bij overslag</w:t>
      </w:r>
      <w:r>
        <w:rPr>
          <w:noProof/>
        </w:rPr>
        <w:tab/>
      </w:r>
      <w:r w:rsidR="00C325A0">
        <w:rPr>
          <w:noProof/>
        </w:rPr>
        <w:fldChar w:fldCharType="begin"/>
      </w:r>
      <w:r>
        <w:rPr>
          <w:noProof/>
        </w:rPr>
        <w:instrText xml:space="preserve"> PAGEREF _Toc312069311 \h </w:instrText>
      </w:r>
      <w:r w:rsidR="00C325A0">
        <w:rPr>
          <w:noProof/>
        </w:rPr>
      </w:r>
      <w:r w:rsidR="00C325A0">
        <w:rPr>
          <w:noProof/>
        </w:rPr>
        <w:fldChar w:fldCharType="separate"/>
      </w:r>
      <w:r>
        <w:rPr>
          <w:noProof/>
        </w:rPr>
        <w:t>VIII.60</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2.7.3</w:t>
      </w:r>
      <w:r>
        <w:rPr>
          <w:rFonts w:asciiTheme="minorHAnsi" w:eastAsiaTheme="minorEastAsia" w:hAnsiTheme="minorHAnsi" w:cstheme="minorBidi"/>
          <w:noProof/>
          <w:sz w:val="22"/>
          <w:szCs w:val="22"/>
        </w:rPr>
        <w:tab/>
      </w:r>
      <w:r>
        <w:rPr>
          <w:noProof/>
        </w:rPr>
        <w:t>Gebruik van opslagtanks met vlottende daken</w:t>
      </w:r>
      <w:r>
        <w:rPr>
          <w:noProof/>
        </w:rPr>
        <w:tab/>
      </w:r>
      <w:r w:rsidR="00C325A0">
        <w:rPr>
          <w:noProof/>
        </w:rPr>
        <w:fldChar w:fldCharType="begin"/>
      </w:r>
      <w:r>
        <w:rPr>
          <w:noProof/>
        </w:rPr>
        <w:instrText xml:space="preserve"> PAGEREF _Toc312069312 \h </w:instrText>
      </w:r>
      <w:r w:rsidR="00C325A0">
        <w:rPr>
          <w:noProof/>
        </w:rPr>
      </w:r>
      <w:r w:rsidR="00C325A0">
        <w:rPr>
          <w:noProof/>
        </w:rPr>
        <w:fldChar w:fldCharType="separate"/>
      </w:r>
      <w:r>
        <w:rPr>
          <w:noProof/>
        </w:rPr>
        <w:t>VIII.60</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2.7.4</w:t>
      </w:r>
      <w:r>
        <w:rPr>
          <w:rFonts w:asciiTheme="minorHAnsi" w:eastAsiaTheme="minorEastAsia" w:hAnsiTheme="minorHAnsi" w:cstheme="minorBidi"/>
          <w:noProof/>
          <w:sz w:val="22"/>
          <w:szCs w:val="22"/>
        </w:rPr>
        <w:tab/>
      </w:r>
      <w:r>
        <w:rPr>
          <w:noProof/>
        </w:rPr>
        <w:t>Bestaande opslagtanks: maximalisatie gebruik dampretour + aansluiting op nabehandeling</w:t>
      </w:r>
      <w:r>
        <w:rPr>
          <w:noProof/>
        </w:rPr>
        <w:tab/>
      </w:r>
      <w:r w:rsidR="00C325A0">
        <w:rPr>
          <w:noProof/>
        </w:rPr>
        <w:fldChar w:fldCharType="begin"/>
      </w:r>
      <w:r>
        <w:rPr>
          <w:noProof/>
        </w:rPr>
        <w:instrText xml:space="preserve"> PAGEREF _Toc312069313 \h </w:instrText>
      </w:r>
      <w:r w:rsidR="00C325A0">
        <w:rPr>
          <w:noProof/>
        </w:rPr>
      </w:r>
      <w:r w:rsidR="00C325A0">
        <w:rPr>
          <w:noProof/>
        </w:rPr>
        <w:fldChar w:fldCharType="separate"/>
      </w:r>
      <w:r>
        <w:rPr>
          <w:noProof/>
        </w:rPr>
        <w:t>VIII.60</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2.7.4.1</w:t>
      </w:r>
      <w:r>
        <w:rPr>
          <w:rFonts w:asciiTheme="minorHAnsi" w:eastAsiaTheme="minorEastAsia" w:hAnsiTheme="minorHAnsi" w:cstheme="minorBidi"/>
          <w:smallCaps w:val="0"/>
          <w:noProof/>
          <w:sz w:val="22"/>
          <w:szCs w:val="22"/>
        </w:rPr>
        <w:tab/>
      </w:r>
      <w:r>
        <w:rPr>
          <w:noProof/>
        </w:rPr>
        <w:t>Algemeen</w:t>
      </w:r>
      <w:r>
        <w:rPr>
          <w:noProof/>
        </w:rPr>
        <w:tab/>
      </w:r>
      <w:r w:rsidR="00C325A0">
        <w:rPr>
          <w:noProof/>
        </w:rPr>
        <w:fldChar w:fldCharType="begin"/>
      </w:r>
      <w:r>
        <w:rPr>
          <w:noProof/>
        </w:rPr>
        <w:instrText xml:space="preserve"> PAGEREF _Toc312069314 \h </w:instrText>
      </w:r>
      <w:r w:rsidR="00C325A0">
        <w:rPr>
          <w:noProof/>
        </w:rPr>
      </w:r>
      <w:r w:rsidR="00C325A0">
        <w:rPr>
          <w:noProof/>
        </w:rPr>
        <w:fldChar w:fldCharType="separate"/>
      </w:r>
      <w:r>
        <w:rPr>
          <w:noProof/>
        </w:rPr>
        <w:t>VIII.60</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2.7.4.2</w:t>
      </w:r>
      <w:r>
        <w:rPr>
          <w:rFonts w:asciiTheme="minorHAnsi" w:eastAsiaTheme="minorEastAsia" w:hAnsiTheme="minorHAnsi" w:cstheme="minorBidi"/>
          <w:smallCaps w:val="0"/>
          <w:noProof/>
          <w:sz w:val="22"/>
          <w:szCs w:val="22"/>
        </w:rPr>
        <w:tab/>
      </w:r>
      <w:r>
        <w:rPr>
          <w:noProof/>
        </w:rPr>
        <w:t>Gehanteerde uitgangsgegevens voor de kostenevaluatie</w:t>
      </w:r>
      <w:r>
        <w:rPr>
          <w:noProof/>
        </w:rPr>
        <w:tab/>
      </w:r>
      <w:r w:rsidR="00C325A0">
        <w:rPr>
          <w:noProof/>
        </w:rPr>
        <w:fldChar w:fldCharType="begin"/>
      </w:r>
      <w:r>
        <w:rPr>
          <w:noProof/>
        </w:rPr>
        <w:instrText xml:space="preserve"> PAGEREF _Toc312069315 \h </w:instrText>
      </w:r>
      <w:r w:rsidR="00C325A0">
        <w:rPr>
          <w:noProof/>
        </w:rPr>
      </w:r>
      <w:r w:rsidR="00C325A0">
        <w:rPr>
          <w:noProof/>
        </w:rPr>
        <w:fldChar w:fldCharType="separate"/>
      </w:r>
      <w:r>
        <w:rPr>
          <w:noProof/>
        </w:rPr>
        <w:t>VIII.61</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2.7.4.3</w:t>
      </w:r>
      <w:r>
        <w:rPr>
          <w:rFonts w:asciiTheme="minorHAnsi" w:eastAsiaTheme="minorEastAsia" w:hAnsiTheme="minorHAnsi" w:cstheme="minorBidi"/>
          <w:smallCaps w:val="0"/>
          <w:noProof/>
          <w:sz w:val="22"/>
          <w:szCs w:val="22"/>
        </w:rPr>
        <w:tab/>
      </w:r>
      <w:r>
        <w:rPr>
          <w:noProof/>
        </w:rPr>
        <w:t>Kosteneffectiviteit</w:t>
      </w:r>
      <w:r>
        <w:rPr>
          <w:noProof/>
        </w:rPr>
        <w:tab/>
      </w:r>
      <w:r w:rsidR="00C325A0">
        <w:rPr>
          <w:noProof/>
        </w:rPr>
        <w:fldChar w:fldCharType="begin"/>
      </w:r>
      <w:r>
        <w:rPr>
          <w:noProof/>
        </w:rPr>
        <w:instrText xml:space="preserve"> PAGEREF _Toc312069316 \h </w:instrText>
      </w:r>
      <w:r w:rsidR="00C325A0">
        <w:rPr>
          <w:noProof/>
        </w:rPr>
      </w:r>
      <w:r w:rsidR="00C325A0">
        <w:rPr>
          <w:noProof/>
        </w:rPr>
        <w:fldChar w:fldCharType="separate"/>
      </w:r>
      <w:r>
        <w:rPr>
          <w:noProof/>
        </w:rPr>
        <w:t>VIII.63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2.7.5</w:t>
      </w:r>
      <w:r>
        <w:rPr>
          <w:rFonts w:asciiTheme="minorHAnsi" w:eastAsiaTheme="minorEastAsia" w:hAnsiTheme="minorHAnsi" w:cstheme="minorBidi"/>
          <w:noProof/>
          <w:sz w:val="22"/>
          <w:szCs w:val="22"/>
        </w:rPr>
        <w:tab/>
      </w:r>
      <w:r>
        <w:rPr>
          <w:noProof/>
        </w:rPr>
        <w:t>Conclusie</w:t>
      </w:r>
      <w:r>
        <w:rPr>
          <w:noProof/>
        </w:rPr>
        <w:tab/>
      </w:r>
      <w:r w:rsidR="00C325A0">
        <w:rPr>
          <w:noProof/>
        </w:rPr>
        <w:fldChar w:fldCharType="begin"/>
      </w:r>
      <w:r>
        <w:rPr>
          <w:noProof/>
        </w:rPr>
        <w:instrText xml:space="preserve"> PAGEREF _Toc312069317 \h </w:instrText>
      </w:r>
      <w:r w:rsidR="00C325A0">
        <w:rPr>
          <w:noProof/>
        </w:rPr>
      </w:r>
      <w:r w:rsidR="00C325A0">
        <w:rPr>
          <w:noProof/>
        </w:rPr>
        <w:fldChar w:fldCharType="separate"/>
      </w:r>
      <w:r>
        <w:rPr>
          <w:noProof/>
        </w:rPr>
        <w:t>VIII.64</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lastRenderedPageBreak/>
        <w:t>2.8</w:t>
      </w:r>
      <w:r>
        <w:rPr>
          <w:rFonts w:asciiTheme="minorHAnsi" w:eastAsiaTheme="minorEastAsia" w:hAnsiTheme="minorHAnsi" w:cstheme="minorBidi"/>
          <w:iCs w:val="0"/>
          <w:noProof/>
          <w:spacing w:val="0"/>
          <w:sz w:val="22"/>
          <w:szCs w:val="22"/>
        </w:rPr>
        <w:tab/>
      </w:r>
      <w:r>
        <w:rPr>
          <w:noProof/>
        </w:rPr>
        <w:t>Milderende maatregelen</w:t>
      </w:r>
      <w:r>
        <w:rPr>
          <w:noProof/>
        </w:rPr>
        <w:tab/>
      </w:r>
      <w:r w:rsidR="00C325A0">
        <w:rPr>
          <w:noProof/>
        </w:rPr>
        <w:fldChar w:fldCharType="begin"/>
      </w:r>
      <w:r>
        <w:rPr>
          <w:noProof/>
        </w:rPr>
        <w:instrText xml:space="preserve"> PAGEREF _Toc312069318 \h </w:instrText>
      </w:r>
      <w:r w:rsidR="00C325A0">
        <w:rPr>
          <w:noProof/>
        </w:rPr>
      </w:r>
      <w:r w:rsidR="00C325A0">
        <w:rPr>
          <w:noProof/>
        </w:rPr>
        <w:fldChar w:fldCharType="separate"/>
      </w:r>
      <w:r>
        <w:rPr>
          <w:noProof/>
        </w:rPr>
        <w:t>VIII.65</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3.</w:t>
      </w:r>
      <w:r>
        <w:rPr>
          <w:rFonts w:asciiTheme="minorHAnsi" w:eastAsiaTheme="minorEastAsia" w:hAnsiTheme="minorHAnsi" w:cstheme="minorBidi"/>
          <w:b w:val="0"/>
          <w:smallCaps w:val="0"/>
          <w:noProof/>
          <w:spacing w:val="0"/>
          <w:sz w:val="22"/>
          <w:szCs w:val="22"/>
        </w:rPr>
        <w:tab/>
      </w:r>
      <w:r>
        <w:rPr>
          <w:noProof/>
        </w:rPr>
        <w:t>Mens</w:t>
      </w:r>
      <w:r>
        <w:rPr>
          <w:noProof/>
        </w:rPr>
        <w:tab/>
      </w:r>
      <w:r w:rsidR="00C325A0">
        <w:rPr>
          <w:noProof/>
        </w:rPr>
        <w:fldChar w:fldCharType="begin"/>
      </w:r>
      <w:r>
        <w:rPr>
          <w:noProof/>
        </w:rPr>
        <w:instrText xml:space="preserve"> PAGEREF _Toc312069319 \h </w:instrText>
      </w:r>
      <w:r w:rsidR="00C325A0">
        <w:rPr>
          <w:noProof/>
        </w:rPr>
      </w:r>
      <w:r w:rsidR="00C325A0">
        <w:rPr>
          <w:noProof/>
        </w:rPr>
        <w:fldChar w:fldCharType="separate"/>
      </w:r>
      <w:r>
        <w:rPr>
          <w:noProof/>
        </w:rPr>
        <w:t>VIII.67</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3.1</w:t>
      </w:r>
      <w:r>
        <w:rPr>
          <w:rFonts w:asciiTheme="minorHAnsi" w:eastAsiaTheme="minorEastAsia" w:hAnsiTheme="minorHAnsi" w:cstheme="minorBidi"/>
          <w:iCs w:val="0"/>
          <w:noProof/>
          <w:spacing w:val="0"/>
          <w:sz w:val="22"/>
          <w:szCs w:val="22"/>
        </w:rPr>
        <w:tab/>
      </w:r>
      <w:r>
        <w:rPr>
          <w:noProof/>
        </w:rPr>
        <w:t>Evaluatie emissies naar lucht</w:t>
      </w:r>
      <w:r>
        <w:rPr>
          <w:noProof/>
        </w:rPr>
        <w:tab/>
      </w:r>
      <w:r w:rsidR="00C325A0">
        <w:rPr>
          <w:noProof/>
        </w:rPr>
        <w:fldChar w:fldCharType="begin"/>
      </w:r>
      <w:r>
        <w:rPr>
          <w:noProof/>
        </w:rPr>
        <w:instrText xml:space="preserve"> PAGEREF _Toc312069320 \h </w:instrText>
      </w:r>
      <w:r w:rsidR="00C325A0">
        <w:rPr>
          <w:noProof/>
        </w:rPr>
      </w:r>
      <w:r w:rsidR="00C325A0">
        <w:rPr>
          <w:noProof/>
        </w:rPr>
        <w:fldChar w:fldCharType="separate"/>
      </w:r>
      <w:r>
        <w:rPr>
          <w:noProof/>
        </w:rPr>
        <w:t>VIII.67</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3.1.1</w:t>
      </w:r>
      <w:r>
        <w:rPr>
          <w:rFonts w:asciiTheme="minorHAnsi" w:eastAsiaTheme="minorEastAsia" w:hAnsiTheme="minorHAnsi" w:cstheme="minorBidi"/>
          <w:noProof/>
          <w:sz w:val="22"/>
          <w:szCs w:val="22"/>
        </w:rPr>
        <w:tab/>
      </w:r>
      <w:r>
        <w:rPr>
          <w:noProof/>
        </w:rPr>
        <w:t>Bewoning / werkende bevolking in de omgeving van VTE</w:t>
      </w:r>
      <w:r>
        <w:rPr>
          <w:noProof/>
        </w:rPr>
        <w:tab/>
      </w:r>
      <w:r w:rsidR="00C325A0">
        <w:rPr>
          <w:noProof/>
        </w:rPr>
        <w:fldChar w:fldCharType="begin"/>
      </w:r>
      <w:r>
        <w:rPr>
          <w:noProof/>
        </w:rPr>
        <w:instrText xml:space="preserve"> PAGEREF _Toc312069321 \h </w:instrText>
      </w:r>
      <w:r w:rsidR="00C325A0">
        <w:rPr>
          <w:noProof/>
        </w:rPr>
      </w:r>
      <w:r w:rsidR="00C325A0">
        <w:rPr>
          <w:noProof/>
        </w:rPr>
        <w:fldChar w:fldCharType="separate"/>
      </w:r>
      <w:r>
        <w:rPr>
          <w:noProof/>
        </w:rPr>
        <w:t>VIII.67</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3.1.2</w:t>
      </w:r>
      <w:r>
        <w:rPr>
          <w:rFonts w:asciiTheme="minorHAnsi" w:eastAsiaTheme="minorEastAsia" w:hAnsiTheme="minorHAnsi" w:cstheme="minorBidi"/>
          <w:noProof/>
          <w:sz w:val="22"/>
          <w:szCs w:val="22"/>
        </w:rPr>
        <w:tab/>
      </w:r>
      <w:r>
        <w:rPr>
          <w:noProof/>
        </w:rPr>
        <w:t>Gezondheidsaspecten</w:t>
      </w:r>
      <w:r>
        <w:rPr>
          <w:noProof/>
        </w:rPr>
        <w:tab/>
      </w:r>
      <w:r w:rsidR="00C325A0">
        <w:rPr>
          <w:noProof/>
        </w:rPr>
        <w:fldChar w:fldCharType="begin"/>
      </w:r>
      <w:r>
        <w:rPr>
          <w:noProof/>
        </w:rPr>
        <w:instrText xml:space="preserve"> PAGEREF _Toc312069322 \h </w:instrText>
      </w:r>
      <w:r w:rsidR="00C325A0">
        <w:rPr>
          <w:noProof/>
        </w:rPr>
      </w:r>
      <w:r w:rsidR="00C325A0">
        <w:rPr>
          <w:noProof/>
        </w:rPr>
        <w:fldChar w:fldCharType="separate"/>
      </w:r>
      <w:r>
        <w:rPr>
          <w:noProof/>
        </w:rPr>
        <w:t>VIII.67</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3.1.3</w:t>
      </w:r>
      <w:r>
        <w:rPr>
          <w:rFonts w:asciiTheme="minorHAnsi" w:eastAsiaTheme="minorEastAsia" w:hAnsiTheme="minorHAnsi" w:cstheme="minorBidi"/>
          <w:noProof/>
          <w:sz w:val="22"/>
          <w:szCs w:val="22"/>
        </w:rPr>
        <w:tab/>
      </w:r>
      <w:r>
        <w:rPr>
          <w:noProof/>
        </w:rPr>
        <w:t>Geurhinder</w:t>
      </w:r>
      <w:r>
        <w:rPr>
          <w:noProof/>
        </w:rPr>
        <w:tab/>
      </w:r>
      <w:r w:rsidR="00C325A0">
        <w:rPr>
          <w:noProof/>
        </w:rPr>
        <w:fldChar w:fldCharType="begin"/>
      </w:r>
      <w:r>
        <w:rPr>
          <w:noProof/>
        </w:rPr>
        <w:instrText xml:space="preserve"> PAGEREF _Toc312069324 \h </w:instrText>
      </w:r>
      <w:r w:rsidR="00C325A0">
        <w:rPr>
          <w:noProof/>
        </w:rPr>
      </w:r>
      <w:r w:rsidR="00C325A0">
        <w:rPr>
          <w:noProof/>
        </w:rPr>
        <w:fldChar w:fldCharType="separate"/>
      </w:r>
      <w:r>
        <w:rPr>
          <w:noProof/>
        </w:rPr>
        <w:t>VIII.69</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3.1.4</w:t>
      </w:r>
      <w:r>
        <w:rPr>
          <w:rFonts w:asciiTheme="minorHAnsi" w:eastAsiaTheme="minorEastAsia" w:hAnsiTheme="minorHAnsi" w:cstheme="minorBidi"/>
          <w:noProof/>
          <w:sz w:val="22"/>
          <w:szCs w:val="22"/>
        </w:rPr>
        <w:tab/>
      </w:r>
      <w:r>
        <w:rPr>
          <w:noProof/>
        </w:rPr>
        <w:t>Externe risico’s</w:t>
      </w:r>
      <w:r>
        <w:rPr>
          <w:noProof/>
        </w:rPr>
        <w:tab/>
      </w:r>
      <w:r w:rsidR="00C325A0">
        <w:rPr>
          <w:noProof/>
        </w:rPr>
        <w:fldChar w:fldCharType="begin"/>
      </w:r>
      <w:r>
        <w:rPr>
          <w:noProof/>
        </w:rPr>
        <w:instrText xml:space="preserve"> PAGEREF _Toc312069325 \h </w:instrText>
      </w:r>
      <w:r w:rsidR="00C325A0">
        <w:rPr>
          <w:noProof/>
        </w:rPr>
      </w:r>
      <w:r w:rsidR="00C325A0">
        <w:rPr>
          <w:noProof/>
        </w:rPr>
        <w:fldChar w:fldCharType="separate"/>
      </w:r>
      <w:r>
        <w:rPr>
          <w:noProof/>
        </w:rPr>
        <w:t>VIII.69</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3.1.5</w:t>
      </w:r>
      <w:r>
        <w:rPr>
          <w:rFonts w:asciiTheme="minorHAnsi" w:eastAsiaTheme="minorEastAsia" w:hAnsiTheme="minorHAnsi" w:cstheme="minorBidi"/>
          <w:noProof/>
          <w:sz w:val="22"/>
          <w:szCs w:val="22"/>
        </w:rPr>
        <w:tab/>
      </w:r>
      <w:r>
        <w:rPr>
          <w:noProof/>
        </w:rPr>
        <w:t>Mobiliteit</w:t>
      </w:r>
      <w:r>
        <w:rPr>
          <w:noProof/>
        </w:rPr>
        <w:tab/>
      </w:r>
      <w:r w:rsidR="00C325A0">
        <w:rPr>
          <w:noProof/>
        </w:rPr>
        <w:fldChar w:fldCharType="begin"/>
      </w:r>
      <w:r>
        <w:rPr>
          <w:noProof/>
        </w:rPr>
        <w:instrText xml:space="preserve"> PAGEREF _Toc312069327 \h </w:instrText>
      </w:r>
      <w:r w:rsidR="00C325A0">
        <w:rPr>
          <w:noProof/>
        </w:rPr>
      </w:r>
      <w:r w:rsidR="00C325A0">
        <w:rPr>
          <w:noProof/>
        </w:rPr>
        <w:fldChar w:fldCharType="separate"/>
      </w:r>
      <w:r>
        <w:rPr>
          <w:noProof/>
        </w:rPr>
        <w:t>VIII.70</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4.</w:t>
      </w:r>
      <w:r>
        <w:rPr>
          <w:rFonts w:asciiTheme="minorHAnsi" w:eastAsiaTheme="minorEastAsia" w:hAnsiTheme="minorHAnsi" w:cstheme="minorBidi"/>
          <w:b w:val="0"/>
          <w:smallCaps w:val="0"/>
          <w:noProof/>
          <w:spacing w:val="0"/>
          <w:sz w:val="22"/>
          <w:szCs w:val="22"/>
        </w:rPr>
        <w:tab/>
      </w:r>
      <w:r>
        <w:rPr>
          <w:noProof/>
        </w:rPr>
        <w:t>Overige disciplines</w:t>
      </w:r>
      <w:r>
        <w:rPr>
          <w:noProof/>
        </w:rPr>
        <w:tab/>
      </w:r>
      <w:r w:rsidR="00C325A0">
        <w:rPr>
          <w:noProof/>
        </w:rPr>
        <w:fldChar w:fldCharType="begin"/>
      </w:r>
      <w:r>
        <w:rPr>
          <w:noProof/>
        </w:rPr>
        <w:instrText xml:space="preserve"> PAGEREF _Toc312069328 \h </w:instrText>
      </w:r>
      <w:r w:rsidR="00C325A0">
        <w:rPr>
          <w:noProof/>
        </w:rPr>
      </w:r>
      <w:r w:rsidR="00C325A0">
        <w:rPr>
          <w:noProof/>
        </w:rPr>
        <w:fldChar w:fldCharType="separate"/>
      </w:r>
      <w:r>
        <w:rPr>
          <w:noProof/>
        </w:rPr>
        <w:t>VIII.71</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4.1</w:t>
      </w:r>
      <w:r>
        <w:rPr>
          <w:rFonts w:asciiTheme="minorHAnsi" w:eastAsiaTheme="minorEastAsia" w:hAnsiTheme="minorHAnsi" w:cstheme="minorBidi"/>
          <w:iCs w:val="0"/>
          <w:noProof/>
          <w:spacing w:val="0"/>
          <w:sz w:val="22"/>
          <w:szCs w:val="22"/>
        </w:rPr>
        <w:tab/>
      </w:r>
      <w:r>
        <w:rPr>
          <w:noProof/>
        </w:rPr>
        <w:t>Bodem en grondwater</w:t>
      </w:r>
      <w:r>
        <w:rPr>
          <w:noProof/>
        </w:rPr>
        <w:tab/>
      </w:r>
      <w:r w:rsidR="00C325A0">
        <w:rPr>
          <w:noProof/>
        </w:rPr>
        <w:fldChar w:fldCharType="begin"/>
      </w:r>
      <w:r>
        <w:rPr>
          <w:noProof/>
        </w:rPr>
        <w:instrText xml:space="preserve"> PAGEREF _Toc312069329 \h </w:instrText>
      </w:r>
      <w:r w:rsidR="00C325A0">
        <w:rPr>
          <w:noProof/>
        </w:rPr>
      </w:r>
      <w:r w:rsidR="00C325A0">
        <w:rPr>
          <w:noProof/>
        </w:rPr>
        <w:fldChar w:fldCharType="separate"/>
      </w:r>
      <w:r>
        <w:rPr>
          <w:noProof/>
        </w:rPr>
        <w:t>VIII.71</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4.1.1</w:t>
      </w:r>
      <w:r>
        <w:rPr>
          <w:rFonts w:asciiTheme="minorHAnsi" w:eastAsiaTheme="minorEastAsia" w:hAnsiTheme="minorHAnsi" w:cstheme="minorBidi"/>
          <w:noProof/>
          <w:sz w:val="22"/>
          <w:szCs w:val="22"/>
        </w:rPr>
        <w:tab/>
      </w:r>
      <w:r>
        <w:rPr>
          <w:noProof/>
        </w:rPr>
        <w:t>Referentiesituatie</w:t>
      </w:r>
      <w:r>
        <w:rPr>
          <w:noProof/>
        </w:rPr>
        <w:tab/>
      </w:r>
      <w:r w:rsidR="00C325A0">
        <w:rPr>
          <w:noProof/>
        </w:rPr>
        <w:fldChar w:fldCharType="begin"/>
      </w:r>
      <w:r>
        <w:rPr>
          <w:noProof/>
        </w:rPr>
        <w:instrText xml:space="preserve"> PAGEREF _Toc312069330 \h </w:instrText>
      </w:r>
      <w:r w:rsidR="00C325A0">
        <w:rPr>
          <w:noProof/>
        </w:rPr>
      </w:r>
      <w:r w:rsidR="00C325A0">
        <w:rPr>
          <w:noProof/>
        </w:rPr>
        <w:fldChar w:fldCharType="separate"/>
      </w:r>
      <w:r>
        <w:rPr>
          <w:noProof/>
        </w:rPr>
        <w:t>VIII.71</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4.1.1.1</w:t>
      </w:r>
      <w:r>
        <w:rPr>
          <w:rFonts w:asciiTheme="minorHAnsi" w:eastAsiaTheme="minorEastAsia" w:hAnsiTheme="minorHAnsi" w:cstheme="minorBidi"/>
          <w:smallCaps w:val="0"/>
          <w:noProof/>
          <w:sz w:val="22"/>
          <w:szCs w:val="22"/>
        </w:rPr>
        <w:tab/>
      </w:r>
      <w:r>
        <w:rPr>
          <w:noProof/>
        </w:rPr>
        <w:t>Risico’s m.b.t. het ontstaan van bodem- en grondwaterverontreiniging</w:t>
      </w:r>
      <w:r>
        <w:rPr>
          <w:noProof/>
        </w:rPr>
        <w:tab/>
      </w:r>
      <w:r w:rsidR="00C325A0">
        <w:rPr>
          <w:noProof/>
        </w:rPr>
        <w:fldChar w:fldCharType="begin"/>
      </w:r>
      <w:r>
        <w:rPr>
          <w:noProof/>
        </w:rPr>
        <w:instrText xml:space="preserve"> PAGEREF _Toc312069331 \h </w:instrText>
      </w:r>
      <w:r w:rsidR="00C325A0">
        <w:rPr>
          <w:noProof/>
        </w:rPr>
      </w:r>
      <w:r w:rsidR="00C325A0">
        <w:rPr>
          <w:noProof/>
        </w:rPr>
        <w:fldChar w:fldCharType="separate"/>
      </w:r>
      <w:r>
        <w:rPr>
          <w:noProof/>
        </w:rPr>
        <w:t>VIII.71</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4.1.1.2</w:t>
      </w:r>
      <w:r>
        <w:rPr>
          <w:rFonts w:asciiTheme="minorHAnsi" w:eastAsiaTheme="minorEastAsia" w:hAnsiTheme="minorHAnsi" w:cstheme="minorBidi"/>
          <w:smallCaps w:val="0"/>
          <w:noProof/>
          <w:sz w:val="22"/>
          <w:szCs w:val="22"/>
        </w:rPr>
        <w:tab/>
      </w:r>
      <w:r>
        <w:rPr>
          <w:noProof/>
        </w:rPr>
        <w:t>Bestaande toestand bodem en grondwater</w:t>
      </w:r>
      <w:r>
        <w:rPr>
          <w:noProof/>
        </w:rPr>
        <w:tab/>
      </w:r>
      <w:r w:rsidR="00C325A0">
        <w:rPr>
          <w:noProof/>
        </w:rPr>
        <w:fldChar w:fldCharType="begin"/>
      </w:r>
      <w:r>
        <w:rPr>
          <w:noProof/>
        </w:rPr>
        <w:instrText xml:space="preserve"> PAGEREF _Toc312069332 \h </w:instrText>
      </w:r>
      <w:r w:rsidR="00C325A0">
        <w:rPr>
          <w:noProof/>
        </w:rPr>
      </w:r>
      <w:r w:rsidR="00C325A0">
        <w:rPr>
          <w:noProof/>
        </w:rPr>
        <w:fldChar w:fldCharType="separate"/>
      </w:r>
      <w:r>
        <w:rPr>
          <w:noProof/>
        </w:rPr>
        <w:t>VIII.72</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4.1.2</w:t>
      </w:r>
      <w:r>
        <w:rPr>
          <w:rFonts w:asciiTheme="minorHAnsi" w:eastAsiaTheme="minorEastAsia" w:hAnsiTheme="minorHAnsi" w:cstheme="minorBidi"/>
          <w:noProof/>
          <w:sz w:val="22"/>
          <w:szCs w:val="22"/>
        </w:rPr>
        <w:tab/>
      </w:r>
      <w:r>
        <w:rPr>
          <w:noProof/>
        </w:rPr>
        <w:t>Geplande situatie</w:t>
      </w:r>
      <w:r>
        <w:rPr>
          <w:noProof/>
        </w:rPr>
        <w:tab/>
      </w:r>
      <w:r w:rsidR="00C325A0">
        <w:rPr>
          <w:noProof/>
        </w:rPr>
        <w:fldChar w:fldCharType="begin"/>
      </w:r>
      <w:r>
        <w:rPr>
          <w:noProof/>
        </w:rPr>
        <w:instrText xml:space="preserve"> PAGEREF _Toc312069333 \h </w:instrText>
      </w:r>
      <w:r w:rsidR="00C325A0">
        <w:rPr>
          <w:noProof/>
        </w:rPr>
      </w:r>
      <w:r w:rsidR="00C325A0">
        <w:rPr>
          <w:noProof/>
        </w:rPr>
        <w:fldChar w:fldCharType="separate"/>
      </w:r>
      <w:r>
        <w:rPr>
          <w:noProof/>
        </w:rPr>
        <w:t>VIII.72</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4.1.2.1</w:t>
      </w:r>
      <w:r>
        <w:rPr>
          <w:rFonts w:asciiTheme="minorHAnsi" w:eastAsiaTheme="minorEastAsia" w:hAnsiTheme="minorHAnsi" w:cstheme="minorBidi"/>
          <w:smallCaps w:val="0"/>
          <w:noProof/>
          <w:sz w:val="22"/>
          <w:szCs w:val="22"/>
        </w:rPr>
        <w:tab/>
      </w:r>
      <w:r>
        <w:rPr>
          <w:noProof/>
        </w:rPr>
        <w:t>Bouwwerkzaamheden</w:t>
      </w:r>
      <w:r>
        <w:rPr>
          <w:noProof/>
        </w:rPr>
        <w:tab/>
      </w:r>
      <w:r w:rsidR="00C325A0">
        <w:rPr>
          <w:noProof/>
        </w:rPr>
        <w:fldChar w:fldCharType="begin"/>
      </w:r>
      <w:r>
        <w:rPr>
          <w:noProof/>
        </w:rPr>
        <w:instrText xml:space="preserve"> PAGEREF _Toc312069334 \h </w:instrText>
      </w:r>
      <w:r w:rsidR="00C325A0">
        <w:rPr>
          <w:noProof/>
        </w:rPr>
      </w:r>
      <w:r w:rsidR="00C325A0">
        <w:rPr>
          <w:noProof/>
        </w:rPr>
        <w:fldChar w:fldCharType="separate"/>
      </w:r>
      <w:r>
        <w:rPr>
          <w:noProof/>
        </w:rPr>
        <w:t>VIII.72</w:t>
      </w:r>
      <w:r w:rsidR="00C325A0">
        <w:rPr>
          <w:noProof/>
        </w:rPr>
        <w:fldChar w:fldCharType="end"/>
      </w:r>
    </w:p>
    <w:p w:rsidR="008102D8" w:rsidRDefault="008102D8">
      <w:pPr>
        <w:pStyle w:val="TOC5"/>
        <w:rPr>
          <w:rFonts w:asciiTheme="minorHAnsi" w:eastAsiaTheme="minorEastAsia" w:hAnsiTheme="minorHAnsi" w:cstheme="minorBidi"/>
          <w:smallCaps w:val="0"/>
          <w:noProof/>
          <w:sz w:val="22"/>
          <w:szCs w:val="22"/>
        </w:rPr>
      </w:pPr>
      <w:r>
        <w:rPr>
          <w:noProof/>
        </w:rPr>
        <w:t>4.1.2.2</w:t>
      </w:r>
      <w:r>
        <w:rPr>
          <w:rFonts w:asciiTheme="minorHAnsi" w:eastAsiaTheme="minorEastAsia" w:hAnsiTheme="minorHAnsi" w:cstheme="minorBidi"/>
          <w:smallCaps w:val="0"/>
          <w:noProof/>
          <w:sz w:val="22"/>
          <w:szCs w:val="22"/>
        </w:rPr>
        <w:tab/>
      </w:r>
      <w:r>
        <w:rPr>
          <w:noProof/>
        </w:rPr>
        <w:t>Risico’s m.b.t. het ontstaan van bodem- en grondwaterverontreiniging</w:t>
      </w:r>
      <w:r>
        <w:rPr>
          <w:noProof/>
        </w:rPr>
        <w:tab/>
      </w:r>
      <w:r w:rsidR="00C325A0">
        <w:rPr>
          <w:noProof/>
        </w:rPr>
        <w:fldChar w:fldCharType="begin"/>
      </w:r>
      <w:r>
        <w:rPr>
          <w:noProof/>
        </w:rPr>
        <w:instrText xml:space="preserve"> PAGEREF _Toc312069335 \h </w:instrText>
      </w:r>
      <w:r w:rsidR="00C325A0">
        <w:rPr>
          <w:noProof/>
        </w:rPr>
      </w:r>
      <w:r w:rsidR="00C325A0">
        <w:rPr>
          <w:noProof/>
        </w:rPr>
        <w:fldChar w:fldCharType="separate"/>
      </w:r>
      <w:r>
        <w:rPr>
          <w:noProof/>
        </w:rPr>
        <w:t>VIII.72</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4.2</w:t>
      </w:r>
      <w:r>
        <w:rPr>
          <w:rFonts w:asciiTheme="minorHAnsi" w:eastAsiaTheme="minorEastAsia" w:hAnsiTheme="minorHAnsi" w:cstheme="minorBidi"/>
          <w:iCs w:val="0"/>
          <w:noProof/>
          <w:spacing w:val="0"/>
          <w:sz w:val="22"/>
          <w:szCs w:val="22"/>
        </w:rPr>
        <w:tab/>
      </w:r>
      <w:r>
        <w:rPr>
          <w:noProof/>
        </w:rPr>
        <w:t>Geluid</w:t>
      </w:r>
      <w:r>
        <w:rPr>
          <w:noProof/>
        </w:rPr>
        <w:tab/>
      </w:r>
      <w:r w:rsidR="00C325A0">
        <w:rPr>
          <w:noProof/>
        </w:rPr>
        <w:fldChar w:fldCharType="begin"/>
      </w:r>
      <w:r>
        <w:rPr>
          <w:noProof/>
        </w:rPr>
        <w:instrText xml:space="preserve"> PAGEREF _Toc312069336 \h </w:instrText>
      </w:r>
      <w:r w:rsidR="00C325A0">
        <w:rPr>
          <w:noProof/>
        </w:rPr>
      </w:r>
      <w:r w:rsidR="00C325A0">
        <w:rPr>
          <w:noProof/>
        </w:rPr>
        <w:fldChar w:fldCharType="separate"/>
      </w:r>
      <w:r>
        <w:rPr>
          <w:noProof/>
        </w:rPr>
        <w:t>VIII.73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4.2.1</w:t>
      </w:r>
      <w:r>
        <w:rPr>
          <w:rFonts w:asciiTheme="minorHAnsi" w:eastAsiaTheme="minorEastAsia" w:hAnsiTheme="minorHAnsi" w:cstheme="minorBidi"/>
          <w:noProof/>
          <w:sz w:val="22"/>
          <w:szCs w:val="22"/>
        </w:rPr>
        <w:tab/>
      </w:r>
      <w:r>
        <w:rPr>
          <w:noProof/>
        </w:rPr>
        <w:t>Geluidsbronnen</w:t>
      </w:r>
      <w:r>
        <w:rPr>
          <w:noProof/>
        </w:rPr>
        <w:tab/>
      </w:r>
      <w:r w:rsidR="00C325A0">
        <w:rPr>
          <w:noProof/>
        </w:rPr>
        <w:fldChar w:fldCharType="begin"/>
      </w:r>
      <w:r>
        <w:rPr>
          <w:noProof/>
        </w:rPr>
        <w:instrText xml:space="preserve"> PAGEREF _Toc312069337 \h </w:instrText>
      </w:r>
      <w:r w:rsidR="00C325A0">
        <w:rPr>
          <w:noProof/>
        </w:rPr>
      </w:r>
      <w:r w:rsidR="00C325A0">
        <w:rPr>
          <w:noProof/>
        </w:rPr>
        <w:fldChar w:fldCharType="separate"/>
      </w:r>
      <w:r>
        <w:rPr>
          <w:noProof/>
        </w:rPr>
        <w:t>VIII.73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4.2.2</w:t>
      </w:r>
      <w:r>
        <w:rPr>
          <w:rFonts w:asciiTheme="minorHAnsi" w:eastAsiaTheme="minorEastAsia" w:hAnsiTheme="minorHAnsi" w:cstheme="minorBidi"/>
          <w:noProof/>
          <w:sz w:val="22"/>
          <w:szCs w:val="22"/>
        </w:rPr>
        <w:tab/>
      </w:r>
      <w:r>
        <w:rPr>
          <w:noProof/>
        </w:rPr>
        <w:t>Evaluatie van de mogelijke milieu-effecten</w:t>
      </w:r>
      <w:r>
        <w:rPr>
          <w:noProof/>
        </w:rPr>
        <w:tab/>
      </w:r>
      <w:r w:rsidR="00C325A0">
        <w:rPr>
          <w:noProof/>
        </w:rPr>
        <w:fldChar w:fldCharType="begin"/>
      </w:r>
      <w:r>
        <w:rPr>
          <w:noProof/>
        </w:rPr>
        <w:instrText xml:space="preserve"> PAGEREF _Toc312069338 \h </w:instrText>
      </w:r>
      <w:r w:rsidR="00C325A0">
        <w:rPr>
          <w:noProof/>
        </w:rPr>
      </w:r>
      <w:r w:rsidR="00C325A0">
        <w:rPr>
          <w:noProof/>
        </w:rPr>
        <w:fldChar w:fldCharType="separate"/>
      </w:r>
      <w:r>
        <w:rPr>
          <w:noProof/>
        </w:rPr>
        <w:t>VIII.73</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4.3</w:t>
      </w:r>
      <w:r>
        <w:rPr>
          <w:rFonts w:asciiTheme="minorHAnsi" w:eastAsiaTheme="minorEastAsia" w:hAnsiTheme="minorHAnsi" w:cstheme="minorBidi"/>
          <w:iCs w:val="0"/>
          <w:noProof/>
          <w:spacing w:val="0"/>
          <w:sz w:val="22"/>
          <w:szCs w:val="22"/>
        </w:rPr>
        <w:tab/>
      </w:r>
      <w:r>
        <w:rPr>
          <w:noProof/>
        </w:rPr>
        <w:t>Fauna en flora</w:t>
      </w:r>
      <w:r>
        <w:rPr>
          <w:noProof/>
        </w:rPr>
        <w:tab/>
      </w:r>
      <w:r w:rsidR="00C325A0">
        <w:rPr>
          <w:noProof/>
        </w:rPr>
        <w:fldChar w:fldCharType="begin"/>
      </w:r>
      <w:r>
        <w:rPr>
          <w:noProof/>
        </w:rPr>
        <w:instrText xml:space="preserve"> PAGEREF _Toc312069339 \h </w:instrText>
      </w:r>
      <w:r w:rsidR="00C325A0">
        <w:rPr>
          <w:noProof/>
        </w:rPr>
      </w:r>
      <w:r w:rsidR="00C325A0">
        <w:rPr>
          <w:noProof/>
        </w:rPr>
        <w:fldChar w:fldCharType="separate"/>
      </w:r>
      <w:r>
        <w:rPr>
          <w:noProof/>
        </w:rPr>
        <w:t>VIII.75</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4.3.1</w:t>
      </w:r>
      <w:r>
        <w:rPr>
          <w:rFonts w:asciiTheme="minorHAnsi" w:eastAsiaTheme="minorEastAsia" w:hAnsiTheme="minorHAnsi" w:cstheme="minorBidi"/>
          <w:noProof/>
          <w:sz w:val="22"/>
          <w:szCs w:val="22"/>
        </w:rPr>
        <w:tab/>
      </w:r>
      <w:r>
        <w:rPr>
          <w:noProof/>
        </w:rPr>
        <w:t>Atmosferische emissies</w:t>
      </w:r>
      <w:r>
        <w:rPr>
          <w:noProof/>
        </w:rPr>
        <w:tab/>
      </w:r>
      <w:r w:rsidR="00C325A0">
        <w:rPr>
          <w:noProof/>
        </w:rPr>
        <w:fldChar w:fldCharType="begin"/>
      </w:r>
      <w:r>
        <w:rPr>
          <w:noProof/>
        </w:rPr>
        <w:instrText xml:space="preserve"> PAGEREF _Toc312069340 \h </w:instrText>
      </w:r>
      <w:r w:rsidR="00C325A0">
        <w:rPr>
          <w:noProof/>
        </w:rPr>
      </w:r>
      <w:r w:rsidR="00C325A0">
        <w:rPr>
          <w:noProof/>
        </w:rPr>
        <w:fldChar w:fldCharType="separate"/>
      </w:r>
      <w:r>
        <w:rPr>
          <w:noProof/>
        </w:rPr>
        <w:t>VIII.75</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4.3.2</w:t>
      </w:r>
      <w:r>
        <w:rPr>
          <w:rFonts w:asciiTheme="minorHAnsi" w:eastAsiaTheme="minorEastAsia" w:hAnsiTheme="minorHAnsi" w:cstheme="minorBidi"/>
          <w:noProof/>
          <w:sz w:val="22"/>
          <w:szCs w:val="22"/>
        </w:rPr>
        <w:tab/>
      </w:r>
      <w:r>
        <w:rPr>
          <w:noProof/>
        </w:rPr>
        <w:t>Geluid</w:t>
      </w:r>
      <w:r>
        <w:rPr>
          <w:noProof/>
        </w:rPr>
        <w:tab/>
      </w:r>
      <w:r w:rsidR="00C325A0">
        <w:rPr>
          <w:noProof/>
        </w:rPr>
        <w:fldChar w:fldCharType="begin"/>
      </w:r>
      <w:r>
        <w:rPr>
          <w:noProof/>
        </w:rPr>
        <w:instrText xml:space="preserve"> PAGEREF _Toc312069341 \h </w:instrText>
      </w:r>
      <w:r w:rsidR="00C325A0">
        <w:rPr>
          <w:noProof/>
        </w:rPr>
      </w:r>
      <w:r w:rsidR="00C325A0">
        <w:rPr>
          <w:noProof/>
        </w:rPr>
        <w:fldChar w:fldCharType="separate"/>
      </w:r>
      <w:r>
        <w:rPr>
          <w:noProof/>
        </w:rPr>
        <w:t>VIII.75</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4.4</w:t>
      </w:r>
      <w:r>
        <w:rPr>
          <w:rFonts w:asciiTheme="minorHAnsi" w:eastAsiaTheme="minorEastAsia" w:hAnsiTheme="minorHAnsi" w:cstheme="minorBidi"/>
          <w:iCs w:val="0"/>
          <w:noProof/>
          <w:spacing w:val="0"/>
          <w:sz w:val="22"/>
          <w:szCs w:val="22"/>
        </w:rPr>
        <w:tab/>
      </w:r>
      <w:r>
        <w:rPr>
          <w:noProof/>
        </w:rPr>
        <w:t>Landschap, bouwkundig erfgoed en archeologie</w:t>
      </w:r>
      <w:r>
        <w:rPr>
          <w:noProof/>
        </w:rPr>
        <w:tab/>
      </w:r>
      <w:r w:rsidR="00C325A0">
        <w:rPr>
          <w:noProof/>
        </w:rPr>
        <w:fldChar w:fldCharType="begin"/>
      </w:r>
      <w:r>
        <w:rPr>
          <w:noProof/>
        </w:rPr>
        <w:instrText xml:space="preserve"> PAGEREF _Toc312069342 \h </w:instrText>
      </w:r>
      <w:r w:rsidR="00C325A0">
        <w:rPr>
          <w:noProof/>
        </w:rPr>
      </w:r>
      <w:r w:rsidR="00C325A0">
        <w:rPr>
          <w:noProof/>
        </w:rPr>
        <w:fldChar w:fldCharType="separate"/>
      </w:r>
      <w:r>
        <w:rPr>
          <w:noProof/>
        </w:rPr>
        <w:t>VIII.75</w:t>
      </w:r>
      <w:r w:rsidR="00C325A0">
        <w:rPr>
          <w:noProof/>
        </w:rPr>
        <w:fldChar w:fldCharType="end"/>
      </w:r>
    </w:p>
    <w:p w:rsidR="008102D8" w:rsidRDefault="008102D8">
      <w:pPr>
        <w:pStyle w:val="TOC1"/>
        <w:rPr>
          <w:rFonts w:asciiTheme="minorHAnsi" w:eastAsiaTheme="minorEastAsia" w:hAnsiTheme="minorHAnsi" w:cstheme="minorBidi"/>
          <w:b w:val="0"/>
          <w:bCs w:val="0"/>
          <w:caps w:val="0"/>
          <w:noProof/>
          <w:color w:val="auto"/>
          <w:sz w:val="22"/>
          <w:szCs w:val="22"/>
        </w:rPr>
      </w:pPr>
      <w:r w:rsidRPr="00676E33">
        <w:rPr>
          <w:noProof/>
        </w:rPr>
        <w:t>IX</w:t>
      </w:r>
      <w:r>
        <w:rPr>
          <w:rFonts w:asciiTheme="minorHAnsi" w:eastAsiaTheme="minorEastAsia" w:hAnsiTheme="minorHAnsi" w:cstheme="minorBidi"/>
          <w:b w:val="0"/>
          <w:bCs w:val="0"/>
          <w:caps w:val="0"/>
          <w:noProof/>
          <w:color w:val="auto"/>
          <w:sz w:val="22"/>
          <w:szCs w:val="22"/>
        </w:rPr>
        <w:tab/>
      </w:r>
      <w:r>
        <w:rPr>
          <w:noProof/>
        </w:rPr>
        <w:t>Grensoverschrijdende effecten</w:t>
      </w:r>
    </w:p>
    <w:p w:rsidR="008102D8" w:rsidRDefault="008102D8">
      <w:pPr>
        <w:pStyle w:val="TOC1"/>
        <w:rPr>
          <w:rFonts w:asciiTheme="minorHAnsi" w:eastAsiaTheme="minorEastAsia" w:hAnsiTheme="minorHAnsi" w:cstheme="minorBidi"/>
          <w:b w:val="0"/>
          <w:bCs w:val="0"/>
          <w:caps w:val="0"/>
          <w:noProof/>
          <w:color w:val="auto"/>
          <w:sz w:val="22"/>
          <w:szCs w:val="22"/>
        </w:rPr>
      </w:pPr>
      <w:r w:rsidRPr="00676E33">
        <w:rPr>
          <w:noProof/>
        </w:rPr>
        <w:t>X</w:t>
      </w:r>
      <w:r>
        <w:rPr>
          <w:rFonts w:asciiTheme="minorHAnsi" w:eastAsiaTheme="minorEastAsia" w:hAnsiTheme="minorHAnsi" w:cstheme="minorBidi"/>
          <w:b w:val="0"/>
          <w:bCs w:val="0"/>
          <w:caps w:val="0"/>
          <w:noProof/>
          <w:color w:val="auto"/>
          <w:sz w:val="22"/>
          <w:szCs w:val="22"/>
        </w:rPr>
        <w:tab/>
      </w:r>
      <w:r>
        <w:rPr>
          <w:noProof/>
        </w:rPr>
        <w:t>Leemten in de kennis</w:t>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1.</w:t>
      </w:r>
      <w:r>
        <w:rPr>
          <w:rFonts w:asciiTheme="minorHAnsi" w:eastAsiaTheme="minorEastAsia" w:hAnsiTheme="minorHAnsi" w:cstheme="minorBidi"/>
          <w:b w:val="0"/>
          <w:smallCaps w:val="0"/>
          <w:noProof/>
          <w:spacing w:val="0"/>
          <w:sz w:val="22"/>
          <w:szCs w:val="22"/>
        </w:rPr>
        <w:tab/>
      </w:r>
      <w:r>
        <w:rPr>
          <w:noProof/>
        </w:rPr>
        <w:t>Oppervlaktewater</w:t>
      </w:r>
      <w:r>
        <w:rPr>
          <w:noProof/>
        </w:rPr>
        <w:tab/>
      </w:r>
      <w:r w:rsidR="00C325A0">
        <w:rPr>
          <w:noProof/>
        </w:rPr>
        <w:fldChar w:fldCharType="begin"/>
      </w:r>
      <w:r>
        <w:rPr>
          <w:noProof/>
        </w:rPr>
        <w:instrText xml:space="preserve"> PAGEREF _Toc312069345 \h </w:instrText>
      </w:r>
      <w:r w:rsidR="00C325A0">
        <w:rPr>
          <w:noProof/>
        </w:rPr>
      </w:r>
      <w:r w:rsidR="00C325A0">
        <w:rPr>
          <w:noProof/>
        </w:rPr>
        <w:fldChar w:fldCharType="separate"/>
      </w:r>
      <w:r>
        <w:rPr>
          <w:noProof/>
        </w:rPr>
        <w:t>X.1</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2.</w:t>
      </w:r>
      <w:r>
        <w:rPr>
          <w:rFonts w:asciiTheme="minorHAnsi" w:eastAsiaTheme="minorEastAsia" w:hAnsiTheme="minorHAnsi" w:cstheme="minorBidi"/>
          <w:b w:val="0"/>
          <w:smallCaps w:val="0"/>
          <w:noProof/>
          <w:spacing w:val="0"/>
          <w:sz w:val="22"/>
          <w:szCs w:val="22"/>
        </w:rPr>
        <w:tab/>
      </w:r>
      <w:r>
        <w:rPr>
          <w:noProof/>
        </w:rPr>
        <w:t>Lucht</w:t>
      </w:r>
      <w:r>
        <w:rPr>
          <w:noProof/>
        </w:rPr>
        <w:tab/>
      </w:r>
      <w:r w:rsidR="00C325A0">
        <w:rPr>
          <w:noProof/>
        </w:rPr>
        <w:fldChar w:fldCharType="begin"/>
      </w:r>
      <w:r>
        <w:rPr>
          <w:noProof/>
        </w:rPr>
        <w:instrText xml:space="preserve"> PAGEREF _Toc312069346 \h </w:instrText>
      </w:r>
      <w:r w:rsidR="00C325A0">
        <w:rPr>
          <w:noProof/>
        </w:rPr>
      </w:r>
      <w:r w:rsidR="00C325A0">
        <w:rPr>
          <w:noProof/>
        </w:rPr>
        <w:fldChar w:fldCharType="separate"/>
      </w:r>
      <w:r>
        <w:rPr>
          <w:noProof/>
        </w:rPr>
        <w:t>X.1</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3.</w:t>
      </w:r>
      <w:r>
        <w:rPr>
          <w:rFonts w:asciiTheme="minorHAnsi" w:eastAsiaTheme="minorEastAsia" w:hAnsiTheme="minorHAnsi" w:cstheme="minorBidi"/>
          <w:b w:val="0"/>
          <w:smallCaps w:val="0"/>
          <w:noProof/>
          <w:spacing w:val="0"/>
          <w:sz w:val="22"/>
          <w:szCs w:val="22"/>
        </w:rPr>
        <w:tab/>
      </w:r>
      <w:r>
        <w:rPr>
          <w:noProof/>
        </w:rPr>
        <w:t>Mens</w:t>
      </w:r>
      <w:r>
        <w:rPr>
          <w:noProof/>
        </w:rPr>
        <w:tab/>
      </w:r>
      <w:r w:rsidR="00C325A0">
        <w:rPr>
          <w:noProof/>
        </w:rPr>
        <w:fldChar w:fldCharType="begin"/>
      </w:r>
      <w:r>
        <w:rPr>
          <w:noProof/>
        </w:rPr>
        <w:instrText xml:space="preserve"> PAGEREF _Toc312069347 \h </w:instrText>
      </w:r>
      <w:r w:rsidR="00C325A0">
        <w:rPr>
          <w:noProof/>
        </w:rPr>
      </w:r>
      <w:r w:rsidR="00C325A0">
        <w:rPr>
          <w:noProof/>
        </w:rPr>
        <w:fldChar w:fldCharType="separate"/>
      </w:r>
      <w:r>
        <w:rPr>
          <w:noProof/>
        </w:rPr>
        <w:t>X.1</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4.</w:t>
      </w:r>
      <w:r>
        <w:rPr>
          <w:rFonts w:asciiTheme="minorHAnsi" w:eastAsiaTheme="minorEastAsia" w:hAnsiTheme="minorHAnsi" w:cstheme="minorBidi"/>
          <w:b w:val="0"/>
          <w:smallCaps w:val="0"/>
          <w:noProof/>
          <w:spacing w:val="0"/>
          <w:sz w:val="22"/>
          <w:szCs w:val="22"/>
        </w:rPr>
        <w:tab/>
      </w:r>
      <w:r>
        <w:rPr>
          <w:noProof/>
        </w:rPr>
        <w:t>Overige disciplines</w:t>
      </w:r>
      <w:r>
        <w:rPr>
          <w:noProof/>
        </w:rPr>
        <w:tab/>
      </w:r>
      <w:r w:rsidR="00C325A0">
        <w:rPr>
          <w:noProof/>
        </w:rPr>
        <w:fldChar w:fldCharType="begin"/>
      </w:r>
      <w:r>
        <w:rPr>
          <w:noProof/>
        </w:rPr>
        <w:instrText xml:space="preserve"> PAGEREF _Toc312069348 \h </w:instrText>
      </w:r>
      <w:r w:rsidR="00C325A0">
        <w:rPr>
          <w:noProof/>
        </w:rPr>
      </w:r>
      <w:r w:rsidR="00C325A0">
        <w:rPr>
          <w:noProof/>
        </w:rPr>
        <w:fldChar w:fldCharType="separate"/>
      </w:r>
      <w:r>
        <w:rPr>
          <w:noProof/>
        </w:rPr>
        <w:t>X.1</w:t>
      </w:r>
      <w:r w:rsidR="00C325A0">
        <w:rPr>
          <w:noProof/>
        </w:rPr>
        <w:fldChar w:fldCharType="end"/>
      </w:r>
    </w:p>
    <w:p w:rsidR="008102D8" w:rsidRDefault="008102D8">
      <w:pPr>
        <w:pStyle w:val="TOC1"/>
        <w:rPr>
          <w:rFonts w:asciiTheme="minorHAnsi" w:eastAsiaTheme="minorEastAsia" w:hAnsiTheme="minorHAnsi" w:cstheme="minorBidi"/>
          <w:b w:val="0"/>
          <w:bCs w:val="0"/>
          <w:caps w:val="0"/>
          <w:noProof/>
          <w:color w:val="auto"/>
          <w:sz w:val="22"/>
          <w:szCs w:val="22"/>
        </w:rPr>
      </w:pPr>
      <w:r w:rsidRPr="00676E33">
        <w:rPr>
          <w:noProof/>
        </w:rPr>
        <w:t>XI</w:t>
      </w:r>
      <w:r>
        <w:rPr>
          <w:rFonts w:asciiTheme="minorHAnsi" w:eastAsiaTheme="minorEastAsia" w:hAnsiTheme="minorHAnsi" w:cstheme="minorBidi"/>
          <w:b w:val="0"/>
          <w:bCs w:val="0"/>
          <w:caps w:val="0"/>
          <w:noProof/>
          <w:color w:val="auto"/>
          <w:sz w:val="22"/>
          <w:szCs w:val="22"/>
        </w:rPr>
        <w:tab/>
      </w:r>
      <w:r>
        <w:rPr>
          <w:noProof/>
        </w:rPr>
        <w:t>Postmonitoring en -evaluatie</w:t>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1.</w:t>
      </w:r>
      <w:r>
        <w:rPr>
          <w:rFonts w:asciiTheme="minorHAnsi" w:eastAsiaTheme="minorEastAsia" w:hAnsiTheme="minorHAnsi" w:cstheme="minorBidi"/>
          <w:b w:val="0"/>
          <w:smallCaps w:val="0"/>
          <w:noProof/>
          <w:spacing w:val="0"/>
          <w:sz w:val="22"/>
          <w:szCs w:val="22"/>
        </w:rPr>
        <w:tab/>
      </w:r>
      <w:r>
        <w:rPr>
          <w:noProof/>
        </w:rPr>
        <w:t>Oppervlaktewater</w:t>
      </w:r>
      <w:r>
        <w:rPr>
          <w:noProof/>
        </w:rPr>
        <w:tab/>
      </w:r>
      <w:r w:rsidR="00C325A0">
        <w:rPr>
          <w:noProof/>
        </w:rPr>
        <w:fldChar w:fldCharType="begin"/>
      </w:r>
      <w:r>
        <w:rPr>
          <w:noProof/>
        </w:rPr>
        <w:instrText xml:space="preserve"> PAGEREF _Toc312069350 \h </w:instrText>
      </w:r>
      <w:r w:rsidR="00C325A0">
        <w:rPr>
          <w:noProof/>
        </w:rPr>
      </w:r>
      <w:r w:rsidR="00C325A0">
        <w:rPr>
          <w:noProof/>
        </w:rPr>
        <w:fldChar w:fldCharType="separate"/>
      </w:r>
      <w:r>
        <w:rPr>
          <w:noProof/>
        </w:rPr>
        <w:t>XI.1</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2.</w:t>
      </w:r>
      <w:r>
        <w:rPr>
          <w:rFonts w:asciiTheme="minorHAnsi" w:eastAsiaTheme="minorEastAsia" w:hAnsiTheme="minorHAnsi" w:cstheme="minorBidi"/>
          <w:b w:val="0"/>
          <w:smallCaps w:val="0"/>
          <w:noProof/>
          <w:spacing w:val="0"/>
          <w:sz w:val="22"/>
          <w:szCs w:val="22"/>
        </w:rPr>
        <w:tab/>
      </w:r>
      <w:r>
        <w:rPr>
          <w:noProof/>
        </w:rPr>
        <w:t>Lucht</w:t>
      </w:r>
      <w:r>
        <w:rPr>
          <w:noProof/>
        </w:rPr>
        <w:tab/>
      </w:r>
      <w:r w:rsidR="00C325A0">
        <w:rPr>
          <w:noProof/>
        </w:rPr>
        <w:fldChar w:fldCharType="begin"/>
      </w:r>
      <w:r>
        <w:rPr>
          <w:noProof/>
        </w:rPr>
        <w:instrText xml:space="preserve"> PAGEREF _Toc312069351 \h </w:instrText>
      </w:r>
      <w:r w:rsidR="00C325A0">
        <w:rPr>
          <w:noProof/>
        </w:rPr>
      </w:r>
      <w:r w:rsidR="00C325A0">
        <w:rPr>
          <w:noProof/>
        </w:rPr>
        <w:fldChar w:fldCharType="separate"/>
      </w:r>
      <w:r>
        <w:rPr>
          <w:noProof/>
        </w:rPr>
        <w:t>XI.1</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3.</w:t>
      </w:r>
      <w:r>
        <w:rPr>
          <w:rFonts w:asciiTheme="minorHAnsi" w:eastAsiaTheme="minorEastAsia" w:hAnsiTheme="minorHAnsi" w:cstheme="minorBidi"/>
          <w:b w:val="0"/>
          <w:smallCaps w:val="0"/>
          <w:noProof/>
          <w:spacing w:val="0"/>
          <w:sz w:val="22"/>
          <w:szCs w:val="22"/>
        </w:rPr>
        <w:tab/>
      </w:r>
      <w:r>
        <w:rPr>
          <w:noProof/>
        </w:rPr>
        <w:t>Mens</w:t>
      </w:r>
      <w:r>
        <w:rPr>
          <w:noProof/>
        </w:rPr>
        <w:tab/>
      </w:r>
      <w:r w:rsidR="00C325A0">
        <w:rPr>
          <w:noProof/>
        </w:rPr>
        <w:fldChar w:fldCharType="begin"/>
      </w:r>
      <w:r>
        <w:rPr>
          <w:noProof/>
        </w:rPr>
        <w:instrText xml:space="preserve"> PAGEREF _Toc312069352 \h </w:instrText>
      </w:r>
      <w:r w:rsidR="00C325A0">
        <w:rPr>
          <w:noProof/>
        </w:rPr>
      </w:r>
      <w:r w:rsidR="00C325A0">
        <w:rPr>
          <w:noProof/>
        </w:rPr>
        <w:fldChar w:fldCharType="separate"/>
      </w:r>
      <w:r>
        <w:rPr>
          <w:noProof/>
        </w:rPr>
        <w:t>XI.2</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4.</w:t>
      </w:r>
      <w:r>
        <w:rPr>
          <w:rFonts w:asciiTheme="minorHAnsi" w:eastAsiaTheme="minorEastAsia" w:hAnsiTheme="minorHAnsi" w:cstheme="minorBidi"/>
          <w:b w:val="0"/>
          <w:smallCaps w:val="0"/>
          <w:noProof/>
          <w:spacing w:val="0"/>
          <w:sz w:val="22"/>
          <w:szCs w:val="22"/>
        </w:rPr>
        <w:tab/>
      </w:r>
      <w:r>
        <w:rPr>
          <w:noProof/>
        </w:rPr>
        <w:t>Overige disciplines</w:t>
      </w:r>
      <w:r>
        <w:rPr>
          <w:noProof/>
        </w:rPr>
        <w:tab/>
      </w:r>
      <w:r w:rsidR="00C325A0">
        <w:rPr>
          <w:noProof/>
        </w:rPr>
        <w:fldChar w:fldCharType="begin"/>
      </w:r>
      <w:r>
        <w:rPr>
          <w:noProof/>
        </w:rPr>
        <w:instrText xml:space="preserve"> PAGEREF _Toc312069353 \h </w:instrText>
      </w:r>
      <w:r w:rsidR="00C325A0">
        <w:rPr>
          <w:noProof/>
        </w:rPr>
      </w:r>
      <w:r w:rsidR="00C325A0">
        <w:rPr>
          <w:noProof/>
        </w:rPr>
        <w:fldChar w:fldCharType="separate"/>
      </w:r>
      <w:r>
        <w:rPr>
          <w:noProof/>
        </w:rPr>
        <w:t>XI.2</w:t>
      </w:r>
      <w:r w:rsidR="00C325A0">
        <w:rPr>
          <w:noProof/>
        </w:rPr>
        <w:fldChar w:fldCharType="end"/>
      </w:r>
    </w:p>
    <w:p w:rsidR="008102D8" w:rsidRDefault="008102D8">
      <w:pPr>
        <w:pStyle w:val="TOC1"/>
        <w:rPr>
          <w:rFonts w:asciiTheme="minorHAnsi" w:eastAsiaTheme="minorEastAsia" w:hAnsiTheme="minorHAnsi" w:cstheme="minorBidi"/>
          <w:b w:val="0"/>
          <w:bCs w:val="0"/>
          <w:caps w:val="0"/>
          <w:noProof/>
          <w:color w:val="auto"/>
          <w:sz w:val="22"/>
          <w:szCs w:val="22"/>
        </w:rPr>
      </w:pPr>
      <w:r w:rsidRPr="00676E33">
        <w:rPr>
          <w:noProof/>
        </w:rPr>
        <w:t>XII</w:t>
      </w:r>
      <w:r>
        <w:rPr>
          <w:rFonts w:asciiTheme="minorHAnsi" w:eastAsiaTheme="minorEastAsia" w:hAnsiTheme="minorHAnsi" w:cstheme="minorBidi"/>
          <w:b w:val="0"/>
          <w:bCs w:val="0"/>
          <w:caps w:val="0"/>
          <w:noProof/>
          <w:color w:val="auto"/>
          <w:sz w:val="22"/>
          <w:szCs w:val="22"/>
        </w:rPr>
        <w:tab/>
      </w:r>
      <w:r>
        <w:rPr>
          <w:noProof/>
        </w:rPr>
        <w:t>Integratie en eindsynthese</w:t>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1.</w:t>
      </w:r>
      <w:r>
        <w:rPr>
          <w:rFonts w:asciiTheme="minorHAnsi" w:eastAsiaTheme="minorEastAsia" w:hAnsiTheme="minorHAnsi" w:cstheme="minorBidi"/>
          <w:b w:val="0"/>
          <w:smallCaps w:val="0"/>
          <w:noProof/>
          <w:spacing w:val="0"/>
          <w:sz w:val="22"/>
          <w:szCs w:val="22"/>
        </w:rPr>
        <w:tab/>
      </w:r>
      <w:r>
        <w:rPr>
          <w:noProof/>
        </w:rPr>
        <w:t>Synthese van de effecten</w:t>
      </w:r>
      <w:r>
        <w:rPr>
          <w:noProof/>
        </w:rPr>
        <w:tab/>
      </w:r>
      <w:r w:rsidR="00C325A0">
        <w:rPr>
          <w:noProof/>
        </w:rPr>
        <w:fldChar w:fldCharType="begin"/>
      </w:r>
      <w:r>
        <w:rPr>
          <w:noProof/>
        </w:rPr>
        <w:instrText xml:space="preserve"> PAGEREF _Toc312069355 \h </w:instrText>
      </w:r>
      <w:r w:rsidR="00C325A0">
        <w:rPr>
          <w:noProof/>
        </w:rPr>
      </w:r>
      <w:r w:rsidR="00C325A0">
        <w:rPr>
          <w:noProof/>
        </w:rPr>
        <w:fldChar w:fldCharType="separate"/>
      </w:r>
      <w:r>
        <w:rPr>
          <w:noProof/>
        </w:rPr>
        <w:t>XII.1</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1.1</w:t>
      </w:r>
      <w:r>
        <w:rPr>
          <w:rFonts w:asciiTheme="minorHAnsi" w:eastAsiaTheme="minorEastAsia" w:hAnsiTheme="minorHAnsi" w:cstheme="minorBidi"/>
          <w:iCs w:val="0"/>
          <w:noProof/>
          <w:spacing w:val="0"/>
          <w:sz w:val="22"/>
          <w:szCs w:val="22"/>
        </w:rPr>
        <w:tab/>
      </w:r>
      <w:r>
        <w:rPr>
          <w:noProof/>
        </w:rPr>
        <w:t>Oppervlaktewater</w:t>
      </w:r>
      <w:r>
        <w:rPr>
          <w:noProof/>
        </w:rPr>
        <w:tab/>
      </w:r>
      <w:r w:rsidR="00C325A0">
        <w:rPr>
          <w:noProof/>
        </w:rPr>
        <w:fldChar w:fldCharType="begin"/>
      </w:r>
      <w:r>
        <w:rPr>
          <w:noProof/>
        </w:rPr>
        <w:instrText xml:space="preserve"> PAGEREF _Toc312069356 \h </w:instrText>
      </w:r>
      <w:r w:rsidR="00C325A0">
        <w:rPr>
          <w:noProof/>
        </w:rPr>
      </w:r>
      <w:r w:rsidR="00C325A0">
        <w:rPr>
          <w:noProof/>
        </w:rPr>
        <w:fldChar w:fldCharType="separate"/>
      </w:r>
      <w:r>
        <w:rPr>
          <w:noProof/>
        </w:rPr>
        <w:t>XII.1</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1.1.1</w:t>
      </w:r>
      <w:r>
        <w:rPr>
          <w:rFonts w:asciiTheme="minorHAnsi" w:eastAsiaTheme="minorEastAsia" w:hAnsiTheme="minorHAnsi" w:cstheme="minorBidi"/>
          <w:noProof/>
          <w:sz w:val="22"/>
          <w:szCs w:val="22"/>
        </w:rPr>
        <w:tab/>
      </w:r>
      <w:r>
        <w:rPr>
          <w:noProof/>
        </w:rPr>
        <w:t>Bedrijfsafvalwater</w:t>
      </w:r>
      <w:r>
        <w:rPr>
          <w:noProof/>
        </w:rPr>
        <w:tab/>
      </w:r>
      <w:r w:rsidR="00C325A0">
        <w:rPr>
          <w:noProof/>
        </w:rPr>
        <w:fldChar w:fldCharType="begin"/>
      </w:r>
      <w:r>
        <w:rPr>
          <w:noProof/>
        </w:rPr>
        <w:instrText xml:space="preserve"> PAGEREF _Toc312069357 \h </w:instrText>
      </w:r>
      <w:r w:rsidR="00C325A0">
        <w:rPr>
          <w:noProof/>
        </w:rPr>
      </w:r>
      <w:r w:rsidR="00C325A0">
        <w:rPr>
          <w:noProof/>
        </w:rPr>
        <w:fldChar w:fldCharType="separate"/>
      </w:r>
      <w:r>
        <w:rPr>
          <w:noProof/>
        </w:rPr>
        <w:t>XII.1</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1.1.2</w:t>
      </w:r>
      <w:r>
        <w:rPr>
          <w:rFonts w:asciiTheme="minorHAnsi" w:eastAsiaTheme="minorEastAsia" w:hAnsiTheme="minorHAnsi" w:cstheme="minorBidi"/>
          <w:noProof/>
          <w:sz w:val="22"/>
          <w:szCs w:val="22"/>
        </w:rPr>
        <w:tab/>
      </w:r>
      <w:r>
        <w:rPr>
          <w:noProof/>
        </w:rPr>
        <w:t>Lozen van niet verontreinigd Hemelwater</w:t>
      </w:r>
      <w:r>
        <w:rPr>
          <w:noProof/>
        </w:rPr>
        <w:tab/>
      </w:r>
      <w:r w:rsidR="00C325A0">
        <w:rPr>
          <w:noProof/>
        </w:rPr>
        <w:fldChar w:fldCharType="begin"/>
      </w:r>
      <w:r>
        <w:rPr>
          <w:noProof/>
        </w:rPr>
        <w:instrText xml:space="preserve"> PAGEREF _Toc312069358 \h </w:instrText>
      </w:r>
      <w:r w:rsidR="00C325A0">
        <w:rPr>
          <w:noProof/>
        </w:rPr>
      </w:r>
      <w:r w:rsidR="00C325A0">
        <w:rPr>
          <w:noProof/>
        </w:rPr>
        <w:fldChar w:fldCharType="separate"/>
      </w:r>
      <w:r>
        <w:rPr>
          <w:noProof/>
        </w:rPr>
        <w:t>XII.1</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1.1.3</w:t>
      </w:r>
      <w:r>
        <w:rPr>
          <w:rFonts w:asciiTheme="minorHAnsi" w:eastAsiaTheme="minorEastAsia" w:hAnsiTheme="minorHAnsi" w:cstheme="minorBidi"/>
          <w:noProof/>
          <w:sz w:val="22"/>
          <w:szCs w:val="22"/>
        </w:rPr>
        <w:tab/>
      </w:r>
      <w:r>
        <w:rPr>
          <w:noProof/>
        </w:rPr>
        <w:t>Lozen van huishoudelijk afvalwater</w:t>
      </w:r>
      <w:r>
        <w:rPr>
          <w:noProof/>
        </w:rPr>
        <w:tab/>
      </w:r>
      <w:r w:rsidR="00C325A0">
        <w:rPr>
          <w:noProof/>
        </w:rPr>
        <w:fldChar w:fldCharType="begin"/>
      </w:r>
      <w:r>
        <w:rPr>
          <w:noProof/>
        </w:rPr>
        <w:instrText xml:space="preserve"> PAGEREF _Toc312069359 \h </w:instrText>
      </w:r>
      <w:r w:rsidR="00C325A0">
        <w:rPr>
          <w:noProof/>
        </w:rPr>
      </w:r>
      <w:r w:rsidR="00C325A0">
        <w:rPr>
          <w:noProof/>
        </w:rPr>
        <w:fldChar w:fldCharType="separate"/>
      </w:r>
      <w:r>
        <w:rPr>
          <w:noProof/>
        </w:rPr>
        <w:t>XII.1</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lastRenderedPageBreak/>
        <w:t>1.1.4</w:t>
      </w:r>
      <w:r>
        <w:rPr>
          <w:rFonts w:asciiTheme="minorHAnsi" w:eastAsiaTheme="minorEastAsia" w:hAnsiTheme="minorHAnsi" w:cstheme="minorBidi"/>
          <w:noProof/>
          <w:sz w:val="22"/>
          <w:szCs w:val="22"/>
        </w:rPr>
        <w:tab/>
      </w:r>
      <w:r>
        <w:rPr>
          <w:noProof/>
        </w:rPr>
        <w:t>Captatie van oppervlaktewater</w:t>
      </w:r>
      <w:r>
        <w:rPr>
          <w:noProof/>
        </w:rPr>
        <w:tab/>
      </w:r>
      <w:r w:rsidR="00C325A0">
        <w:rPr>
          <w:noProof/>
        </w:rPr>
        <w:fldChar w:fldCharType="begin"/>
      </w:r>
      <w:r>
        <w:rPr>
          <w:noProof/>
        </w:rPr>
        <w:instrText xml:space="preserve"> PAGEREF _Toc312069360 \h </w:instrText>
      </w:r>
      <w:r w:rsidR="00C325A0">
        <w:rPr>
          <w:noProof/>
        </w:rPr>
      </w:r>
      <w:r w:rsidR="00C325A0">
        <w:rPr>
          <w:noProof/>
        </w:rPr>
        <w:fldChar w:fldCharType="separate"/>
      </w:r>
      <w:r>
        <w:rPr>
          <w:noProof/>
        </w:rPr>
        <w:t>XII.2</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1.1.5</w:t>
      </w:r>
      <w:r>
        <w:rPr>
          <w:rFonts w:asciiTheme="minorHAnsi" w:eastAsiaTheme="minorEastAsia" w:hAnsiTheme="minorHAnsi" w:cstheme="minorBidi"/>
          <w:noProof/>
          <w:sz w:val="22"/>
          <w:szCs w:val="22"/>
        </w:rPr>
        <w:tab/>
      </w:r>
      <w:r>
        <w:rPr>
          <w:noProof/>
        </w:rPr>
        <w:t>Incidenten / calamiteiten</w:t>
      </w:r>
      <w:r>
        <w:rPr>
          <w:noProof/>
        </w:rPr>
        <w:tab/>
      </w:r>
      <w:r w:rsidR="00C325A0">
        <w:rPr>
          <w:noProof/>
        </w:rPr>
        <w:fldChar w:fldCharType="begin"/>
      </w:r>
      <w:r>
        <w:rPr>
          <w:noProof/>
        </w:rPr>
        <w:instrText xml:space="preserve"> PAGEREF _Toc312069361 \h </w:instrText>
      </w:r>
      <w:r w:rsidR="00C325A0">
        <w:rPr>
          <w:noProof/>
        </w:rPr>
      </w:r>
      <w:r w:rsidR="00C325A0">
        <w:rPr>
          <w:noProof/>
        </w:rPr>
        <w:fldChar w:fldCharType="separate"/>
      </w:r>
      <w:r>
        <w:rPr>
          <w:noProof/>
        </w:rPr>
        <w:t>XII.2</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1.2</w:t>
      </w:r>
      <w:r>
        <w:rPr>
          <w:rFonts w:asciiTheme="minorHAnsi" w:eastAsiaTheme="minorEastAsia" w:hAnsiTheme="minorHAnsi" w:cstheme="minorBidi"/>
          <w:iCs w:val="0"/>
          <w:noProof/>
          <w:spacing w:val="0"/>
          <w:sz w:val="22"/>
          <w:szCs w:val="22"/>
        </w:rPr>
        <w:tab/>
      </w:r>
      <w:r>
        <w:rPr>
          <w:noProof/>
        </w:rPr>
        <w:t>Lucht</w:t>
      </w:r>
      <w:r>
        <w:rPr>
          <w:noProof/>
        </w:rPr>
        <w:tab/>
      </w:r>
      <w:r w:rsidR="00C325A0">
        <w:rPr>
          <w:noProof/>
        </w:rPr>
        <w:fldChar w:fldCharType="begin"/>
      </w:r>
      <w:r>
        <w:rPr>
          <w:noProof/>
        </w:rPr>
        <w:instrText xml:space="preserve"> PAGEREF _Toc312069362 \h </w:instrText>
      </w:r>
      <w:r w:rsidR="00C325A0">
        <w:rPr>
          <w:noProof/>
        </w:rPr>
      </w:r>
      <w:r w:rsidR="00C325A0">
        <w:rPr>
          <w:noProof/>
        </w:rPr>
        <w:fldChar w:fldCharType="separate"/>
      </w:r>
      <w:r>
        <w:rPr>
          <w:noProof/>
        </w:rPr>
        <w:t>XII.2</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1.2.1</w:t>
      </w:r>
      <w:r>
        <w:rPr>
          <w:rFonts w:asciiTheme="minorHAnsi" w:eastAsiaTheme="minorEastAsia" w:hAnsiTheme="minorHAnsi" w:cstheme="minorBidi"/>
          <w:noProof/>
          <w:sz w:val="22"/>
          <w:szCs w:val="22"/>
        </w:rPr>
        <w:tab/>
      </w:r>
      <w:r>
        <w:rPr>
          <w:noProof/>
        </w:rPr>
        <w:t>Productemissies</w:t>
      </w:r>
      <w:r>
        <w:rPr>
          <w:noProof/>
        </w:rPr>
        <w:tab/>
      </w:r>
      <w:r w:rsidR="00C325A0">
        <w:rPr>
          <w:noProof/>
        </w:rPr>
        <w:fldChar w:fldCharType="begin"/>
      </w:r>
      <w:r>
        <w:rPr>
          <w:noProof/>
        </w:rPr>
        <w:instrText xml:space="preserve"> PAGEREF _Toc312069363 \h </w:instrText>
      </w:r>
      <w:r w:rsidR="00C325A0">
        <w:rPr>
          <w:noProof/>
        </w:rPr>
      </w:r>
      <w:r w:rsidR="00C325A0">
        <w:rPr>
          <w:noProof/>
        </w:rPr>
        <w:fldChar w:fldCharType="separate"/>
      </w:r>
      <w:r>
        <w:rPr>
          <w:noProof/>
        </w:rPr>
        <w:t>XII.2</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1.2.2</w:t>
      </w:r>
      <w:r>
        <w:rPr>
          <w:rFonts w:asciiTheme="minorHAnsi" w:eastAsiaTheme="minorEastAsia" w:hAnsiTheme="minorHAnsi" w:cstheme="minorBidi"/>
          <w:noProof/>
          <w:sz w:val="22"/>
          <w:szCs w:val="22"/>
        </w:rPr>
        <w:tab/>
      </w:r>
      <w:r>
        <w:rPr>
          <w:noProof/>
        </w:rPr>
        <w:t>Geuremissies</w:t>
      </w:r>
      <w:r>
        <w:rPr>
          <w:noProof/>
        </w:rPr>
        <w:tab/>
      </w:r>
      <w:r w:rsidR="00C325A0">
        <w:rPr>
          <w:noProof/>
        </w:rPr>
        <w:fldChar w:fldCharType="begin"/>
      </w:r>
      <w:r>
        <w:rPr>
          <w:noProof/>
        </w:rPr>
        <w:instrText xml:space="preserve"> PAGEREF _Toc312069365 \h </w:instrText>
      </w:r>
      <w:r w:rsidR="00C325A0">
        <w:rPr>
          <w:noProof/>
        </w:rPr>
      </w:r>
      <w:r w:rsidR="00C325A0">
        <w:rPr>
          <w:noProof/>
        </w:rPr>
        <w:fldChar w:fldCharType="separate"/>
      </w:r>
      <w:r>
        <w:rPr>
          <w:noProof/>
        </w:rPr>
        <w:t>XII.2</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1.2.3</w:t>
      </w:r>
      <w:r>
        <w:rPr>
          <w:rFonts w:asciiTheme="minorHAnsi" w:eastAsiaTheme="minorEastAsia" w:hAnsiTheme="minorHAnsi" w:cstheme="minorBidi"/>
          <w:noProof/>
          <w:sz w:val="22"/>
          <w:szCs w:val="22"/>
        </w:rPr>
        <w:tab/>
      </w:r>
      <w:r>
        <w:rPr>
          <w:noProof/>
        </w:rPr>
        <w:t>Transport</w:t>
      </w:r>
      <w:r>
        <w:rPr>
          <w:noProof/>
        </w:rPr>
        <w:tab/>
      </w:r>
      <w:r w:rsidR="00C325A0">
        <w:rPr>
          <w:noProof/>
        </w:rPr>
        <w:fldChar w:fldCharType="begin"/>
      </w:r>
      <w:r>
        <w:rPr>
          <w:noProof/>
        </w:rPr>
        <w:instrText xml:space="preserve"> PAGEREF _Toc312069366 \h </w:instrText>
      </w:r>
      <w:r w:rsidR="00C325A0">
        <w:rPr>
          <w:noProof/>
        </w:rPr>
      </w:r>
      <w:r w:rsidR="00C325A0">
        <w:rPr>
          <w:noProof/>
        </w:rPr>
        <w:fldChar w:fldCharType="separate"/>
      </w:r>
      <w:r>
        <w:rPr>
          <w:noProof/>
        </w:rPr>
        <w:t>XII.3</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1.3</w:t>
      </w:r>
      <w:r>
        <w:rPr>
          <w:rFonts w:asciiTheme="minorHAnsi" w:eastAsiaTheme="minorEastAsia" w:hAnsiTheme="minorHAnsi" w:cstheme="minorBidi"/>
          <w:iCs w:val="0"/>
          <w:noProof/>
          <w:spacing w:val="0"/>
          <w:sz w:val="22"/>
          <w:szCs w:val="22"/>
        </w:rPr>
        <w:tab/>
      </w:r>
      <w:r>
        <w:rPr>
          <w:noProof/>
        </w:rPr>
        <w:t>Mens</w:t>
      </w:r>
      <w:r>
        <w:rPr>
          <w:noProof/>
        </w:rPr>
        <w:tab/>
      </w:r>
      <w:r w:rsidR="00C325A0">
        <w:rPr>
          <w:noProof/>
        </w:rPr>
        <w:fldChar w:fldCharType="begin"/>
      </w:r>
      <w:r>
        <w:rPr>
          <w:noProof/>
        </w:rPr>
        <w:instrText xml:space="preserve"> PAGEREF _Toc312069367 \h </w:instrText>
      </w:r>
      <w:r w:rsidR="00C325A0">
        <w:rPr>
          <w:noProof/>
        </w:rPr>
      </w:r>
      <w:r w:rsidR="00C325A0">
        <w:rPr>
          <w:noProof/>
        </w:rPr>
        <w:fldChar w:fldCharType="separate"/>
      </w:r>
      <w:r>
        <w:rPr>
          <w:noProof/>
        </w:rPr>
        <w:t>XII.3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1.3.1</w:t>
      </w:r>
      <w:r>
        <w:rPr>
          <w:rFonts w:asciiTheme="minorHAnsi" w:eastAsiaTheme="minorEastAsia" w:hAnsiTheme="minorHAnsi" w:cstheme="minorBidi"/>
          <w:noProof/>
          <w:sz w:val="22"/>
          <w:szCs w:val="22"/>
        </w:rPr>
        <w:tab/>
      </w:r>
      <w:r>
        <w:rPr>
          <w:noProof/>
        </w:rPr>
        <w:t>Gezondheid</w:t>
      </w:r>
      <w:r>
        <w:rPr>
          <w:noProof/>
        </w:rPr>
        <w:tab/>
      </w:r>
      <w:r w:rsidR="00C325A0">
        <w:rPr>
          <w:noProof/>
        </w:rPr>
        <w:fldChar w:fldCharType="begin"/>
      </w:r>
      <w:r>
        <w:rPr>
          <w:noProof/>
        </w:rPr>
        <w:instrText xml:space="preserve"> PAGEREF _Toc312069368 \h </w:instrText>
      </w:r>
      <w:r w:rsidR="00C325A0">
        <w:rPr>
          <w:noProof/>
        </w:rPr>
      </w:r>
      <w:r w:rsidR="00C325A0">
        <w:rPr>
          <w:noProof/>
        </w:rPr>
        <w:fldChar w:fldCharType="separate"/>
      </w:r>
      <w:r>
        <w:rPr>
          <w:noProof/>
        </w:rPr>
        <w:t>XII.3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1.3.2</w:t>
      </w:r>
      <w:r>
        <w:rPr>
          <w:rFonts w:asciiTheme="minorHAnsi" w:eastAsiaTheme="minorEastAsia" w:hAnsiTheme="minorHAnsi" w:cstheme="minorBidi"/>
          <w:noProof/>
          <w:sz w:val="22"/>
          <w:szCs w:val="22"/>
        </w:rPr>
        <w:tab/>
      </w:r>
      <w:r>
        <w:rPr>
          <w:noProof/>
        </w:rPr>
        <w:t>Geurhinder</w:t>
      </w:r>
      <w:r>
        <w:rPr>
          <w:noProof/>
        </w:rPr>
        <w:tab/>
      </w:r>
      <w:r w:rsidR="00C325A0">
        <w:rPr>
          <w:noProof/>
        </w:rPr>
        <w:fldChar w:fldCharType="begin"/>
      </w:r>
      <w:r>
        <w:rPr>
          <w:noProof/>
        </w:rPr>
        <w:instrText xml:space="preserve"> PAGEREF _Toc312069369 \h </w:instrText>
      </w:r>
      <w:r w:rsidR="00C325A0">
        <w:rPr>
          <w:noProof/>
        </w:rPr>
      </w:r>
      <w:r w:rsidR="00C325A0">
        <w:rPr>
          <w:noProof/>
        </w:rPr>
        <w:fldChar w:fldCharType="separate"/>
      </w:r>
      <w:r>
        <w:rPr>
          <w:noProof/>
        </w:rPr>
        <w:t>XII.3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1.3.3</w:t>
      </w:r>
      <w:r>
        <w:rPr>
          <w:rFonts w:asciiTheme="minorHAnsi" w:eastAsiaTheme="minorEastAsia" w:hAnsiTheme="minorHAnsi" w:cstheme="minorBidi"/>
          <w:noProof/>
          <w:sz w:val="22"/>
          <w:szCs w:val="22"/>
        </w:rPr>
        <w:tab/>
      </w:r>
      <w:r>
        <w:rPr>
          <w:noProof/>
        </w:rPr>
        <w:t>Externe risico’s</w:t>
      </w:r>
      <w:r>
        <w:rPr>
          <w:noProof/>
        </w:rPr>
        <w:tab/>
      </w:r>
      <w:r w:rsidR="00C325A0">
        <w:rPr>
          <w:noProof/>
        </w:rPr>
        <w:fldChar w:fldCharType="begin"/>
      </w:r>
      <w:r>
        <w:rPr>
          <w:noProof/>
        </w:rPr>
        <w:instrText xml:space="preserve"> PAGEREF _Toc312069370 \h </w:instrText>
      </w:r>
      <w:r w:rsidR="00C325A0">
        <w:rPr>
          <w:noProof/>
        </w:rPr>
      </w:r>
      <w:r w:rsidR="00C325A0">
        <w:rPr>
          <w:noProof/>
        </w:rPr>
        <w:fldChar w:fldCharType="separate"/>
      </w:r>
      <w:r>
        <w:rPr>
          <w:noProof/>
        </w:rPr>
        <w:t>XII.3</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1.3.4</w:t>
      </w:r>
      <w:r>
        <w:rPr>
          <w:rFonts w:asciiTheme="minorHAnsi" w:eastAsiaTheme="minorEastAsia" w:hAnsiTheme="minorHAnsi" w:cstheme="minorBidi"/>
          <w:noProof/>
          <w:sz w:val="22"/>
          <w:szCs w:val="22"/>
        </w:rPr>
        <w:tab/>
      </w:r>
      <w:r>
        <w:rPr>
          <w:noProof/>
        </w:rPr>
        <w:t>Mobiliteit</w:t>
      </w:r>
      <w:r>
        <w:rPr>
          <w:noProof/>
        </w:rPr>
        <w:tab/>
      </w:r>
      <w:r w:rsidR="00C325A0">
        <w:rPr>
          <w:noProof/>
        </w:rPr>
        <w:fldChar w:fldCharType="begin"/>
      </w:r>
      <w:r>
        <w:rPr>
          <w:noProof/>
        </w:rPr>
        <w:instrText xml:space="preserve"> PAGEREF _Toc312069371 \h </w:instrText>
      </w:r>
      <w:r w:rsidR="00C325A0">
        <w:rPr>
          <w:noProof/>
        </w:rPr>
      </w:r>
      <w:r w:rsidR="00C325A0">
        <w:rPr>
          <w:noProof/>
        </w:rPr>
        <w:fldChar w:fldCharType="separate"/>
      </w:r>
      <w:r>
        <w:rPr>
          <w:noProof/>
        </w:rPr>
        <w:t>XII.4</w:t>
      </w:r>
      <w:r w:rsidR="00C325A0">
        <w:rPr>
          <w:noProof/>
        </w:rPr>
        <w:fldChar w:fldCharType="end"/>
      </w:r>
    </w:p>
    <w:p w:rsidR="008102D8" w:rsidRDefault="008102D8">
      <w:pPr>
        <w:pStyle w:val="TOC3"/>
        <w:rPr>
          <w:rFonts w:asciiTheme="minorHAnsi" w:eastAsiaTheme="minorEastAsia" w:hAnsiTheme="minorHAnsi" w:cstheme="minorBidi"/>
          <w:iCs w:val="0"/>
          <w:noProof/>
          <w:spacing w:val="0"/>
          <w:sz w:val="22"/>
          <w:szCs w:val="22"/>
        </w:rPr>
      </w:pPr>
      <w:r w:rsidRPr="00676E33">
        <w:rPr>
          <w:noProof/>
          <w:spacing w:val="0"/>
        </w:rPr>
        <w:t>1.4</w:t>
      </w:r>
      <w:r>
        <w:rPr>
          <w:rFonts w:asciiTheme="minorHAnsi" w:eastAsiaTheme="minorEastAsia" w:hAnsiTheme="minorHAnsi" w:cstheme="minorBidi"/>
          <w:iCs w:val="0"/>
          <w:noProof/>
          <w:spacing w:val="0"/>
          <w:sz w:val="22"/>
          <w:szCs w:val="22"/>
        </w:rPr>
        <w:tab/>
      </w:r>
      <w:r>
        <w:rPr>
          <w:noProof/>
        </w:rPr>
        <w:t>Overige elementen</w:t>
      </w:r>
      <w:r>
        <w:rPr>
          <w:noProof/>
        </w:rPr>
        <w:tab/>
      </w:r>
      <w:r w:rsidR="00C325A0">
        <w:rPr>
          <w:noProof/>
        </w:rPr>
        <w:fldChar w:fldCharType="begin"/>
      </w:r>
      <w:r>
        <w:rPr>
          <w:noProof/>
        </w:rPr>
        <w:instrText xml:space="preserve"> PAGEREF _Toc312069372 \h </w:instrText>
      </w:r>
      <w:r w:rsidR="00C325A0">
        <w:rPr>
          <w:noProof/>
        </w:rPr>
      </w:r>
      <w:r w:rsidR="00C325A0">
        <w:rPr>
          <w:noProof/>
        </w:rPr>
        <w:fldChar w:fldCharType="separate"/>
      </w:r>
      <w:r>
        <w:rPr>
          <w:noProof/>
        </w:rPr>
        <w:t>XII.4</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1.4.1</w:t>
      </w:r>
      <w:r>
        <w:rPr>
          <w:rFonts w:asciiTheme="minorHAnsi" w:eastAsiaTheme="minorEastAsia" w:hAnsiTheme="minorHAnsi" w:cstheme="minorBidi"/>
          <w:noProof/>
          <w:sz w:val="22"/>
          <w:szCs w:val="22"/>
        </w:rPr>
        <w:tab/>
      </w:r>
      <w:r>
        <w:rPr>
          <w:noProof/>
        </w:rPr>
        <w:t>Bodem en grondwater</w:t>
      </w:r>
      <w:r>
        <w:rPr>
          <w:noProof/>
        </w:rPr>
        <w:tab/>
      </w:r>
      <w:r w:rsidR="00C325A0">
        <w:rPr>
          <w:noProof/>
        </w:rPr>
        <w:fldChar w:fldCharType="begin"/>
      </w:r>
      <w:r>
        <w:rPr>
          <w:noProof/>
        </w:rPr>
        <w:instrText xml:space="preserve"> PAGEREF _Toc312069373 \h </w:instrText>
      </w:r>
      <w:r w:rsidR="00C325A0">
        <w:rPr>
          <w:noProof/>
        </w:rPr>
      </w:r>
      <w:r w:rsidR="00C325A0">
        <w:rPr>
          <w:noProof/>
        </w:rPr>
        <w:fldChar w:fldCharType="separate"/>
      </w:r>
      <w:r>
        <w:rPr>
          <w:noProof/>
        </w:rPr>
        <w:t>XII.4</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1.4.2</w:t>
      </w:r>
      <w:r>
        <w:rPr>
          <w:rFonts w:asciiTheme="minorHAnsi" w:eastAsiaTheme="minorEastAsia" w:hAnsiTheme="minorHAnsi" w:cstheme="minorBidi"/>
          <w:noProof/>
          <w:sz w:val="22"/>
          <w:szCs w:val="22"/>
        </w:rPr>
        <w:tab/>
      </w:r>
      <w:r>
        <w:rPr>
          <w:noProof/>
        </w:rPr>
        <w:t>Geluid</w:t>
      </w:r>
      <w:r>
        <w:rPr>
          <w:noProof/>
        </w:rPr>
        <w:tab/>
      </w:r>
      <w:r w:rsidR="00C325A0">
        <w:rPr>
          <w:noProof/>
        </w:rPr>
        <w:fldChar w:fldCharType="begin"/>
      </w:r>
      <w:r>
        <w:rPr>
          <w:noProof/>
        </w:rPr>
        <w:instrText xml:space="preserve"> PAGEREF _Toc312069374 \h </w:instrText>
      </w:r>
      <w:r w:rsidR="00C325A0">
        <w:rPr>
          <w:noProof/>
        </w:rPr>
      </w:r>
      <w:r w:rsidR="00C325A0">
        <w:rPr>
          <w:noProof/>
        </w:rPr>
        <w:fldChar w:fldCharType="separate"/>
      </w:r>
      <w:r>
        <w:rPr>
          <w:noProof/>
        </w:rPr>
        <w:t>XII.4</w:t>
      </w:r>
      <w:r w:rsidR="00C325A0">
        <w:rPr>
          <w:noProof/>
        </w:rPr>
        <w:fldChar w:fldCharType="end"/>
      </w:r>
    </w:p>
    <w:p w:rsidR="008102D8" w:rsidRDefault="008102D8">
      <w:pPr>
        <w:pStyle w:val="TOC4"/>
        <w:rPr>
          <w:rFonts w:asciiTheme="minorHAnsi" w:eastAsiaTheme="minorEastAsia" w:hAnsiTheme="minorHAnsi" w:cstheme="minorBidi"/>
          <w:noProof/>
          <w:sz w:val="22"/>
          <w:szCs w:val="22"/>
        </w:rPr>
      </w:pPr>
      <w:r w:rsidRPr="00676E33">
        <w:rPr>
          <w:caps/>
          <w:noProof/>
        </w:rPr>
        <w:t>1.4.3</w:t>
      </w:r>
      <w:r>
        <w:rPr>
          <w:rFonts w:asciiTheme="minorHAnsi" w:eastAsiaTheme="minorEastAsia" w:hAnsiTheme="minorHAnsi" w:cstheme="minorBidi"/>
          <w:noProof/>
          <w:sz w:val="22"/>
          <w:szCs w:val="22"/>
        </w:rPr>
        <w:tab/>
      </w:r>
      <w:r>
        <w:rPr>
          <w:noProof/>
        </w:rPr>
        <w:t>Fauna  en Flora</w:t>
      </w:r>
      <w:r>
        <w:rPr>
          <w:noProof/>
        </w:rPr>
        <w:tab/>
      </w:r>
      <w:r w:rsidR="00C325A0">
        <w:rPr>
          <w:noProof/>
        </w:rPr>
        <w:fldChar w:fldCharType="begin"/>
      </w:r>
      <w:r>
        <w:rPr>
          <w:noProof/>
        </w:rPr>
        <w:instrText xml:space="preserve"> PAGEREF _Toc312069375 \h </w:instrText>
      </w:r>
      <w:r w:rsidR="00C325A0">
        <w:rPr>
          <w:noProof/>
        </w:rPr>
      </w:r>
      <w:r w:rsidR="00C325A0">
        <w:rPr>
          <w:noProof/>
        </w:rPr>
        <w:fldChar w:fldCharType="separate"/>
      </w:r>
      <w:r>
        <w:rPr>
          <w:noProof/>
        </w:rPr>
        <w:t>XII.4</w:t>
      </w:r>
      <w:r w:rsidR="00C325A0">
        <w:rPr>
          <w:noProof/>
        </w:rPr>
        <w:fldChar w:fldCharType="end"/>
      </w:r>
    </w:p>
    <w:p w:rsidR="008102D8" w:rsidRDefault="008102D8">
      <w:pPr>
        <w:pStyle w:val="TOC2"/>
        <w:rPr>
          <w:rFonts w:asciiTheme="minorHAnsi" w:eastAsiaTheme="minorEastAsia" w:hAnsiTheme="minorHAnsi" w:cstheme="minorBidi"/>
          <w:b w:val="0"/>
          <w:smallCaps w:val="0"/>
          <w:noProof/>
          <w:spacing w:val="0"/>
          <w:sz w:val="22"/>
          <w:szCs w:val="22"/>
        </w:rPr>
      </w:pPr>
      <w:r>
        <w:rPr>
          <w:noProof/>
        </w:rPr>
        <w:t>2.</w:t>
      </w:r>
      <w:r>
        <w:rPr>
          <w:rFonts w:asciiTheme="minorHAnsi" w:eastAsiaTheme="minorEastAsia" w:hAnsiTheme="minorHAnsi" w:cstheme="minorBidi"/>
          <w:b w:val="0"/>
          <w:smallCaps w:val="0"/>
          <w:noProof/>
          <w:spacing w:val="0"/>
          <w:sz w:val="22"/>
          <w:szCs w:val="22"/>
        </w:rPr>
        <w:tab/>
      </w:r>
      <w:r>
        <w:rPr>
          <w:noProof/>
        </w:rPr>
        <w:t>Elementen ten behoeve van de watertoets</w:t>
      </w:r>
      <w:r>
        <w:rPr>
          <w:noProof/>
        </w:rPr>
        <w:tab/>
      </w:r>
      <w:r w:rsidR="00C325A0">
        <w:rPr>
          <w:noProof/>
        </w:rPr>
        <w:fldChar w:fldCharType="begin"/>
      </w:r>
      <w:r>
        <w:rPr>
          <w:noProof/>
        </w:rPr>
        <w:instrText xml:space="preserve"> PAGEREF _Toc312069376 \h </w:instrText>
      </w:r>
      <w:r w:rsidR="00C325A0">
        <w:rPr>
          <w:noProof/>
        </w:rPr>
      </w:r>
      <w:r w:rsidR="00C325A0">
        <w:rPr>
          <w:noProof/>
        </w:rPr>
        <w:fldChar w:fldCharType="separate"/>
      </w:r>
      <w:r>
        <w:rPr>
          <w:noProof/>
        </w:rPr>
        <w:t>XII.5</w:t>
      </w:r>
      <w:r w:rsidR="00C325A0">
        <w:rPr>
          <w:noProof/>
        </w:rPr>
        <w:fldChar w:fldCharType="end"/>
      </w:r>
    </w:p>
    <w:p w:rsidR="008102D8" w:rsidRDefault="008102D8">
      <w:pPr>
        <w:pStyle w:val="TOC1"/>
        <w:rPr>
          <w:rFonts w:asciiTheme="minorHAnsi" w:eastAsiaTheme="minorEastAsia" w:hAnsiTheme="minorHAnsi" w:cstheme="minorBidi"/>
          <w:b w:val="0"/>
          <w:bCs w:val="0"/>
          <w:caps w:val="0"/>
          <w:noProof/>
          <w:color w:val="auto"/>
          <w:sz w:val="22"/>
          <w:szCs w:val="22"/>
        </w:rPr>
      </w:pPr>
      <w:r w:rsidRPr="00676E33">
        <w:rPr>
          <w:noProof/>
        </w:rPr>
        <w:t>XIII</w:t>
      </w:r>
      <w:r>
        <w:rPr>
          <w:rFonts w:asciiTheme="minorHAnsi" w:eastAsiaTheme="minorEastAsia" w:hAnsiTheme="minorHAnsi" w:cstheme="minorBidi"/>
          <w:b w:val="0"/>
          <w:bCs w:val="0"/>
          <w:caps w:val="0"/>
          <w:noProof/>
          <w:color w:val="auto"/>
          <w:sz w:val="22"/>
          <w:szCs w:val="22"/>
        </w:rPr>
        <w:tab/>
      </w:r>
      <w:r>
        <w:rPr>
          <w:noProof/>
        </w:rPr>
        <w:t>Niet technische samenvatting</w:t>
      </w:r>
    </w:p>
    <w:p w:rsidR="00AF5F28" w:rsidRPr="00612A55" w:rsidRDefault="00C325A0" w:rsidP="00AF3F9E">
      <w:pPr>
        <w:pStyle w:val="tit-5"/>
      </w:pPr>
      <w:r>
        <w:rPr>
          <w:bCs/>
          <w:caps/>
          <w:color w:val="999999"/>
          <w:sz w:val="24"/>
        </w:rPr>
        <w:fldChar w:fldCharType="end"/>
      </w:r>
      <w:r w:rsidR="00AF5F28">
        <w:br w:type="page"/>
      </w:r>
      <w:r w:rsidR="00F0627C" w:rsidRPr="000C2C46">
        <w:lastRenderedPageBreak/>
        <w:t>Lijst van bijlagen</w:t>
      </w:r>
    </w:p>
    <w:tbl>
      <w:tblPr>
        <w:tblW w:w="0" w:type="auto"/>
        <w:tblInd w:w="108" w:type="dxa"/>
        <w:tblLook w:val="01E0"/>
      </w:tblPr>
      <w:tblGrid>
        <w:gridCol w:w="1134"/>
        <w:gridCol w:w="7927"/>
      </w:tblGrid>
      <w:tr w:rsidR="000B12B2" w:rsidRPr="009066EF" w:rsidTr="00E34D75">
        <w:tc>
          <w:tcPr>
            <w:tcW w:w="1134" w:type="dxa"/>
          </w:tcPr>
          <w:p w:rsidR="000B12B2" w:rsidRDefault="000B12B2" w:rsidP="00AF3F9E">
            <w:r>
              <w:t xml:space="preserve">Bijlage </w:t>
            </w:r>
            <w:bookmarkStart w:id="5" w:name="b_bijz_voorw"/>
            <w:r>
              <w:t>1</w:t>
            </w:r>
            <w:bookmarkEnd w:id="5"/>
          </w:p>
        </w:tc>
        <w:tc>
          <w:tcPr>
            <w:tcW w:w="7927" w:type="dxa"/>
          </w:tcPr>
          <w:p w:rsidR="000B12B2" w:rsidRDefault="000B12B2" w:rsidP="00AF3F9E">
            <w:r>
              <w:t xml:space="preserve">Besluit </w:t>
            </w:r>
            <w:r w:rsidRPr="001171BB">
              <w:rPr>
                <w:sz w:val="16"/>
                <w:szCs w:val="16"/>
              </w:rPr>
              <w:t>BMV/00002092/606</w:t>
            </w:r>
            <w:r>
              <w:rPr>
                <w:sz w:val="16"/>
                <w:szCs w:val="16"/>
              </w:rPr>
              <w:t xml:space="preserve"> </w:t>
            </w:r>
          </w:p>
        </w:tc>
      </w:tr>
      <w:tr w:rsidR="008C6280" w:rsidRPr="009066EF" w:rsidTr="00E34D75">
        <w:tc>
          <w:tcPr>
            <w:tcW w:w="1134" w:type="dxa"/>
          </w:tcPr>
          <w:p w:rsidR="00F805AB" w:rsidRDefault="000C2C46">
            <w:r>
              <w:t xml:space="preserve">Bijlage </w:t>
            </w:r>
            <w:bookmarkStart w:id="6" w:name="b_immkwaliteit_dokken"/>
            <w:r w:rsidR="000B12B2">
              <w:t>2</w:t>
            </w:r>
            <w:bookmarkEnd w:id="6"/>
          </w:p>
        </w:tc>
        <w:tc>
          <w:tcPr>
            <w:tcW w:w="7927" w:type="dxa"/>
          </w:tcPr>
          <w:p w:rsidR="008C6280" w:rsidRDefault="000C2C46" w:rsidP="00AF3F9E">
            <w:r>
              <w:t>Fysico-chemische kwaliteit havendokken</w:t>
            </w:r>
          </w:p>
        </w:tc>
      </w:tr>
      <w:tr w:rsidR="007A7DB5" w:rsidRPr="009066EF" w:rsidTr="00E34D75">
        <w:tc>
          <w:tcPr>
            <w:tcW w:w="1134" w:type="dxa"/>
          </w:tcPr>
          <w:p w:rsidR="00F805AB" w:rsidRDefault="007A7DB5">
            <w:r>
              <w:t xml:space="preserve">Bijlage </w:t>
            </w:r>
            <w:bookmarkStart w:id="7" w:name="bijlage_BBT"/>
            <w:r w:rsidR="000B12B2">
              <w:t>3</w:t>
            </w:r>
            <w:bookmarkEnd w:id="7"/>
          </w:p>
        </w:tc>
        <w:tc>
          <w:tcPr>
            <w:tcW w:w="7927" w:type="dxa"/>
          </w:tcPr>
          <w:p w:rsidR="007A7DB5" w:rsidRDefault="007A7DB5" w:rsidP="00F800EB">
            <w:r>
              <w:t>Aftoetsing BBT</w:t>
            </w:r>
          </w:p>
        </w:tc>
      </w:tr>
      <w:tr w:rsidR="000C2C46" w:rsidRPr="009066EF" w:rsidTr="00E34D75">
        <w:tc>
          <w:tcPr>
            <w:tcW w:w="1134" w:type="dxa"/>
          </w:tcPr>
          <w:p w:rsidR="00F805AB" w:rsidRDefault="000C2C46">
            <w:r>
              <w:t xml:space="preserve">Bijlage </w:t>
            </w:r>
            <w:bookmarkStart w:id="8" w:name="b_opslagscenario"/>
            <w:r w:rsidR="000B12B2">
              <w:t>4</w:t>
            </w:r>
            <w:bookmarkEnd w:id="8"/>
          </w:p>
        </w:tc>
        <w:tc>
          <w:tcPr>
            <w:tcW w:w="7927" w:type="dxa"/>
          </w:tcPr>
          <w:p w:rsidR="000C2C46" w:rsidRDefault="000C2C46" w:rsidP="00AF3F9E">
            <w:r>
              <w:t>Opslagscenario’s VOS-emissies</w:t>
            </w:r>
          </w:p>
        </w:tc>
      </w:tr>
      <w:tr w:rsidR="002D6FC9" w:rsidRPr="009066EF" w:rsidTr="00E34D75">
        <w:tc>
          <w:tcPr>
            <w:tcW w:w="1134" w:type="dxa"/>
          </w:tcPr>
          <w:p w:rsidR="00F805AB" w:rsidRDefault="002D6FC9">
            <w:r>
              <w:t xml:space="preserve">Bijlage </w:t>
            </w:r>
            <w:bookmarkStart w:id="9" w:name="b_kostenefficientie"/>
            <w:r w:rsidR="000B12B2">
              <w:t>5</w:t>
            </w:r>
            <w:bookmarkEnd w:id="9"/>
          </w:p>
        </w:tc>
        <w:tc>
          <w:tcPr>
            <w:tcW w:w="7927" w:type="dxa"/>
          </w:tcPr>
          <w:p w:rsidR="00F805AB" w:rsidRDefault="002D6FC9">
            <w:r>
              <w:t>Achtergrond kosteneffici</w:t>
            </w:r>
            <w:r w:rsidR="00E96AE5">
              <w:t>ë</w:t>
            </w:r>
            <w:r>
              <w:t xml:space="preserve">ntie </w:t>
            </w:r>
          </w:p>
        </w:tc>
      </w:tr>
    </w:tbl>
    <w:p w:rsidR="00DA3803" w:rsidRDefault="00DA3803" w:rsidP="005618D4">
      <w:pPr>
        <w:pStyle w:val="tit-5"/>
      </w:pPr>
    </w:p>
    <w:p w:rsidR="00F0627C" w:rsidRPr="00612A55" w:rsidRDefault="00F0627C" w:rsidP="005618D4">
      <w:pPr>
        <w:pStyle w:val="tit-5"/>
      </w:pPr>
      <w:r w:rsidRPr="00656334">
        <w:t>Lijst van figuren</w:t>
      </w:r>
    </w:p>
    <w:p w:rsidR="00AF5F28" w:rsidRDefault="00AF5F28" w:rsidP="00AF3F9E">
      <w:r>
        <w:t>Hierna wordt een overzicht gegeven van de tabellen en figuren die in dit document vervat zijn. Tabellen en figuren aangeduid met “</w:t>
      </w:r>
      <w:r>
        <w:sym w:font="Wingdings" w:char="F0DE"/>
      </w:r>
      <w:r>
        <w:t>” vindt men terug op het einde van dit document.</w:t>
      </w:r>
      <w:r w:rsidR="00CA656E">
        <w:t xml:space="preserve"> </w:t>
      </w:r>
    </w:p>
    <w:tbl>
      <w:tblPr>
        <w:tblW w:w="4893" w:type="pct"/>
        <w:tblInd w:w="108" w:type="dxa"/>
        <w:tblLayout w:type="fixed"/>
        <w:tblLook w:val="01E0"/>
      </w:tblPr>
      <w:tblGrid>
        <w:gridCol w:w="1701"/>
        <w:gridCol w:w="566"/>
        <w:gridCol w:w="6780"/>
      </w:tblGrid>
      <w:tr w:rsidR="00EE4586" w:rsidRPr="009066EF" w:rsidTr="00287227">
        <w:tc>
          <w:tcPr>
            <w:tcW w:w="940" w:type="pct"/>
          </w:tcPr>
          <w:p w:rsidR="00EE4586" w:rsidRPr="00211AAC" w:rsidRDefault="00EE4586" w:rsidP="00AF3F9E">
            <w:r>
              <w:t xml:space="preserve">Figuur </w:t>
            </w:r>
            <w:bookmarkStart w:id="10" w:name="f_omgeving_gewestplan"/>
            <w:r>
              <w:t>II.</w:t>
            </w:r>
            <w:r w:rsidR="00C325A0">
              <w:fldChar w:fldCharType="begin"/>
            </w:r>
            <w:r w:rsidR="00F077DA">
              <w:instrText xml:space="preserve"> seq t\r1 </w:instrText>
            </w:r>
            <w:r w:rsidR="00C325A0">
              <w:fldChar w:fldCharType="separate"/>
            </w:r>
            <w:r w:rsidR="008102D8">
              <w:rPr>
                <w:noProof/>
              </w:rPr>
              <w:t>1</w:t>
            </w:r>
            <w:r w:rsidR="00C325A0">
              <w:fldChar w:fldCharType="end"/>
            </w:r>
            <w:bookmarkEnd w:id="10"/>
          </w:p>
        </w:tc>
        <w:tc>
          <w:tcPr>
            <w:tcW w:w="313" w:type="pct"/>
          </w:tcPr>
          <w:p w:rsidR="00EE4586" w:rsidRPr="00211AAC" w:rsidRDefault="00EE4586" w:rsidP="00AF3F9E">
            <w:r>
              <w:sym w:font="Wingdings" w:char="F0DE"/>
            </w:r>
          </w:p>
        </w:tc>
        <w:tc>
          <w:tcPr>
            <w:tcW w:w="3747" w:type="pct"/>
          </w:tcPr>
          <w:p w:rsidR="00EE4586" w:rsidRPr="00211AAC" w:rsidRDefault="00EE4586" w:rsidP="00AF3F9E">
            <w:r>
              <w:t>Gewestplan</w:t>
            </w:r>
          </w:p>
        </w:tc>
      </w:tr>
      <w:tr w:rsidR="00EE4586" w:rsidRPr="009066EF" w:rsidTr="00287227">
        <w:tc>
          <w:tcPr>
            <w:tcW w:w="940" w:type="pct"/>
          </w:tcPr>
          <w:p w:rsidR="00EE4586" w:rsidRDefault="00EE4586" w:rsidP="00AF3F9E">
            <w:r>
              <w:t xml:space="preserve">Figuur </w:t>
            </w:r>
            <w:bookmarkStart w:id="11" w:name="f_omgeving_gewestplan_herbestemming"/>
            <w:bookmarkStart w:id="12" w:name="f_omgeving_orthofoto"/>
            <w:r>
              <w:t>II.</w:t>
            </w:r>
            <w:r w:rsidR="00C325A0">
              <w:fldChar w:fldCharType="begin"/>
            </w:r>
            <w:r w:rsidR="00F077DA">
              <w:instrText xml:space="preserve"> seq t </w:instrText>
            </w:r>
            <w:r w:rsidR="00C325A0">
              <w:fldChar w:fldCharType="separate"/>
            </w:r>
            <w:r w:rsidR="008102D8">
              <w:rPr>
                <w:noProof/>
              </w:rPr>
              <w:t>2</w:t>
            </w:r>
            <w:r w:rsidR="00C325A0">
              <w:fldChar w:fldCharType="end"/>
            </w:r>
            <w:bookmarkEnd w:id="11"/>
            <w:bookmarkEnd w:id="12"/>
          </w:p>
        </w:tc>
        <w:tc>
          <w:tcPr>
            <w:tcW w:w="313" w:type="pct"/>
          </w:tcPr>
          <w:p w:rsidR="00EE4586" w:rsidRDefault="00EE4586" w:rsidP="00AF3F9E">
            <w:r>
              <w:sym w:font="Wingdings" w:char="F0DE"/>
            </w:r>
          </w:p>
        </w:tc>
        <w:tc>
          <w:tcPr>
            <w:tcW w:w="3747" w:type="pct"/>
          </w:tcPr>
          <w:p w:rsidR="00EE4586" w:rsidRDefault="007D71CB" w:rsidP="00AF3F9E">
            <w:r>
              <w:t>Orthofoto</w:t>
            </w:r>
          </w:p>
        </w:tc>
      </w:tr>
      <w:tr w:rsidR="00EE4586" w:rsidRPr="009066EF" w:rsidTr="00287227">
        <w:tc>
          <w:tcPr>
            <w:tcW w:w="940" w:type="pct"/>
          </w:tcPr>
          <w:p w:rsidR="00EE4586" w:rsidRPr="00211AAC" w:rsidRDefault="00EE4586" w:rsidP="00AF3F9E">
            <w:r>
              <w:t xml:space="preserve">Figuur </w:t>
            </w:r>
            <w:bookmarkStart w:id="13" w:name="f_omgeving_topokaart"/>
            <w:r>
              <w:t>II.</w:t>
            </w:r>
            <w:r w:rsidR="00C325A0">
              <w:fldChar w:fldCharType="begin"/>
            </w:r>
            <w:r w:rsidR="00F077DA">
              <w:instrText xml:space="preserve"> seq t </w:instrText>
            </w:r>
            <w:r w:rsidR="00C325A0">
              <w:fldChar w:fldCharType="separate"/>
            </w:r>
            <w:r w:rsidR="008102D8">
              <w:rPr>
                <w:noProof/>
              </w:rPr>
              <w:t>3</w:t>
            </w:r>
            <w:r w:rsidR="00C325A0">
              <w:fldChar w:fldCharType="end"/>
            </w:r>
            <w:bookmarkEnd w:id="13"/>
          </w:p>
        </w:tc>
        <w:tc>
          <w:tcPr>
            <w:tcW w:w="313" w:type="pct"/>
          </w:tcPr>
          <w:p w:rsidR="00EE4586" w:rsidRPr="00211AAC" w:rsidRDefault="00EE4586" w:rsidP="00AF3F9E">
            <w:r>
              <w:sym w:font="Wingdings" w:char="F0DE"/>
            </w:r>
          </w:p>
        </w:tc>
        <w:tc>
          <w:tcPr>
            <w:tcW w:w="3747" w:type="pct"/>
          </w:tcPr>
          <w:p w:rsidR="00EE4586" w:rsidRPr="00211AAC" w:rsidRDefault="00EE4586" w:rsidP="00AF3F9E">
            <w:r>
              <w:t>Topografische kaart</w:t>
            </w:r>
          </w:p>
        </w:tc>
      </w:tr>
      <w:tr w:rsidR="00E64457" w:rsidRPr="009066EF" w:rsidTr="00287227">
        <w:tc>
          <w:tcPr>
            <w:tcW w:w="940" w:type="pct"/>
          </w:tcPr>
          <w:p w:rsidR="00E64457" w:rsidRPr="006625C8" w:rsidRDefault="00E64457" w:rsidP="00AF3F9E">
            <w:r w:rsidRPr="006625C8">
              <w:t xml:space="preserve">Figuur </w:t>
            </w:r>
            <w:bookmarkStart w:id="14" w:name="f_omgeving_stratenplan"/>
            <w:r w:rsidRPr="006625C8">
              <w:t>II.4</w:t>
            </w:r>
            <w:bookmarkEnd w:id="14"/>
          </w:p>
        </w:tc>
        <w:tc>
          <w:tcPr>
            <w:tcW w:w="313" w:type="pct"/>
          </w:tcPr>
          <w:p w:rsidR="00E64457" w:rsidRPr="006625C8" w:rsidRDefault="00E64457" w:rsidP="00AF3F9E">
            <w:r w:rsidRPr="006625C8">
              <w:sym w:font="Wingdings" w:char="F0DE"/>
            </w:r>
          </w:p>
        </w:tc>
        <w:tc>
          <w:tcPr>
            <w:tcW w:w="3747" w:type="pct"/>
          </w:tcPr>
          <w:p w:rsidR="00E64457" w:rsidRPr="006625C8" w:rsidRDefault="00E64457" w:rsidP="00AF3F9E">
            <w:r w:rsidRPr="006625C8">
              <w:t>Stratenplan</w:t>
            </w:r>
          </w:p>
        </w:tc>
      </w:tr>
      <w:tr w:rsidR="00EE4586" w:rsidRPr="009066EF" w:rsidTr="00287227">
        <w:tc>
          <w:tcPr>
            <w:tcW w:w="940" w:type="pct"/>
          </w:tcPr>
          <w:p w:rsidR="00EE4586" w:rsidRPr="00211AAC" w:rsidRDefault="00EE4586" w:rsidP="00E64457">
            <w:r>
              <w:t xml:space="preserve">Figuur </w:t>
            </w:r>
            <w:bookmarkStart w:id="15" w:name="f_omgeving_natuurgebieden"/>
            <w:r>
              <w:t>II.</w:t>
            </w:r>
            <w:bookmarkEnd w:id="15"/>
            <w:r w:rsidR="00040B77">
              <w:t>5</w:t>
            </w:r>
          </w:p>
        </w:tc>
        <w:tc>
          <w:tcPr>
            <w:tcW w:w="313" w:type="pct"/>
          </w:tcPr>
          <w:p w:rsidR="00EE4586" w:rsidRPr="00211AAC" w:rsidRDefault="00EE4586" w:rsidP="00AF3F9E">
            <w:r>
              <w:sym w:font="Wingdings" w:char="F0DE"/>
            </w:r>
          </w:p>
        </w:tc>
        <w:tc>
          <w:tcPr>
            <w:tcW w:w="3747" w:type="pct"/>
          </w:tcPr>
          <w:p w:rsidR="00EE4586" w:rsidRPr="00211AAC" w:rsidRDefault="00BD51FE" w:rsidP="00AF3F9E">
            <w:r>
              <w:t xml:space="preserve">Habitat-, </w:t>
            </w:r>
            <w:r w:rsidR="00EE4586">
              <w:t>vogelrichtlijn</w:t>
            </w:r>
            <w:r>
              <w:t>- en VEN-</w:t>
            </w:r>
            <w:r w:rsidR="00EE4586">
              <w:t>gebieden in omgeving</w:t>
            </w:r>
          </w:p>
        </w:tc>
      </w:tr>
      <w:tr w:rsidR="00A12934" w:rsidRPr="009066EF" w:rsidTr="00287227">
        <w:tc>
          <w:tcPr>
            <w:tcW w:w="940" w:type="pct"/>
          </w:tcPr>
          <w:p w:rsidR="00A12934" w:rsidRDefault="00A12934" w:rsidP="00AF3F9E">
            <w:r>
              <w:t xml:space="preserve">Figuur </w:t>
            </w:r>
            <w:bookmarkStart w:id="16" w:name="f_schemaactiviteiten"/>
            <w:r>
              <w:t>IV.</w:t>
            </w:r>
            <w:r w:rsidR="00C325A0">
              <w:fldChar w:fldCharType="begin"/>
            </w:r>
            <w:r w:rsidR="00F077DA">
              <w:instrText xml:space="preserve"> seq t\r1 </w:instrText>
            </w:r>
            <w:r w:rsidR="00C325A0">
              <w:fldChar w:fldCharType="separate"/>
            </w:r>
            <w:r w:rsidR="008102D8">
              <w:rPr>
                <w:noProof/>
              </w:rPr>
              <w:t>1</w:t>
            </w:r>
            <w:r w:rsidR="00C325A0">
              <w:fldChar w:fldCharType="end"/>
            </w:r>
            <w:bookmarkEnd w:id="16"/>
          </w:p>
        </w:tc>
        <w:tc>
          <w:tcPr>
            <w:tcW w:w="313" w:type="pct"/>
          </w:tcPr>
          <w:p w:rsidR="00A12934" w:rsidRDefault="00A12934" w:rsidP="00AF3F9E"/>
        </w:tc>
        <w:tc>
          <w:tcPr>
            <w:tcW w:w="3747" w:type="pct"/>
          </w:tcPr>
          <w:p w:rsidR="00A12934" w:rsidRDefault="00A12934" w:rsidP="00AF3F9E">
            <w:r>
              <w:t>Schematisch overzicht activiteiten op- en overslag van vloeistoffen</w:t>
            </w:r>
          </w:p>
        </w:tc>
      </w:tr>
      <w:tr w:rsidR="00A12934" w:rsidRPr="009066EF" w:rsidTr="00287227">
        <w:tc>
          <w:tcPr>
            <w:tcW w:w="940" w:type="pct"/>
          </w:tcPr>
          <w:p w:rsidR="00A12934" w:rsidRPr="00211AAC" w:rsidRDefault="00A12934" w:rsidP="00AF3F9E">
            <w:r>
              <w:t xml:space="preserve">Figuur </w:t>
            </w:r>
            <w:bookmarkStart w:id="17" w:name="f_project_plattegrond"/>
            <w:r>
              <w:t>IV.</w:t>
            </w:r>
            <w:r w:rsidR="00C325A0">
              <w:fldChar w:fldCharType="begin"/>
            </w:r>
            <w:r w:rsidR="00F077DA">
              <w:instrText xml:space="preserve"> seq t </w:instrText>
            </w:r>
            <w:r w:rsidR="00C325A0">
              <w:fldChar w:fldCharType="separate"/>
            </w:r>
            <w:r w:rsidR="008102D8">
              <w:rPr>
                <w:noProof/>
              </w:rPr>
              <w:t>2</w:t>
            </w:r>
            <w:r w:rsidR="00C325A0">
              <w:fldChar w:fldCharType="end"/>
            </w:r>
            <w:bookmarkEnd w:id="17"/>
          </w:p>
        </w:tc>
        <w:tc>
          <w:tcPr>
            <w:tcW w:w="313" w:type="pct"/>
          </w:tcPr>
          <w:p w:rsidR="00A12934" w:rsidRPr="00211AAC" w:rsidRDefault="00A12934" w:rsidP="00AF3F9E">
            <w:r>
              <w:sym w:font="Wingdings" w:char="F0DE"/>
            </w:r>
          </w:p>
        </w:tc>
        <w:tc>
          <w:tcPr>
            <w:tcW w:w="3747" w:type="pct"/>
          </w:tcPr>
          <w:p w:rsidR="00A12934" w:rsidRPr="00211AAC" w:rsidRDefault="00A12934" w:rsidP="00AF3F9E">
            <w:r>
              <w:t xml:space="preserve">Plattegrond </w:t>
            </w:r>
            <w:r w:rsidR="000C2C46">
              <w:t>(huidige situatie)</w:t>
            </w:r>
          </w:p>
        </w:tc>
      </w:tr>
      <w:tr w:rsidR="00A12934" w:rsidRPr="009066EF" w:rsidTr="00287227">
        <w:tc>
          <w:tcPr>
            <w:tcW w:w="940" w:type="pct"/>
          </w:tcPr>
          <w:p w:rsidR="00A12934" w:rsidRDefault="00A12934" w:rsidP="00AF3F9E">
            <w:r>
              <w:t xml:space="preserve">Figuur </w:t>
            </w:r>
            <w:bookmarkStart w:id="18" w:name="f_project_plattegrond_f1"/>
            <w:r>
              <w:t>V.</w:t>
            </w:r>
            <w:r w:rsidR="00C325A0">
              <w:fldChar w:fldCharType="begin"/>
            </w:r>
            <w:r w:rsidR="00F077DA">
              <w:instrText xml:space="preserve"> seq t\r1 </w:instrText>
            </w:r>
            <w:r w:rsidR="00C325A0">
              <w:fldChar w:fldCharType="separate"/>
            </w:r>
            <w:r w:rsidR="008102D8">
              <w:rPr>
                <w:noProof/>
              </w:rPr>
              <w:t>1</w:t>
            </w:r>
            <w:r w:rsidR="00C325A0">
              <w:fldChar w:fldCharType="end"/>
            </w:r>
            <w:bookmarkEnd w:id="18"/>
          </w:p>
        </w:tc>
        <w:tc>
          <w:tcPr>
            <w:tcW w:w="313" w:type="pct"/>
          </w:tcPr>
          <w:p w:rsidR="00A12934" w:rsidRDefault="00A12934" w:rsidP="00AF3F9E">
            <w:r>
              <w:sym w:font="Wingdings" w:char="F0DE"/>
            </w:r>
          </w:p>
        </w:tc>
        <w:tc>
          <w:tcPr>
            <w:tcW w:w="3747" w:type="pct"/>
          </w:tcPr>
          <w:p w:rsidR="00A12934" w:rsidRPr="00545209" w:rsidRDefault="00A12934" w:rsidP="00AF3F9E">
            <w:r>
              <w:t>Plattegrond toekomstige situatie na realisatie fase 1</w:t>
            </w:r>
            <w:r w:rsidR="00DD1863">
              <w:t xml:space="preserve"> en fase 2</w:t>
            </w:r>
          </w:p>
        </w:tc>
      </w:tr>
      <w:tr w:rsidR="00A12934" w:rsidRPr="009066EF" w:rsidTr="00287227">
        <w:tc>
          <w:tcPr>
            <w:tcW w:w="940" w:type="pct"/>
          </w:tcPr>
          <w:p w:rsidR="00A12934" w:rsidRDefault="00A12934" w:rsidP="00AF3F9E">
            <w:pPr>
              <w:pStyle w:val="normal0"/>
            </w:pPr>
            <w:r>
              <w:t xml:space="preserve">Figuur </w:t>
            </w:r>
            <w:bookmarkStart w:id="19" w:name="f_alternatieven_hemelwaterput"/>
            <w:r>
              <w:t>VI.1</w:t>
            </w:r>
            <w:bookmarkEnd w:id="19"/>
          </w:p>
        </w:tc>
        <w:tc>
          <w:tcPr>
            <w:tcW w:w="313" w:type="pct"/>
          </w:tcPr>
          <w:p w:rsidR="00A12934" w:rsidRDefault="00A12934" w:rsidP="00AF3F9E">
            <w:pPr>
              <w:pStyle w:val="normal0"/>
            </w:pPr>
          </w:p>
        </w:tc>
        <w:tc>
          <w:tcPr>
            <w:tcW w:w="3747" w:type="pct"/>
          </w:tcPr>
          <w:p w:rsidR="00A12934" w:rsidRDefault="00A12934" w:rsidP="00AF3F9E">
            <w:pPr>
              <w:pStyle w:val="normal0"/>
            </w:pPr>
            <w:r>
              <w:t>Vereist volume hemelwaterput in functie van potentieel hemelwaterverbruik</w:t>
            </w:r>
          </w:p>
        </w:tc>
      </w:tr>
      <w:tr w:rsidR="00A12934" w:rsidTr="00287227">
        <w:tc>
          <w:tcPr>
            <w:tcW w:w="940" w:type="pct"/>
          </w:tcPr>
          <w:p w:rsidR="00A12934" w:rsidRDefault="00A12934" w:rsidP="00AF3F9E">
            <w:r>
              <w:t xml:space="preserve">Figuur </w:t>
            </w:r>
            <w:bookmarkStart w:id="20" w:name="f_water_Qdokken"/>
            <w:r>
              <w:t>VIII.1.</w:t>
            </w:r>
            <w:r w:rsidR="00C325A0">
              <w:fldChar w:fldCharType="begin"/>
            </w:r>
            <w:r w:rsidR="00F077DA">
              <w:instrText xml:space="preserve"> seq t\r1 </w:instrText>
            </w:r>
            <w:r w:rsidR="00C325A0">
              <w:fldChar w:fldCharType="separate"/>
            </w:r>
            <w:r w:rsidR="008102D8">
              <w:rPr>
                <w:noProof/>
              </w:rPr>
              <w:t>1</w:t>
            </w:r>
            <w:r w:rsidR="00C325A0">
              <w:fldChar w:fldCharType="end"/>
            </w:r>
            <w:bookmarkEnd w:id="20"/>
          </w:p>
        </w:tc>
        <w:tc>
          <w:tcPr>
            <w:tcW w:w="313" w:type="pct"/>
          </w:tcPr>
          <w:p w:rsidR="00A12934" w:rsidRDefault="00A12934" w:rsidP="00AF3F9E">
            <w:r>
              <w:sym w:font="Wingdings" w:char="F0DE"/>
            </w:r>
          </w:p>
        </w:tc>
        <w:tc>
          <w:tcPr>
            <w:tcW w:w="3747" w:type="pct"/>
          </w:tcPr>
          <w:p w:rsidR="00A12934" w:rsidRDefault="00A12934" w:rsidP="00AF3F9E">
            <w:r>
              <w:t>Geraamde doorstroomdebieten dokken Rechteroever</w:t>
            </w:r>
          </w:p>
        </w:tc>
      </w:tr>
      <w:tr w:rsidR="00A12934" w:rsidTr="00287227">
        <w:tc>
          <w:tcPr>
            <w:tcW w:w="940" w:type="pct"/>
          </w:tcPr>
          <w:p w:rsidR="00A12934" w:rsidRPr="00211AAC" w:rsidRDefault="00A12934" w:rsidP="00AF3F9E">
            <w:r>
              <w:t xml:space="preserve">Figuur </w:t>
            </w:r>
            <w:bookmarkStart w:id="21" w:name="f_water_meetpunten"/>
            <w:r>
              <w:t>VIII.1.</w:t>
            </w:r>
            <w:r w:rsidR="00C325A0">
              <w:fldChar w:fldCharType="begin"/>
            </w:r>
            <w:r w:rsidR="00F077DA">
              <w:instrText xml:space="preserve"> seq t </w:instrText>
            </w:r>
            <w:r w:rsidR="00C325A0">
              <w:fldChar w:fldCharType="separate"/>
            </w:r>
            <w:r w:rsidR="008102D8">
              <w:rPr>
                <w:noProof/>
              </w:rPr>
              <w:t>2</w:t>
            </w:r>
            <w:r w:rsidR="00C325A0">
              <w:fldChar w:fldCharType="end"/>
            </w:r>
            <w:bookmarkEnd w:id="21"/>
          </w:p>
        </w:tc>
        <w:tc>
          <w:tcPr>
            <w:tcW w:w="313" w:type="pct"/>
          </w:tcPr>
          <w:p w:rsidR="00A12934" w:rsidRPr="00211AAC" w:rsidRDefault="00A12934" w:rsidP="00AF3F9E">
            <w:r>
              <w:sym w:font="Wingdings" w:char="F0DE"/>
            </w:r>
          </w:p>
        </w:tc>
        <w:tc>
          <w:tcPr>
            <w:tcW w:w="3747" w:type="pct"/>
          </w:tcPr>
          <w:p w:rsidR="00A12934" w:rsidRPr="00211AAC" w:rsidRDefault="000902F7" w:rsidP="00AF3F9E">
            <w:r>
              <w:t>Situering m</w:t>
            </w:r>
            <w:r w:rsidR="00A12934">
              <w:t>eetpunten oppervlaktewater</w:t>
            </w:r>
          </w:p>
        </w:tc>
      </w:tr>
      <w:tr w:rsidR="00A12934" w:rsidTr="00287227">
        <w:tc>
          <w:tcPr>
            <w:tcW w:w="940" w:type="pct"/>
          </w:tcPr>
          <w:p w:rsidR="00A12934" w:rsidRPr="00211AAC" w:rsidRDefault="006600E8" w:rsidP="00AF3F9E">
            <w:r>
              <w:t xml:space="preserve">Figuur </w:t>
            </w:r>
            <w:bookmarkStart w:id="22" w:name="f_lucht_impact_real_verg"/>
            <w:r>
              <w:t>VIII.2.2</w:t>
            </w:r>
            <w:bookmarkEnd w:id="22"/>
          </w:p>
        </w:tc>
        <w:tc>
          <w:tcPr>
            <w:tcW w:w="313" w:type="pct"/>
          </w:tcPr>
          <w:p w:rsidR="00A12934" w:rsidRPr="00211AAC" w:rsidRDefault="00A12934" w:rsidP="00AF3F9E"/>
        </w:tc>
        <w:tc>
          <w:tcPr>
            <w:tcW w:w="3747" w:type="pct"/>
          </w:tcPr>
          <w:p w:rsidR="00A12934" w:rsidRPr="00211AAC" w:rsidRDefault="006600E8" w:rsidP="00AF3F9E">
            <w:r>
              <w:t>Gemiddelde impact VOS – realistisch scenario – actuele vergunning</w:t>
            </w:r>
          </w:p>
        </w:tc>
      </w:tr>
      <w:tr w:rsidR="00A12934" w:rsidRPr="00D17D69" w:rsidTr="00287227">
        <w:tc>
          <w:tcPr>
            <w:tcW w:w="940" w:type="pct"/>
          </w:tcPr>
          <w:p w:rsidR="00A12934" w:rsidRPr="00D17D69" w:rsidRDefault="006600E8" w:rsidP="00AF3F9E">
            <w:r>
              <w:t xml:space="preserve">Figuur </w:t>
            </w:r>
            <w:bookmarkStart w:id="23" w:name="f_lucht_impact_real_vergA"/>
            <w:r>
              <w:t>VIII.2.3.A</w:t>
            </w:r>
            <w:bookmarkEnd w:id="23"/>
          </w:p>
        </w:tc>
        <w:tc>
          <w:tcPr>
            <w:tcW w:w="313" w:type="pct"/>
          </w:tcPr>
          <w:p w:rsidR="00A12934" w:rsidRPr="00D17D69" w:rsidRDefault="00A12934" w:rsidP="00AF3F9E"/>
        </w:tc>
        <w:tc>
          <w:tcPr>
            <w:tcW w:w="3747" w:type="pct"/>
          </w:tcPr>
          <w:p w:rsidR="00A12934" w:rsidRPr="00D17D69" w:rsidRDefault="006600E8" w:rsidP="00AF3F9E">
            <w:r>
              <w:t>Gemiddelde impact VOS – realistisch scenario – actuele vergunning</w:t>
            </w:r>
          </w:p>
        </w:tc>
      </w:tr>
      <w:tr w:rsidR="006600E8" w:rsidRPr="00D17D69" w:rsidTr="00287227">
        <w:tc>
          <w:tcPr>
            <w:tcW w:w="940" w:type="pct"/>
          </w:tcPr>
          <w:p w:rsidR="006600E8" w:rsidRPr="00D17D69" w:rsidRDefault="006600E8" w:rsidP="00AF3F9E">
            <w:r>
              <w:t xml:space="preserve">Figuur </w:t>
            </w:r>
            <w:bookmarkStart w:id="24" w:name="f_lucht_impact_real_vfase2"/>
            <w:r>
              <w:t>VIII.2.3.B</w:t>
            </w:r>
            <w:bookmarkEnd w:id="24"/>
          </w:p>
        </w:tc>
        <w:tc>
          <w:tcPr>
            <w:tcW w:w="313" w:type="pct"/>
          </w:tcPr>
          <w:p w:rsidR="006600E8" w:rsidRPr="00D17D69" w:rsidRDefault="006600E8" w:rsidP="00AF3F9E"/>
        </w:tc>
        <w:tc>
          <w:tcPr>
            <w:tcW w:w="3747" w:type="pct"/>
          </w:tcPr>
          <w:p w:rsidR="006600E8" w:rsidRPr="00D17D69" w:rsidRDefault="006600E8" w:rsidP="006600E8">
            <w:r>
              <w:t>Gemiddelde impact VOS – realistisch scenario – fase 2</w:t>
            </w:r>
          </w:p>
        </w:tc>
      </w:tr>
      <w:tr w:rsidR="006600E8" w:rsidRPr="00D17D69" w:rsidTr="00287227">
        <w:tc>
          <w:tcPr>
            <w:tcW w:w="940" w:type="pct"/>
          </w:tcPr>
          <w:p w:rsidR="006600E8" w:rsidRPr="00D17D69" w:rsidRDefault="006600E8" w:rsidP="00AF3F9E">
            <w:r>
              <w:t xml:space="preserve">Figuur </w:t>
            </w:r>
            <w:bookmarkStart w:id="25" w:name="f_lucht_impact_max_verg"/>
            <w:r>
              <w:t>VIII.2.4.A</w:t>
            </w:r>
            <w:bookmarkEnd w:id="25"/>
          </w:p>
        </w:tc>
        <w:tc>
          <w:tcPr>
            <w:tcW w:w="313" w:type="pct"/>
          </w:tcPr>
          <w:p w:rsidR="006600E8" w:rsidRPr="00D17D69" w:rsidRDefault="006600E8" w:rsidP="00AF3F9E"/>
        </w:tc>
        <w:tc>
          <w:tcPr>
            <w:tcW w:w="3747" w:type="pct"/>
          </w:tcPr>
          <w:p w:rsidR="006600E8" w:rsidRPr="00D17D69" w:rsidRDefault="006600E8" w:rsidP="006600E8">
            <w:r>
              <w:t>Gemiddelde impact VOS – maximalistisch scenario – actuele vergunning</w:t>
            </w:r>
          </w:p>
        </w:tc>
      </w:tr>
      <w:tr w:rsidR="006600E8" w:rsidRPr="00D17D69" w:rsidTr="00287227">
        <w:tc>
          <w:tcPr>
            <w:tcW w:w="940" w:type="pct"/>
          </w:tcPr>
          <w:p w:rsidR="006600E8" w:rsidRPr="00D17D69" w:rsidRDefault="006600E8" w:rsidP="00AF3F9E">
            <w:r>
              <w:t xml:space="preserve">Figuur </w:t>
            </w:r>
            <w:bookmarkStart w:id="26" w:name="f_lucht_impact_max_fase2"/>
            <w:r>
              <w:t>VIII.2.4.B</w:t>
            </w:r>
            <w:bookmarkEnd w:id="26"/>
          </w:p>
        </w:tc>
        <w:tc>
          <w:tcPr>
            <w:tcW w:w="313" w:type="pct"/>
          </w:tcPr>
          <w:p w:rsidR="006600E8" w:rsidRPr="00D17D69" w:rsidRDefault="006600E8" w:rsidP="00AF3F9E"/>
        </w:tc>
        <w:tc>
          <w:tcPr>
            <w:tcW w:w="3747" w:type="pct"/>
          </w:tcPr>
          <w:p w:rsidR="006600E8" w:rsidRPr="00D17D69" w:rsidRDefault="006600E8" w:rsidP="006600E8">
            <w:r>
              <w:t>Gemiddelde impact VOS – maximalistisch scenario – fase 2</w:t>
            </w:r>
          </w:p>
        </w:tc>
      </w:tr>
      <w:tr w:rsidR="00A12934" w:rsidTr="00287227">
        <w:tc>
          <w:tcPr>
            <w:tcW w:w="940" w:type="pct"/>
          </w:tcPr>
          <w:p w:rsidR="00A12934" w:rsidRDefault="00A12934" w:rsidP="00AF3F9E">
            <w:r>
              <w:t xml:space="preserve">Figuur </w:t>
            </w:r>
            <w:bookmarkStart w:id="27" w:name="f_geluid_schema_bestaande_inricht"/>
            <w:r>
              <w:t>VIII.3.1</w:t>
            </w:r>
            <w:bookmarkEnd w:id="27"/>
          </w:p>
        </w:tc>
        <w:tc>
          <w:tcPr>
            <w:tcW w:w="313" w:type="pct"/>
          </w:tcPr>
          <w:p w:rsidR="00A12934" w:rsidRDefault="00A12934" w:rsidP="00AF3F9E"/>
        </w:tc>
        <w:tc>
          <w:tcPr>
            <w:tcW w:w="3747" w:type="pct"/>
          </w:tcPr>
          <w:p w:rsidR="00A12934" w:rsidRDefault="00A12934" w:rsidP="00AF3F9E">
            <w:r>
              <w:t>B</w:t>
            </w:r>
            <w:r w:rsidRPr="009662FB">
              <w:t>eslissings</w:t>
            </w:r>
            <w:r>
              <w:t>schema</w:t>
            </w:r>
            <w:r w:rsidRPr="009662FB">
              <w:t xml:space="preserve"> voor</w:t>
            </w:r>
            <w:r>
              <w:t>waarden geluid</w:t>
            </w:r>
            <w:r w:rsidRPr="009662FB">
              <w:t xml:space="preserve"> bestaande inrichtingen</w:t>
            </w:r>
          </w:p>
        </w:tc>
      </w:tr>
      <w:tr w:rsidR="00A12934" w:rsidTr="00287227">
        <w:tc>
          <w:tcPr>
            <w:tcW w:w="940" w:type="pct"/>
          </w:tcPr>
          <w:p w:rsidR="00A12934" w:rsidRDefault="00A12934" w:rsidP="00AF3F9E">
            <w:r>
              <w:t xml:space="preserve">Figuur </w:t>
            </w:r>
            <w:bookmarkStart w:id="28" w:name="f_geluid_schema_nieuwe_inricht"/>
            <w:r>
              <w:t>VIII.3.2</w:t>
            </w:r>
            <w:bookmarkEnd w:id="28"/>
          </w:p>
        </w:tc>
        <w:tc>
          <w:tcPr>
            <w:tcW w:w="313" w:type="pct"/>
          </w:tcPr>
          <w:p w:rsidR="00A12934" w:rsidRDefault="00A12934" w:rsidP="00AF3F9E"/>
        </w:tc>
        <w:tc>
          <w:tcPr>
            <w:tcW w:w="3747" w:type="pct"/>
          </w:tcPr>
          <w:p w:rsidR="00A12934" w:rsidRDefault="00A12934" w:rsidP="00AF3F9E">
            <w:r>
              <w:t>B</w:t>
            </w:r>
            <w:r w:rsidRPr="009662FB">
              <w:t>eslissings</w:t>
            </w:r>
            <w:r>
              <w:t>schema</w:t>
            </w:r>
            <w:r w:rsidRPr="009662FB">
              <w:t xml:space="preserve"> voor</w:t>
            </w:r>
            <w:r>
              <w:t>waarden geluid</w:t>
            </w:r>
            <w:r w:rsidRPr="009662FB">
              <w:t xml:space="preserve"> </w:t>
            </w:r>
            <w:r>
              <w:t>nieuwe</w:t>
            </w:r>
            <w:r w:rsidRPr="009662FB">
              <w:t xml:space="preserve"> inrichtingen</w:t>
            </w:r>
          </w:p>
        </w:tc>
      </w:tr>
    </w:tbl>
    <w:p w:rsidR="00DD1863" w:rsidRDefault="00DD1863" w:rsidP="005618D4">
      <w:pPr>
        <w:pStyle w:val="tit-5"/>
      </w:pPr>
    </w:p>
    <w:p w:rsidR="00617415" w:rsidRDefault="00DD1863">
      <w:pPr>
        <w:rPr>
          <w:spacing w:val="20"/>
        </w:rPr>
      </w:pPr>
      <w:r>
        <w:br w:type="page"/>
      </w:r>
    </w:p>
    <w:p w:rsidR="00CC7297" w:rsidRPr="00612A55" w:rsidRDefault="00CC7297" w:rsidP="005618D4">
      <w:pPr>
        <w:pStyle w:val="tit-5"/>
      </w:pPr>
      <w:r w:rsidRPr="00656334">
        <w:lastRenderedPageBreak/>
        <w:t>Lijst van tabellen</w:t>
      </w:r>
    </w:p>
    <w:tbl>
      <w:tblPr>
        <w:tblW w:w="9072" w:type="dxa"/>
        <w:tblInd w:w="108" w:type="dxa"/>
        <w:tblLayout w:type="fixed"/>
        <w:tblLook w:val="01E0"/>
      </w:tblPr>
      <w:tblGrid>
        <w:gridCol w:w="1701"/>
        <w:gridCol w:w="567"/>
        <w:gridCol w:w="6804"/>
      </w:tblGrid>
      <w:tr w:rsidR="00EE4586" w:rsidRPr="009066EF" w:rsidTr="001F7A49">
        <w:trPr>
          <w:cantSplit/>
        </w:trPr>
        <w:tc>
          <w:tcPr>
            <w:tcW w:w="1701" w:type="dxa"/>
          </w:tcPr>
          <w:p w:rsidR="00EE4586" w:rsidRPr="00EE7E83" w:rsidRDefault="00EE4586" w:rsidP="00AF3F9E">
            <w:r>
              <w:t xml:space="preserve">Tabel </w:t>
            </w:r>
            <w:bookmarkStart w:id="29" w:name="t_algemeen_vergunningen"/>
            <w:r>
              <w:t>I</w:t>
            </w:r>
            <w:r w:rsidR="00BD51FE">
              <w:t>.</w:t>
            </w:r>
            <w:r w:rsidR="00C325A0">
              <w:fldChar w:fldCharType="begin"/>
            </w:r>
            <w:r w:rsidR="00F077DA">
              <w:instrText xml:space="preserve"> seq t\r1 </w:instrText>
            </w:r>
            <w:r w:rsidR="00C325A0">
              <w:fldChar w:fldCharType="separate"/>
            </w:r>
            <w:r w:rsidR="008102D8">
              <w:rPr>
                <w:noProof/>
              </w:rPr>
              <w:t>1</w:t>
            </w:r>
            <w:r w:rsidR="00C325A0">
              <w:fldChar w:fldCharType="end"/>
            </w:r>
            <w:bookmarkEnd w:id="29"/>
          </w:p>
        </w:tc>
        <w:tc>
          <w:tcPr>
            <w:tcW w:w="567" w:type="dxa"/>
          </w:tcPr>
          <w:p w:rsidR="00EE4586" w:rsidRPr="00211AAC" w:rsidRDefault="00EE4586" w:rsidP="00AF3F9E"/>
        </w:tc>
        <w:tc>
          <w:tcPr>
            <w:tcW w:w="6804" w:type="dxa"/>
          </w:tcPr>
          <w:p w:rsidR="00EE4586" w:rsidRPr="00EE7E83" w:rsidRDefault="00EE4586" w:rsidP="00AF3F9E">
            <w:r>
              <w:t xml:space="preserve">Vigerende milieuvergunningen </w:t>
            </w:r>
          </w:p>
        </w:tc>
      </w:tr>
      <w:tr w:rsidR="00BD51FE" w:rsidRPr="009066EF" w:rsidTr="001F7A49">
        <w:trPr>
          <w:cantSplit/>
        </w:trPr>
        <w:tc>
          <w:tcPr>
            <w:tcW w:w="1701" w:type="dxa"/>
          </w:tcPr>
          <w:p w:rsidR="00BD51FE" w:rsidRDefault="00BD51FE" w:rsidP="00AF3F9E">
            <w:r>
              <w:t xml:space="preserve">Tabel </w:t>
            </w:r>
            <w:bookmarkStart w:id="30" w:name="t_project_wijzigingenopslag"/>
            <w:r>
              <w:t>I.</w:t>
            </w:r>
            <w:r w:rsidR="00C325A0">
              <w:fldChar w:fldCharType="begin"/>
            </w:r>
            <w:r w:rsidR="00F077DA">
              <w:instrText xml:space="preserve"> seq t </w:instrText>
            </w:r>
            <w:r w:rsidR="00C325A0">
              <w:fldChar w:fldCharType="separate"/>
            </w:r>
            <w:r w:rsidR="008102D8">
              <w:rPr>
                <w:noProof/>
              </w:rPr>
              <w:t>2</w:t>
            </w:r>
            <w:r w:rsidR="00C325A0">
              <w:fldChar w:fldCharType="end"/>
            </w:r>
            <w:bookmarkEnd w:id="30"/>
          </w:p>
        </w:tc>
        <w:tc>
          <w:tcPr>
            <w:tcW w:w="567" w:type="dxa"/>
          </w:tcPr>
          <w:p w:rsidR="00BD51FE" w:rsidRPr="00211AAC" w:rsidRDefault="00BD51FE" w:rsidP="00AF3F9E"/>
        </w:tc>
        <w:tc>
          <w:tcPr>
            <w:tcW w:w="6804" w:type="dxa"/>
          </w:tcPr>
          <w:p w:rsidR="00BD51FE" w:rsidRDefault="00BD51FE" w:rsidP="00AF3F9E">
            <w:r>
              <w:t>Overzicht vergunde versus geplande bulkopslag per gevareneigenschap van de chemische vloeistoffen</w:t>
            </w:r>
          </w:p>
        </w:tc>
      </w:tr>
      <w:tr w:rsidR="00EE4586" w:rsidRPr="009066EF" w:rsidTr="001F7A49">
        <w:trPr>
          <w:cantSplit/>
        </w:trPr>
        <w:tc>
          <w:tcPr>
            <w:tcW w:w="1701" w:type="dxa"/>
          </w:tcPr>
          <w:p w:rsidR="00EE4586" w:rsidRPr="00211AAC" w:rsidRDefault="00EE4586" w:rsidP="00AF3F9E">
            <w:r>
              <w:t xml:space="preserve">Tabel </w:t>
            </w:r>
            <w:bookmarkStart w:id="31" w:name="t_omgeving_buurbedrijven"/>
            <w:r>
              <w:t>II.2</w:t>
            </w:r>
            <w:bookmarkEnd w:id="31"/>
          </w:p>
        </w:tc>
        <w:tc>
          <w:tcPr>
            <w:tcW w:w="567" w:type="dxa"/>
          </w:tcPr>
          <w:p w:rsidR="00EE4586" w:rsidRPr="00211AAC" w:rsidRDefault="00EE4586" w:rsidP="00AF3F9E"/>
        </w:tc>
        <w:tc>
          <w:tcPr>
            <w:tcW w:w="6804" w:type="dxa"/>
          </w:tcPr>
          <w:p w:rsidR="00EE4586" w:rsidRPr="00211AAC" w:rsidRDefault="00EB4089" w:rsidP="00AF3F9E">
            <w:r>
              <w:t>B</w:t>
            </w:r>
            <w:r w:rsidR="00EE4586">
              <w:t xml:space="preserve">edrijven </w:t>
            </w:r>
            <w:r>
              <w:t xml:space="preserve">in de nabije omgeving </w:t>
            </w:r>
            <w:r w:rsidR="00EE4586">
              <w:t xml:space="preserve">van </w:t>
            </w:r>
            <w:r w:rsidR="00C325A0">
              <w:fldChar w:fldCharType="begin"/>
            </w:r>
            <w:r w:rsidR="00EE4586">
              <w:instrText xml:space="preserve"> REF klant \h </w:instrText>
            </w:r>
            <w:r w:rsidR="00C325A0">
              <w:fldChar w:fldCharType="separate"/>
            </w:r>
            <w:r w:rsidR="008102D8">
              <w:t xml:space="preserve">Vopak Terminal Eurotank NV </w:t>
            </w:r>
            <w:r w:rsidR="00C325A0">
              <w:fldChar w:fldCharType="end"/>
            </w:r>
            <w:r w:rsidR="00AC4CF3">
              <w:t xml:space="preserve"> </w:t>
            </w:r>
          </w:p>
        </w:tc>
      </w:tr>
      <w:tr w:rsidR="00AC4CF3" w:rsidRPr="009066EF" w:rsidTr="001F7A49">
        <w:trPr>
          <w:cantSplit/>
        </w:trPr>
        <w:tc>
          <w:tcPr>
            <w:tcW w:w="1701" w:type="dxa"/>
          </w:tcPr>
          <w:p w:rsidR="00AC4CF3" w:rsidRDefault="00AC4CF3" w:rsidP="00AF3F9E">
            <w:r>
              <w:t xml:space="preserve">Tabel </w:t>
            </w:r>
            <w:bookmarkStart w:id="32" w:name="t_buurbedrijven_seveso"/>
            <w:r>
              <w:t>II.3</w:t>
            </w:r>
            <w:bookmarkEnd w:id="32"/>
          </w:p>
        </w:tc>
        <w:tc>
          <w:tcPr>
            <w:tcW w:w="567" w:type="dxa"/>
          </w:tcPr>
          <w:p w:rsidR="00AC4CF3" w:rsidRPr="00211AAC" w:rsidRDefault="00AC4CF3" w:rsidP="00AF3F9E"/>
        </w:tc>
        <w:tc>
          <w:tcPr>
            <w:tcW w:w="6804" w:type="dxa"/>
          </w:tcPr>
          <w:p w:rsidR="00AC4CF3" w:rsidRDefault="00AC4CF3" w:rsidP="00AF3F9E">
            <w:r>
              <w:t>Seveso-bedrijven in de omgeving van VTE</w:t>
            </w:r>
          </w:p>
        </w:tc>
      </w:tr>
      <w:tr w:rsidR="00A12934" w:rsidRPr="009066EF" w:rsidTr="001F7A49">
        <w:trPr>
          <w:cantSplit/>
        </w:trPr>
        <w:tc>
          <w:tcPr>
            <w:tcW w:w="1701" w:type="dxa"/>
          </w:tcPr>
          <w:p w:rsidR="00A12934" w:rsidRDefault="00A12934" w:rsidP="00AF3F9E">
            <w:r>
              <w:t xml:space="preserve">Tabel </w:t>
            </w:r>
            <w:bookmarkStart w:id="33" w:name="t_overzicht_gev_stoffen"/>
            <w:r>
              <w:t>IV.</w:t>
            </w:r>
            <w:r w:rsidR="00C325A0">
              <w:fldChar w:fldCharType="begin"/>
            </w:r>
            <w:r w:rsidR="00F077DA">
              <w:instrText xml:space="preserve"> seq t\r1 </w:instrText>
            </w:r>
            <w:r w:rsidR="00C325A0">
              <w:fldChar w:fldCharType="separate"/>
            </w:r>
            <w:r w:rsidR="008102D8">
              <w:rPr>
                <w:noProof/>
              </w:rPr>
              <w:t>1</w:t>
            </w:r>
            <w:r w:rsidR="00C325A0">
              <w:fldChar w:fldCharType="end"/>
            </w:r>
            <w:bookmarkEnd w:id="33"/>
          </w:p>
        </w:tc>
        <w:tc>
          <w:tcPr>
            <w:tcW w:w="567" w:type="dxa"/>
          </w:tcPr>
          <w:p w:rsidR="00A12934" w:rsidRDefault="00A12934" w:rsidP="00AF3F9E">
            <w:r>
              <w:sym w:font="Wingdings" w:char="F0DE"/>
            </w:r>
          </w:p>
        </w:tc>
        <w:tc>
          <w:tcPr>
            <w:tcW w:w="6804" w:type="dxa"/>
          </w:tcPr>
          <w:p w:rsidR="00A12934" w:rsidRDefault="00A12934" w:rsidP="00AF3F9E">
            <w:r>
              <w:t>Lijst van representatieve stoffen</w:t>
            </w:r>
          </w:p>
        </w:tc>
      </w:tr>
      <w:tr w:rsidR="00382806" w:rsidRPr="009066EF" w:rsidTr="001F7A49">
        <w:trPr>
          <w:cantSplit/>
        </w:trPr>
        <w:tc>
          <w:tcPr>
            <w:tcW w:w="1701" w:type="dxa"/>
          </w:tcPr>
          <w:p w:rsidR="00382806" w:rsidRDefault="00382806" w:rsidP="00AF3F9E">
            <w:pPr>
              <w:pStyle w:val="normal0"/>
            </w:pPr>
            <w:r>
              <w:t xml:space="preserve">Tabel </w:t>
            </w:r>
            <w:bookmarkStart w:id="34" w:name="t_project_opslagtanks"/>
            <w:r>
              <w:t>IV.</w:t>
            </w:r>
            <w:r w:rsidR="00C325A0">
              <w:fldChar w:fldCharType="begin"/>
            </w:r>
            <w:r w:rsidR="00F077DA">
              <w:instrText xml:space="preserve"> seq t </w:instrText>
            </w:r>
            <w:r w:rsidR="00C325A0">
              <w:fldChar w:fldCharType="separate"/>
            </w:r>
            <w:r w:rsidR="008102D8">
              <w:rPr>
                <w:noProof/>
              </w:rPr>
              <w:t>2</w:t>
            </w:r>
            <w:r w:rsidR="00C325A0">
              <w:fldChar w:fldCharType="end"/>
            </w:r>
            <w:bookmarkEnd w:id="34"/>
          </w:p>
        </w:tc>
        <w:tc>
          <w:tcPr>
            <w:tcW w:w="567" w:type="dxa"/>
          </w:tcPr>
          <w:p w:rsidR="00382806" w:rsidRDefault="00382806" w:rsidP="00AF3F9E">
            <w:pPr>
              <w:pStyle w:val="normal0"/>
            </w:pPr>
            <w:r>
              <w:sym w:font="Wingdings" w:char="F0DE"/>
            </w:r>
          </w:p>
        </w:tc>
        <w:tc>
          <w:tcPr>
            <w:tcW w:w="6804" w:type="dxa"/>
          </w:tcPr>
          <w:p w:rsidR="00382806" w:rsidRPr="00CD78F7" w:rsidRDefault="00382806" w:rsidP="00AF3F9E">
            <w:pPr>
              <w:pStyle w:val="normal0"/>
            </w:pPr>
            <w:r>
              <w:t>Overzicht opslagtanks VT</w:t>
            </w:r>
            <w:r w:rsidR="008121A8">
              <w:t>E</w:t>
            </w:r>
          </w:p>
        </w:tc>
      </w:tr>
      <w:tr w:rsidR="00A2671A" w:rsidRPr="009066EF" w:rsidTr="001F7A49">
        <w:trPr>
          <w:cantSplit/>
        </w:trPr>
        <w:tc>
          <w:tcPr>
            <w:tcW w:w="1701" w:type="dxa"/>
          </w:tcPr>
          <w:p w:rsidR="00A2671A" w:rsidRDefault="00A2671A" w:rsidP="00AF3F9E">
            <w:pPr>
              <w:pStyle w:val="normal0"/>
            </w:pPr>
            <w:r>
              <w:t xml:space="preserve">Tabel </w:t>
            </w:r>
            <w:bookmarkStart w:id="35" w:name="t_project_verdelingtransport"/>
            <w:r>
              <w:t>IV.</w:t>
            </w:r>
            <w:r w:rsidR="00C325A0">
              <w:fldChar w:fldCharType="begin"/>
            </w:r>
            <w:r w:rsidR="00F077DA">
              <w:instrText xml:space="preserve"> seq t </w:instrText>
            </w:r>
            <w:r w:rsidR="00C325A0">
              <w:fldChar w:fldCharType="separate"/>
            </w:r>
            <w:r w:rsidR="008102D8">
              <w:rPr>
                <w:noProof/>
              </w:rPr>
              <w:t>3</w:t>
            </w:r>
            <w:r w:rsidR="00C325A0">
              <w:fldChar w:fldCharType="end"/>
            </w:r>
            <w:bookmarkEnd w:id="35"/>
          </w:p>
        </w:tc>
        <w:tc>
          <w:tcPr>
            <w:tcW w:w="567" w:type="dxa"/>
          </w:tcPr>
          <w:p w:rsidR="00A2671A" w:rsidRDefault="00A2671A" w:rsidP="00AF3F9E">
            <w:pPr>
              <w:pStyle w:val="normal0"/>
            </w:pPr>
          </w:p>
        </w:tc>
        <w:tc>
          <w:tcPr>
            <w:tcW w:w="6804" w:type="dxa"/>
          </w:tcPr>
          <w:p w:rsidR="00A2671A" w:rsidRDefault="00A2671A" w:rsidP="00AF3F9E">
            <w:pPr>
              <w:pStyle w:val="normal0"/>
            </w:pPr>
            <w:r w:rsidRPr="00CD78F7">
              <w:t>Overzicht typische verdeling laden &amp; lossen transportmiddelen (in %)</w:t>
            </w:r>
          </w:p>
        </w:tc>
      </w:tr>
      <w:tr w:rsidR="00A2671A" w:rsidRPr="009066EF" w:rsidTr="001F7A49">
        <w:trPr>
          <w:cantSplit/>
        </w:trPr>
        <w:tc>
          <w:tcPr>
            <w:tcW w:w="1701" w:type="dxa"/>
          </w:tcPr>
          <w:p w:rsidR="00A2671A" w:rsidRDefault="00A2671A" w:rsidP="00AF3F9E">
            <w:pPr>
              <w:pStyle w:val="normal0"/>
            </w:pPr>
            <w:r>
              <w:t xml:space="preserve">Tabel </w:t>
            </w:r>
            <w:bookmarkStart w:id="36" w:name="t_project_transporten"/>
            <w:r>
              <w:t>IV.</w:t>
            </w:r>
            <w:r w:rsidR="00C325A0">
              <w:fldChar w:fldCharType="begin"/>
            </w:r>
            <w:r w:rsidR="00F077DA">
              <w:instrText xml:space="preserve"> seq t </w:instrText>
            </w:r>
            <w:r w:rsidR="00C325A0">
              <w:fldChar w:fldCharType="separate"/>
            </w:r>
            <w:r w:rsidR="008102D8">
              <w:rPr>
                <w:noProof/>
              </w:rPr>
              <w:t>4</w:t>
            </w:r>
            <w:r w:rsidR="00C325A0">
              <w:fldChar w:fldCharType="end"/>
            </w:r>
            <w:bookmarkEnd w:id="36"/>
          </w:p>
        </w:tc>
        <w:tc>
          <w:tcPr>
            <w:tcW w:w="567" w:type="dxa"/>
          </w:tcPr>
          <w:p w:rsidR="00A2671A" w:rsidRDefault="00A2671A" w:rsidP="00AF3F9E">
            <w:pPr>
              <w:pStyle w:val="normal0"/>
            </w:pPr>
          </w:p>
        </w:tc>
        <w:tc>
          <w:tcPr>
            <w:tcW w:w="6804" w:type="dxa"/>
          </w:tcPr>
          <w:p w:rsidR="00A2671A" w:rsidRDefault="00A2671A" w:rsidP="00AF3F9E">
            <w:pPr>
              <w:pStyle w:val="normal0"/>
            </w:pPr>
            <w:r>
              <w:t>Overzicht transporten op jaarbasis</w:t>
            </w:r>
          </w:p>
        </w:tc>
      </w:tr>
      <w:tr w:rsidR="00C85612" w:rsidRPr="009066EF" w:rsidTr="001F7A49">
        <w:trPr>
          <w:cantSplit/>
        </w:trPr>
        <w:tc>
          <w:tcPr>
            <w:tcW w:w="1701" w:type="dxa"/>
          </w:tcPr>
          <w:p w:rsidR="00C85612" w:rsidRDefault="00C85612" w:rsidP="00AF3F9E">
            <w:pPr>
              <w:pStyle w:val="normal0"/>
            </w:pPr>
            <w:r>
              <w:t xml:space="preserve">Tabel </w:t>
            </w:r>
            <w:bookmarkStart w:id="37" w:name="t_project_standaardERM"/>
            <w:r>
              <w:t>IV.</w:t>
            </w:r>
            <w:r w:rsidR="00C325A0">
              <w:fldChar w:fldCharType="begin"/>
            </w:r>
            <w:r w:rsidR="00F077DA">
              <w:instrText xml:space="preserve"> seq t </w:instrText>
            </w:r>
            <w:r w:rsidR="00C325A0">
              <w:fldChar w:fldCharType="separate"/>
            </w:r>
            <w:r w:rsidR="008102D8">
              <w:rPr>
                <w:noProof/>
              </w:rPr>
              <w:t>5</w:t>
            </w:r>
            <w:r w:rsidR="00C325A0">
              <w:fldChar w:fldCharType="end"/>
            </w:r>
            <w:bookmarkEnd w:id="37"/>
          </w:p>
        </w:tc>
        <w:tc>
          <w:tcPr>
            <w:tcW w:w="567" w:type="dxa"/>
          </w:tcPr>
          <w:p w:rsidR="00C85612" w:rsidRDefault="00C85612" w:rsidP="00AF3F9E">
            <w:pPr>
              <w:pStyle w:val="normal0"/>
            </w:pPr>
          </w:p>
        </w:tc>
        <w:tc>
          <w:tcPr>
            <w:tcW w:w="6804" w:type="dxa"/>
          </w:tcPr>
          <w:p w:rsidR="00C85612" w:rsidRDefault="00C85612" w:rsidP="00AF3F9E">
            <w:pPr>
              <w:pStyle w:val="normal0"/>
            </w:pPr>
            <w:r>
              <w:t>Standaard op- en overslagomstandigheden in functie van aard vloeistoffen</w:t>
            </w:r>
          </w:p>
        </w:tc>
      </w:tr>
      <w:tr w:rsidR="005F03D9" w:rsidRPr="009066EF" w:rsidTr="001F7A49">
        <w:trPr>
          <w:cantSplit/>
        </w:trPr>
        <w:tc>
          <w:tcPr>
            <w:tcW w:w="1701" w:type="dxa"/>
          </w:tcPr>
          <w:p w:rsidR="005F03D9" w:rsidRDefault="005F03D9" w:rsidP="00AF3F9E">
            <w:pPr>
              <w:pStyle w:val="normal0"/>
            </w:pPr>
            <w:r>
              <w:t xml:space="preserve">Tabel </w:t>
            </w:r>
            <w:bookmarkStart w:id="38" w:name="t_project_waterbalans"/>
            <w:r>
              <w:t>IV.6</w:t>
            </w:r>
            <w:bookmarkEnd w:id="38"/>
          </w:p>
        </w:tc>
        <w:tc>
          <w:tcPr>
            <w:tcW w:w="567" w:type="dxa"/>
          </w:tcPr>
          <w:p w:rsidR="005F03D9" w:rsidRDefault="005F03D9" w:rsidP="00AF3F9E">
            <w:pPr>
              <w:pStyle w:val="normal0"/>
            </w:pPr>
          </w:p>
        </w:tc>
        <w:tc>
          <w:tcPr>
            <w:tcW w:w="6804" w:type="dxa"/>
          </w:tcPr>
          <w:p w:rsidR="005F03D9" w:rsidRDefault="005F03D9" w:rsidP="00AF3F9E">
            <w:pPr>
              <w:pStyle w:val="normal0"/>
            </w:pPr>
            <w:r>
              <w:t>Samenvattende waterbalans</w:t>
            </w:r>
          </w:p>
        </w:tc>
      </w:tr>
      <w:tr w:rsidR="005F03D9" w:rsidRPr="009066EF" w:rsidTr="001F7A49">
        <w:trPr>
          <w:cantSplit/>
        </w:trPr>
        <w:tc>
          <w:tcPr>
            <w:tcW w:w="1701" w:type="dxa"/>
          </w:tcPr>
          <w:p w:rsidR="005F03D9" w:rsidRDefault="005F03D9" w:rsidP="00AF3F9E">
            <w:pPr>
              <w:pStyle w:val="normal0"/>
            </w:pPr>
            <w:r>
              <w:t xml:space="preserve">Tabel </w:t>
            </w:r>
            <w:bookmarkStart w:id="39" w:name="t_project_energieverbruik"/>
            <w:r>
              <w:t>IV.7</w:t>
            </w:r>
            <w:bookmarkEnd w:id="39"/>
          </w:p>
        </w:tc>
        <w:tc>
          <w:tcPr>
            <w:tcW w:w="567" w:type="dxa"/>
          </w:tcPr>
          <w:p w:rsidR="005F03D9" w:rsidRDefault="005F03D9" w:rsidP="00AF3F9E">
            <w:pPr>
              <w:pStyle w:val="normal0"/>
            </w:pPr>
          </w:p>
        </w:tc>
        <w:tc>
          <w:tcPr>
            <w:tcW w:w="6804" w:type="dxa"/>
          </w:tcPr>
          <w:p w:rsidR="005F03D9" w:rsidRDefault="005F03D9" w:rsidP="00AF3F9E">
            <w:pPr>
              <w:pStyle w:val="normal0"/>
            </w:pPr>
            <w:r>
              <w:t>Samenvattende tabel energieverbruik</w:t>
            </w:r>
          </w:p>
        </w:tc>
      </w:tr>
      <w:tr w:rsidR="00C85612" w:rsidRPr="009066EF" w:rsidTr="001F7A49">
        <w:trPr>
          <w:cantSplit/>
        </w:trPr>
        <w:tc>
          <w:tcPr>
            <w:tcW w:w="1701" w:type="dxa"/>
          </w:tcPr>
          <w:p w:rsidR="00C85612" w:rsidRDefault="00C85612" w:rsidP="005F03D9">
            <w:r>
              <w:t xml:space="preserve">Tabel </w:t>
            </w:r>
            <w:bookmarkStart w:id="40" w:name="t_project_afvalstoffen"/>
            <w:r w:rsidR="005F03D9">
              <w:t>IV.8</w:t>
            </w:r>
            <w:bookmarkEnd w:id="40"/>
          </w:p>
        </w:tc>
        <w:tc>
          <w:tcPr>
            <w:tcW w:w="567" w:type="dxa"/>
          </w:tcPr>
          <w:p w:rsidR="00C85612" w:rsidRDefault="005F03D9" w:rsidP="00AF3F9E">
            <w:r>
              <w:sym w:font="Wingdings" w:char="F0DE"/>
            </w:r>
          </w:p>
        </w:tc>
        <w:tc>
          <w:tcPr>
            <w:tcW w:w="6804" w:type="dxa"/>
          </w:tcPr>
          <w:p w:rsidR="00C85612" w:rsidRDefault="005F03D9" w:rsidP="00AF3F9E">
            <w:r>
              <w:t>Overzicht afvalstoffen 200</w:t>
            </w:r>
            <w:r w:rsidR="00452917">
              <w:t>8-2010</w:t>
            </w:r>
          </w:p>
        </w:tc>
      </w:tr>
      <w:tr w:rsidR="00C85612" w:rsidRPr="009066EF" w:rsidTr="001F7A49">
        <w:trPr>
          <w:cantSplit/>
        </w:trPr>
        <w:tc>
          <w:tcPr>
            <w:tcW w:w="1701" w:type="dxa"/>
          </w:tcPr>
          <w:p w:rsidR="00C85612" w:rsidRDefault="00C85612" w:rsidP="00AF3F9E">
            <w:pPr>
              <w:pStyle w:val="normal0"/>
            </w:pPr>
            <w:r>
              <w:t xml:space="preserve">Tabel </w:t>
            </w:r>
            <w:bookmarkStart w:id="41" w:name="t_water_samenstelling_BA"/>
            <w:r w:rsidR="00C325A0">
              <w:fldChar w:fldCharType="begin"/>
            </w:r>
            <w:r>
              <w:instrText xml:space="preserve"> REF hfdst8 \n \h </w:instrText>
            </w:r>
            <w:r w:rsidR="00C325A0">
              <w:fldChar w:fldCharType="separate"/>
            </w:r>
            <w:r w:rsidR="008102D8">
              <w:t>VIII</w:t>
            </w:r>
            <w:r w:rsidR="00C325A0">
              <w:fldChar w:fldCharType="end"/>
            </w:r>
            <w:r>
              <w:t>.</w:t>
            </w:r>
            <w:r w:rsidR="00C325A0">
              <w:fldChar w:fldCharType="begin"/>
            </w:r>
            <w:r>
              <w:instrText xml:space="preserve"> REF _Ref290969263 \n \h </w:instrText>
            </w:r>
            <w:r w:rsidR="00C325A0">
              <w:fldChar w:fldCharType="separate"/>
            </w:r>
            <w:r w:rsidR="008102D8">
              <w:t>1</w:t>
            </w:r>
            <w:r w:rsidR="00C325A0">
              <w:fldChar w:fldCharType="end"/>
            </w:r>
            <w:r>
              <w:t>.</w:t>
            </w:r>
            <w:r w:rsidR="00C325A0">
              <w:fldChar w:fldCharType="begin"/>
            </w:r>
            <w:r w:rsidR="00F077DA">
              <w:instrText xml:space="preserve"> seq t\r1 </w:instrText>
            </w:r>
            <w:r w:rsidR="00C325A0">
              <w:fldChar w:fldCharType="separate"/>
            </w:r>
            <w:r w:rsidR="008102D8">
              <w:rPr>
                <w:noProof/>
              </w:rPr>
              <w:t>1</w:t>
            </w:r>
            <w:r w:rsidR="00C325A0">
              <w:fldChar w:fldCharType="end"/>
            </w:r>
            <w:bookmarkEnd w:id="41"/>
          </w:p>
        </w:tc>
        <w:tc>
          <w:tcPr>
            <w:tcW w:w="567" w:type="dxa"/>
          </w:tcPr>
          <w:p w:rsidR="00C85612" w:rsidRDefault="00C85612" w:rsidP="00AF3F9E">
            <w:pPr>
              <w:pStyle w:val="normal0"/>
            </w:pPr>
          </w:p>
        </w:tc>
        <w:tc>
          <w:tcPr>
            <w:tcW w:w="6804" w:type="dxa"/>
          </w:tcPr>
          <w:p w:rsidR="00C85612" w:rsidRPr="00907DD7" w:rsidRDefault="00C85612" w:rsidP="00AF3F9E">
            <w:pPr>
              <w:pStyle w:val="normal0"/>
            </w:pPr>
            <w:r>
              <w:t>Karakteristieken van het geloosde bedrijfsafvalwater</w:t>
            </w:r>
          </w:p>
        </w:tc>
      </w:tr>
      <w:tr w:rsidR="00C85612" w:rsidRPr="009066EF" w:rsidTr="001F7A49">
        <w:trPr>
          <w:cantSplit/>
        </w:trPr>
        <w:tc>
          <w:tcPr>
            <w:tcW w:w="1701" w:type="dxa"/>
          </w:tcPr>
          <w:p w:rsidR="00C85612" w:rsidRDefault="00C85612" w:rsidP="00AF3F9E">
            <w:pPr>
              <w:pStyle w:val="normal0"/>
            </w:pPr>
            <w:r>
              <w:t xml:space="preserve">Tabel </w:t>
            </w:r>
            <w:bookmarkStart w:id="42" w:name="t_water_impact_ref"/>
            <w:r w:rsidR="00C325A0">
              <w:fldChar w:fldCharType="begin"/>
            </w:r>
            <w:r>
              <w:instrText xml:space="preserve"> REF hfdst8 \n \h </w:instrText>
            </w:r>
            <w:r w:rsidR="00C325A0">
              <w:fldChar w:fldCharType="separate"/>
            </w:r>
            <w:r w:rsidR="008102D8">
              <w:t>VIII</w:t>
            </w:r>
            <w:r w:rsidR="00C325A0">
              <w:fldChar w:fldCharType="end"/>
            </w:r>
            <w:r>
              <w:t>.</w:t>
            </w:r>
            <w:r w:rsidR="00C325A0">
              <w:fldChar w:fldCharType="begin"/>
            </w:r>
            <w:r>
              <w:instrText xml:space="preserve"> REF _Ref290969263 \n \h </w:instrText>
            </w:r>
            <w:r w:rsidR="00C325A0">
              <w:fldChar w:fldCharType="separate"/>
            </w:r>
            <w:r w:rsidR="008102D8">
              <w:t>1</w:t>
            </w:r>
            <w:r w:rsidR="00C325A0">
              <w:fldChar w:fldCharType="end"/>
            </w:r>
            <w:r>
              <w:t>.</w:t>
            </w:r>
            <w:r w:rsidR="00C325A0">
              <w:fldChar w:fldCharType="begin"/>
            </w:r>
            <w:r w:rsidR="00F077DA">
              <w:instrText xml:space="preserve"> seq t </w:instrText>
            </w:r>
            <w:r w:rsidR="00C325A0">
              <w:fldChar w:fldCharType="separate"/>
            </w:r>
            <w:r w:rsidR="008102D8">
              <w:rPr>
                <w:noProof/>
              </w:rPr>
              <w:t>2</w:t>
            </w:r>
            <w:r w:rsidR="00C325A0">
              <w:fldChar w:fldCharType="end"/>
            </w:r>
            <w:bookmarkEnd w:id="42"/>
          </w:p>
        </w:tc>
        <w:tc>
          <w:tcPr>
            <w:tcW w:w="567" w:type="dxa"/>
          </w:tcPr>
          <w:p w:rsidR="00C85612" w:rsidRDefault="00BA7834" w:rsidP="00AF3F9E">
            <w:pPr>
              <w:pStyle w:val="normal0"/>
            </w:pPr>
            <w:r>
              <w:sym w:font="Wingdings" w:char="F0DE"/>
            </w:r>
          </w:p>
        </w:tc>
        <w:tc>
          <w:tcPr>
            <w:tcW w:w="6804" w:type="dxa"/>
          </w:tcPr>
          <w:p w:rsidR="00C85612" w:rsidRPr="00907DD7" w:rsidRDefault="00C85612" w:rsidP="00AF3F9E">
            <w:pPr>
              <w:pStyle w:val="normal0"/>
            </w:pPr>
            <w:r>
              <w:t xml:space="preserve">Impact lozing bedrijfsafvalwater - referentiesituatie </w:t>
            </w:r>
          </w:p>
        </w:tc>
      </w:tr>
      <w:tr w:rsidR="00C85612" w:rsidRPr="009066EF" w:rsidTr="001F7A49">
        <w:trPr>
          <w:cantSplit/>
        </w:trPr>
        <w:tc>
          <w:tcPr>
            <w:tcW w:w="1701" w:type="dxa"/>
          </w:tcPr>
          <w:p w:rsidR="00C85612" w:rsidRDefault="00C85612" w:rsidP="00AF3F9E">
            <w:pPr>
              <w:pStyle w:val="normal0"/>
            </w:pPr>
            <w:r>
              <w:t xml:space="preserve">Tabel </w:t>
            </w:r>
            <w:bookmarkStart w:id="43" w:name="t_water_lozingsvwdn"/>
            <w:r w:rsidR="00C325A0">
              <w:fldChar w:fldCharType="begin"/>
            </w:r>
            <w:r>
              <w:instrText xml:space="preserve"> REF hfdst8 \n \h </w:instrText>
            </w:r>
            <w:r w:rsidR="00C325A0">
              <w:fldChar w:fldCharType="separate"/>
            </w:r>
            <w:r w:rsidR="008102D8">
              <w:t>VIII</w:t>
            </w:r>
            <w:r w:rsidR="00C325A0">
              <w:fldChar w:fldCharType="end"/>
            </w:r>
            <w:r>
              <w:t>.</w:t>
            </w:r>
            <w:r w:rsidR="00C325A0">
              <w:fldChar w:fldCharType="begin"/>
            </w:r>
            <w:r>
              <w:instrText xml:space="preserve"> REF _Ref290969263 \n \h </w:instrText>
            </w:r>
            <w:r w:rsidR="00C325A0">
              <w:fldChar w:fldCharType="separate"/>
            </w:r>
            <w:r w:rsidR="008102D8">
              <w:t>1</w:t>
            </w:r>
            <w:r w:rsidR="00C325A0">
              <w:fldChar w:fldCharType="end"/>
            </w:r>
            <w:r>
              <w:t>.</w:t>
            </w:r>
            <w:r w:rsidR="00C325A0">
              <w:fldChar w:fldCharType="begin"/>
            </w:r>
            <w:r w:rsidR="00F077DA">
              <w:instrText xml:space="preserve"> seq t </w:instrText>
            </w:r>
            <w:r w:rsidR="00C325A0">
              <w:fldChar w:fldCharType="separate"/>
            </w:r>
            <w:r w:rsidR="008102D8">
              <w:rPr>
                <w:noProof/>
              </w:rPr>
              <w:t>3</w:t>
            </w:r>
            <w:r w:rsidR="00C325A0">
              <w:fldChar w:fldCharType="end"/>
            </w:r>
            <w:bookmarkEnd w:id="43"/>
          </w:p>
        </w:tc>
        <w:tc>
          <w:tcPr>
            <w:tcW w:w="567" w:type="dxa"/>
          </w:tcPr>
          <w:p w:rsidR="00C85612" w:rsidRDefault="00C85612" w:rsidP="00AF3F9E">
            <w:pPr>
              <w:pStyle w:val="normal0"/>
            </w:pPr>
          </w:p>
        </w:tc>
        <w:tc>
          <w:tcPr>
            <w:tcW w:w="6804" w:type="dxa"/>
          </w:tcPr>
          <w:p w:rsidR="00C85612" w:rsidRDefault="00C85612" w:rsidP="00AF3F9E">
            <w:pPr>
              <w:pStyle w:val="normal0"/>
            </w:pPr>
            <w:r>
              <w:t>Overzicht beoogde lozingsvoorwaarden</w:t>
            </w:r>
          </w:p>
        </w:tc>
      </w:tr>
      <w:tr w:rsidR="00C85612" w:rsidRPr="009066EF" w:rsidTr="001F7A49">
        <w:trPr>
          <w:cantSplit/>
        </w:trPr>
        <w:tc>
          <w:tcPr>
            <w:tcW w:w="1701" w:type="dxa"/>
          </w:tcPr>
          <w:p w:rsidR="00C85612" w:rsidRDefault="00C85612" w:rsidP="00AF3F9E">
            <w:pPr>
              <w:pStyle w:val="normal0"/>
            </w:pPr>
            <w:r>
              <w:t xml:space="preserve">Tabel </w:t>
            </w:r>
            <w:bookmarkStart w:id="44" w:name="t_water_impact_lozingsvwdn"/>
            <w:r w:rsidR="00C325A0">
              <w:fldChar w:fldCharType="begin"/>
            </w:r>
            <w:r>
              <w:instrText xml:space="preserve"> REF hfdst8 \n \h </w:instrText>
            </w:r>
            <w:r w:rsidR="00C325A0">
              <w:fldChar w:fldCharType="separate"/>
            </w:r>
            <w:r w:rsidR="008102D8">
              <w:t>VIII</w:t>
            </w:r>
            <w:r w:rsidR="00C325A0">
              <w:fldChar w:fldCharType="end"/>
            </w:r>
            <w:r>
              <w:t>.</w:t>
            </w:r>
            <w:r w:rsidR="00C325A0">
              <w:fldChar w:fldCharType="begin"/>
            </w:r>
            <w:r>
              <w:instrText xml:space="preserve"> REF _Ref290969263 \n \h </w:instrText>
            </w:r>
            <w:r w:rsidR="00C325A0">
              <w:fldChar w:fldCharType="separate"/>
            </w:r>
            <w:r w:rsidR="008102D8">
              <w:t>1</w:t>
            </w:r>
            <w:r w:rsidR="00C325A0">
              <w:fldChar w:fldCharType="end"/>
            </w:r>
            <w:r>
              <w:t>.</w:t>
            </w:r>
            <w:r w:rsidR="00C325A0">
              <w:fldChar w:fldCharType="begin"/>
            </w:r>
            <w:r w:rsidR="00F077DA">
              <w:instrText xml:space="preserve"> seq t </w:instrText>
            </w:r>
            <w:r w:rsidR="00C325A0">
              <w:fldChar w:fldCharType="separate"/>
            </w:r>
            <w:r w:rsidR="008102D8">
              <w:rPr>
                <w:noProof/>
              </w:rPr>
              <w:t>4</w:t>
            </w:r>
            <w:r w:rsidR="00C325A0">
              <w:fldChar w:fldCharType="end"/>
            </w:r>
            <w:bookmarkEnd w:id="44"/>
          </w:p>
        </w:tc>
        <w:tc>
          <w:tcPr>
            <w:tcW w:w="567" w:type="dxa"/>
          </w:tcPr>
          <w:p w:rsidR="00C85612" w:rsidRDefault="00C85612" w:rsidP="00AF3F9E">
            <w:pPr>
              <w:pStyle w:val="normal0"/>
            </w:pPr>
          </w:p>
        </w:tc>
        <w:tc>
          <w:tcPr>
            <w:tcW w:w="6804" w:type="dxa"/>
          </w:tcPr>
          <w:p w:rsidR="00C85612" w:rsidRDefault="00C85612" w:rsidP="00AF3F9E">
            <w:pPr>
              <w:pStyle w:val="normal0"/>
            </w:pPr>
            <w:r>
              <w:t>Worstcase impact lozing bedrijfsafvalwater</w:t>
            </w:r>
          </w:p>
        </w:tc>
      </w:tr>
      <w:tr w:rsidR="00C85612" w:rsidRPr="009066EF" w:rsidTr="001F7A49">
        <w:trPr>
          <w:cantSplit/>
        </w:trPr>
        <w:tc>
          <w:tcPr>
            <w:tcW w:w="1701" w:type="dxa"/>
          </w:tcPr>
          <w:p w:rsidR="00C85612" w:rsidRDefault="00C85612" w:rsidP="00F714E4">
            <w:pPr>
              <w:pStyle w:val="normal0"/>
            </w:pPr>
            <w:r>
              <w:t xml:space="preserve">Tabel </w:t>
            </w:r>
            <w:bookmarkStart w:id="45" w:name="t_lucht_beoordelingskader"/>
            <w:r w:rsidR="00C325A0">
              <w:fldChar w:fldCharType="begin"/>
            </w:r>
            <w:r w:rsidR="000C2C46">
              <w:instrText xml:space="preserve"> REF hfdst8 \n \h </w:instrText>
            </w:r>
            <w:r w:rsidR="00C325A0">
              <w:fldChar w:fldCharType="separate"/>
            </w:r>
            <w:r w:rsidR="008102D8">
              <w:t>VIII</w:t>
            </w:r>
            <w:r w:rsidR="00C325A0">
              <w:fldChar w:fldCharType="end"/>
            </w:r>
            <w:r>
              <w:t>.</w:t>
            </w:r>
            <w:r w:rsidR="003B3869">
              <w:t>2</w:t>
            </w:r>
            <w:r>
              <w:t>.</w:t>
            </w:r>
            <w:r w:rsidR="00F714E4">
              <w:t>1</w:t>
            </w:r>
            <w:bookmarkEnd w:id="45"/>
          </w:p>
        </w:tc>
        <w:tc>
          <w:tcPr>
            <w:tcW w:w="567" w:type="dxa"/>
          </w:tcPr>
          <w:p w:rsidR="00C85612" w:rsidRDefault="00C85612" w:rsidP="00AF3F9E">
            <w:pPr>
              <w:pStyle w:val="normal0"/>
            </w:pPr>
          </w:p>
        </w:tc>
        <w:tc>
          <w:tcPr>
            <w:tcW w:w="6804" w:type="dxa"/>
          </w:tcPr>
          <w:p w:rsidR="00C85612" w:rsidRDefault="003B3869" w:rsidP="00AF3F9E">
            <w:pPr>
              <w:pStyle w:val="normal0"/>
            </w:pPr>
            <w:r>
              <w:t>Beoordelingskader luchtemissies</w:t>
            </w:r>
          </w:p>
        </w:tc>
      </w:tr>
      <w:tr w:rsidR="003B3869" w:rsidRPr="009066EF" w:rsidTr="001F7A49">
        <w:trPr>
          <w:cantSplit/>
        </w:trPr>
        <w:tc>
          <w:tcPr>
            <w:tcW w:w="1701" w:type="dxa"/>
          </w:tcPr>
          <w:p w:rsidR="003B3869" w:rsidRDefault="003F37F1" w:rsidP="00F714E4">
            <w:pPr>
              <w:pStyle w:val="normal0"/>
            </w:pPr>
            <w:r>
              <w:t xml:space="preserve">Tabel </w:t>
            </w:r>
            <w:bookmarkStart w:id="46" w:name="t_lucht_kwalitatief_toetsingskader"/>
            <w:r w:rsidR="00C325A0">
              <w:fldChar w:fldCharType="begin"/>
            </w:r>
            <w:r>
              <w:instrText xml:space="preserve"> REF hfdst8 \n \h </w:instrText>
            </w:r>
            <w:r w:rsidR="00C325A0">
              <w:fldChar w:fldCharType="separate"/>
            </w:r>
            <w:r w:rsidR="008102D8">
              <w:t>VIII</w:t>
            </w:r>
            <w:r w:rsidR="00C325A0">
              <w:fldChar w:fldCharType="end"/>
            </w:r>
            <w:r>
              <w:t>.2.</w:t>
            </w:r>
            <w:r w:rsidR="00F714E4">
              <w:t>2</w:t>
            </w:r>
            <w:bookmarkEnd w:id="46"/>
          </w:p>
        </w:tc>
        <w:tc>
          <w:tcPr>
            <w:tcW w:w="567" w:type="dxa"/>
          </w:tcPr>
          <w:p w:rsidR="003B3869" w:rsidRDefault="003B3869" w:rsidP="00AF3F9E">
            <w:pPr>
              <w:pStyle w:val="normal0"/>
            </w:pPr>
          </w:p>
        </w:tc>
        <w:tc>
          <w:tcPr>
            <w:tcW w:w="6804" w:type="dxa"/>
          </w:tcPr>
          <w:p w:rsidR="003B3869" w:rsidRDefault="003B3869" w:rsidP="00AF3F9E">
            <w:pPr>
              <w:pStyle w:val="normal0"/>
            </w:pPr>
            <w:r>
              <w:t>Globaal kwalitatief toetsingskader impactebeoordeling luchtkwaliteit</w:t>
            </w:r>
          </w:p>
        </w:tc>
      </w:tr>
      <w:tr w:rsidR="003B3869" w:rsidRPr="009066EF" w:rsidTr="001F7A49">
        <w:trPr>
          <w:cantSplit/>
        </w:trPr>
        <w:tc>
          <w:tcPr>
            <w:tcW w:w="1701" w:type="dxa"/>
          </w:tcPr>
          <w:p w:rsidR="003B3869" w:rsidRDefault="003F37F1" w:rsidP="00F714E4">
            <w:pPr>
              <w:pStyle w:val="normal0"/>
            </w:pPr>
            <w:r>
              <w:t xml:space="preserve">Tabel </w:t>
            </w:r>
            <w:bookmarkStart w:id="47" w:name="t_lucht_kwalitatief_grenswaarden_kaderrl"/>
            <w:r w:rsidR="00C325A0">
              <w:fldChar w:fldCharType="begin"/>
            </w:r>
            <w:r>
              <w:instrText xml:space="preserve"> REF hfdst8 \n \h </w:instrText>
            </w:r>
            <w:r w:rsidR="00C325A0">
              <w:fldChar w:fldCharType="separate"/>
            </w:r>
            <w:r w:rsidR="008102D8">
              <w:t>VIII</w:t>
            </w:r>
            <w:r w:rsidR="00C325A0">
              <w:fldChar w:fldCharType="end"/>
            </w:r>
            <w:r>
              <w:t>.2.</w:t>
            </w:r>
            <w:r w:rsidR="00F714E4">
              <w:t>3</w:t>
            </w:r>
            <w:bookmarkEnd w:id="47"/>
          </w:p>
        </w:tc>
        <w:tc>
          <w:tcPr>
            <w:tcW w:w="567" w:type="dxa"/>
          </w:tcPr>
          <w:p w:rsidR="003B3869" w:rsidRDefault="003B3869" w:rsidP="00AF3F9E">
            <w:pPr>
              <w:pStyle w:val="normal0"/>
            </w:pPr>
          </w:p>
        </w:tc>
        <w:tc>
          <w:tcPr>
            <w:tcW w:w="6804" w:type="dxa"/>
          </w:tcPr>
          <w:p w:rsidR="003B3869" w:rsidRDefault="003B3869" w:rsidP="00AF3F9E">
            <w:pPr>
              <w:pStyle w:val="normal0"/>
            </w:pPr>
            <w:r>
              <w:t>Grenswaarden en richtwaarden overeenkomstig de Europese kaderrichtlijn lucht</w:t>
            </w:r>
          </w:p>
        </w:tc>
      </w:tr>
      <w:tr w:rsidR="003B3869" w:rsidRPr="009066EF" w:rsidTr="001F7A49">
        <w:trPr>
          <w:cantSplit/>
        </w:trPr>
        <w:tc>
          <w:tcPr>
            <w:tcW w:w="1701" w:type="dxa"/>
          </w:tcPr>
          <w:p w:rsidR="003B3869" w:rsidRDefault="003F37F1" w:rsidP="00F714E4">
            <w:pPr>
              <w:pStyle w:val="normal0"/>
            </w:pPr>
            <w:r>
              <w:t xml:space="preserve">Tabel </w:t>
            </w:r>
            <w:bookmarkStart w:id="48" w:name="t_lucht_kwalitatief_VLAREM"/>
            <w:r w:rsidR="00C325A0">
              <w:fldChar w:fldCharType="begin"/>
            </w:r>
            <w:r>
              <w:instrText xml:space="preserve"> REF hfdst8 \n \h </w:instrText>
            </w:r>
            <w:r w:rsidR="00C325A0">
              <w:fldChar w:fldCharType="separate"/>
            </w:r>
            <w:r w:rsidR="008102D8">
              <w:t>VIII</w:t>
            </w:r>
            <w:r w:rsidR="00C325A0">
              <w:fldChar w:fldCharType="end"/>
            </w:r>
            <w:r>
              <w:t>.2.</w:t>
            </w:r>
            <w:r w:rsidR="00F714E4">
              <w:t>4</w:t>
            </w:r>
            <w:bookmarkEnd w:id="48"/>
          </w:p>
        </w:tc>
        <w:tc>
          <w:tcPr>
            <w:tcW w:w="567" w:type="dxa"/>
          </w:tcPr>
          <w:p w:rsidR="003B3869" w:rsidRDefault="003B3869" w:rsidP="00AF3F9E">
            <w:pPr>
              <w:pStyle w:val="normal0"/>
            </w:pPr>
          </w:p>
        </w:tc>
        <w:tc>
          <w:tcPr>
            <w:tcW w:w="6804" w:type="dxa"/>
          </w:tcPr>
          <w:p w:rsidR="003B3869" w:rsidRDefault="003B3869" w:rsidP="00AF3F9E">
            <w:pPr>
              <w:pStyle w:val="normal0"/>
            </w:pPr>
            <w:r>
              <w:t>Grenswaarden specifieke VOS opgenomen in VLAREM-II</w:t>
            </w:r>
          </w:p>
        </w:tc>
      </w:tr>
      <w:tr w:rsidR="003B3869" w:rsidRPr="009066EF" w:rsidTr="001F7A49">
        <w:trPr>
          <w:cantSplit/>
        </w:trPr>
        <w:tc>
          <w:tcPr>
            <w:tcW w:w="1701" w:type="dxa"/>
          </w:tcPr>
          <w:p w:rsidR="003B3869" w:rsidRDefault="003F37F1" w:rsidP="00F714E4">
            <w:pPr>
              <w:pStyle w:val="normal0"/>
            </w:pPr>
            <w:r>
              <w:t xml:space="preserve">Tabel </w:t>
            </w:r>
            <w:bookmarkStart w:id="49" w:name="t_lucht_toetsingswaarden_VOS"/>
            <w:r w:rsidR="00C325A0">
              <w:fldChar w:fldCharType="begin"/>
            </w:r>
            <w:r>
              <w:instrText xml:space="preserve"> REF hfdst8 \n \h </w:instrText>
            </w:r>
            <w:r w:rsidR="00C325A0">
              <w:fldChar w:fldCharType="separate"/>
            </w:r>
            <w:r w:rsidR="008102D8">
              <w:t>VIII</w:t>
            </w:r>
            <w:r w:rsidR="00C325A0">
              <w:fldChar w:fldCharType="end"/>
            </w:r>
            <w:r>
              <w:t>.2.</w:t>
            </w:r>
            <w:r w:rsidR="00F714E4">
              <w:t>5</w:t>
            </w:r>
            <w:bookmarkEnd w:id="49"/>
          </w:p>
        </w:tc>
        <w:tc>
          <w:tcPr>
            <w:tcW w:w="567" w:type="dxa"/>
          </w:tcPr>
          <w:p w:rsidR="003B3869" w:rsidRDefault="003B3869" w:rsidP="00AF3F9E">
            <w:pPr>
              <w:pStyle w:val="normal0"/>
            </w:pPr>
          </w:p>
        </w:tc>
        <w:tc>
          <w:tcPr>
            <w:tcW w:w="6804" w:type="dxa"/>
          </w:tcPr>
          <w:p w:rsidR="003B3869" w:rsidRDefault="003B3869" w:rsidP="00AF3F9E">
            <w:pPr>
              <w:pStyle w:val="normal0"/>
            </w:pPr>
            <w:r>
              <w:t>Overzicht gehanteerde toetsingswaarden specifieke en totaal VOS</w:t>
            </w:r>
          </w:p>
        </w:tc>
      </w:tr>
      <w:tr w:rsidR="003B3869" w:rsidRPr="009066EF" w:rsidTr="001F7A49">
        <w:trPr>
          <w:cantSplit/>
        </w:trPr>
        <w:tc>
          <w:tcPr>
            <w:tcW w:w="1701" w:type="dxa"/>
          </w:tcPr>
          <w:p w:rsidR="003B3869" w:rsidRDefault="003F37F1" w:rsidP="00F714E4">
            <w:pPr>
              <w:pStyle w:val="normal0"/>
            </w:pPr>
            <w:r>
              <w:t xml:space="preserve">Tabel </w:t>
            </w:r>
            <w:bookmarkStart w:id="50" w:name="t_lucht_MKN_geur"/>
            <w:r w:rsidR="00C325A0">
              <w:fldChar w:fldCharType="begin"/>
            </w:r>
            <w:r>
              <w:instrText xml:space="preserve"> REF hfdst8 \n \h </w:instrText>
            </w:r>
            <w:r w:rsidR="00C325A0">
              <w:fldChar w:fldCharType="separate"/>
            </w:r>
            <w:r w:rsidR="008102D8">
              <w:t>VIII</w:t>
            </w:r>
            <w:r w:rsidR="00C325A0">
              <w:fldChar w:fldCharType="end"/>
            </w:r>
            <w:r>
              <w:t>.2.</w:t>
            </w:r>
            <w:r w:rsidR="00F714E4">
              <w:t>6</w:t>
            </w:r>
            <w:bookmarkEnd w:id="50"/>
          </w:p>
        </w:tc>
        <w:tc>
          <w:tcPr>
            <w:tcW w:w="567" w:type="dxa"/>
          </w:tcPr>
          <w:p w:rsidR="003B3869" w:rsidRDefault="003B3869" w:rsidP="00AF3F9E">
            <w:pPr>
              <w:pStyle w:val="normal0"/>
            </w:pPr>
          </w:p>
        </w:tc>
        <w:tc>
          <w:tcPr>
            <w:tcW w:w="6804" w:type="dxa"/>
          </w:tcPr>
          <w:p w:rsidR="003B3869" w:rsidRDefault="003B3869" w:rsidP="00AF3F9E">
            <w:pPr>
              <w:pStyle w:val="normal0"/>
            </w:pPr>
            <w:r>
              <w:t>Voorstel milieukwaliteitsnormen voor geur ifv type gebied</w:t>
            </w:r>
          </w:p>
        </w:tc>
      </w:tr>
      <w:tr w:rsidR="003B3869" w:rsidRPr="009066EF" w:rsidTr="001F7A49">
        <w:trPr>
          <w:cantSplit/>
        </w:trPr>
        <w:tc>
          <w:tcPr>
            <w:tcW w:w="1701" w:type="dxa"/>
          </w:tcPr>
          <w:p w:rsidR="003B3869" w:rsidRDefault="003B3869" w:rsidP="00F714E4">
            <w:pPr>
              <w:pStyle w:val="normal0"/>
            </w:pPr>
            <w:r>
              <w:t xml:space="preserve">Tabel </w:t>
            </w:r>
            <w:bookmarkStart w:id="51" w:name="t_lucht_luchtkwaliteit"/>
            <w:r w:rsidR="00C325A0">
              <w:fldChar w:fldCharType="begin"/>
            </w:r>
            <w:r>
              <w:instrText xml:space="preserve"> REF hfdst8 \n \h </w:instrText>
            </w:r>
            <w:r w:rsidR="00C325A0">
              <w:fldChar w:fldCharType="separate"/>
            </w:r>
            <w:r w:rsidR="008102D8">
              <w:t>VIII</w:t>
            </w:r>
            <w:r w:rsidR="00C325A0">
              <w:fldChar w:fldCharType="end"/>
            </w:r>
            <w:r>
              <w:t>.2.</w:t>
            </w:r>
            <w:r w:rsidR="00F714E4">
              <w:t>7</w:t>
            </w:r>
            <w:bookmarkEnd w:id="51"/>
          </w:p>
        </w:tc>
        <w:tc>
          <w:tcPr>
            <w:tcW w:w="567" w:type="dxa"/>
          </w:tcPr>
          <w:p w:rsidR="003B3869" w:rsidRDefault="003B3869" w:rsidP="003B3869">
            <w:pPr>
              <w:pStyle w:val="normal0"/>
            </w:pPr>
          </w:p>
        </w:tc>
        <w:tc>
          <w:tcPr>
            <w:tcW w:w="6804" w:type="dxa"/>
          </w:tcPr>
          <w:p w:rsidR="003B3869" w:rsidRDefault="003B3869" w:rsidP="003B3869">
            <w:pPr>
              <w:pStyle w:val="normal0"/>
            </w:pPr>
            <w:r>
              <w:t>Overzicht luchtkwaliteit m.b.t. algemene parameters in het studiegebied</w:t>
            </w:r>
          </w:p>
        </w:tc>
      </w:tr>
      <w:tr w:rsidR="003B3869" w:rsidRPr="003B3869" w:rsidTr="001F7A49">
        <w:trPr>
          <w:cantSplit/>
        </w:trPr>
        <w:tc>
          <w:tcPr>
            <w:tcW w:w="1701" w:type="dxa"/>
          </w:tcPr>
          <w:p w:rsidR="003B3869" w:rsidRDefault="003F37F1" w:rsidP="00F714E4">
            <w:pPr>
              <w:pStyle w:val="normal0"/>
            </w:pPr>
            <w:r>
              <w:t xml:space="preserve">Tabel </w:t>
            </w:r>
            <w:bookmarkStart w:id="52" w:name="t_lucht_gemod_waarden"/>
            <w:r w:rsidR="00C325A0">
              <w:fldChar w:fldCharType="begin"/>
            </w:r>
            <w:r>
              <w:instrText xml:space="preserve"> REF hfdst8 \n \h </w:instrText>
            </w:r>
            <w:r w:rsidR="00C325A0">
              <w:fldChar w:fldCharType="separate"/>
            </w:r>
            <w:r w:rsidR="008102D8">
              <w:t>VIII</w:t>
            </w:r>
            <w:r w:rsidR="00C325A0">
              <w:fldChar w:fldCharType="end"/>
            </w:r>
            <w:r>
              <w:t>.2.</w:t>
            </w:r>
            <w:r w:rsidR="00F714E4">
              <w:t>8</w:t>
            </w:r>
            <w:bookmarkEnd w:id="52"/>
          </w:p>
        </w:tc>
        <w:tc>
          <w:tcPr>
            <w:tcW w:w="567" w:type="dxa"/>
          </w:tcPr>
          <w:p w:rsidR="003B3869" w:rsidRDefault="003B3869" w:rsidP="003B3869">
            <w:pPr>
              <w:pStyle w:val="normal0"/>
            </w:pPr>
          </w:p>
        </w:tc>
        <w:tc>
          <w:tcPr>
            <w:tcW w:w="6804" w:type="dxa"/>
          </w:tcPr>
          <w:p w:rsidR="003B3869" w:rsidRDefault="003B3869" w:rsidP="003B3869">
            <w:pPr>
              <w:pStyle w:val="normal0"/>
            </w:pPr>
            <w:r>
              <w:t>Overzicht gemodelleerde waarden voor het studiegebied</w:t>
            </w:r>
          </w:p>
        </w:tc>
      </w:tr>
      <w:tr w:rsidR="003B3869" w:rsidRPr="003B3869" w:rsidTr="001F7A49">
        <w:trPr>
          <w:cantSplit/>
        </w:trPr>
        <w:tc>
          <w:tcPr>
            <w:tcW w:w="1701" w:type="dxa"/>
          </w:tcPr>
          <w:p w:rsidR="003B3869" w:rsidRDefault="003F37F1" w:rsidP="00F714E4">
            <w:pPr>
              <w:pStyle w:val="normal0"/>
            </w:pPr>
            <w:r>
              <w:t xml:space="preserve">Tabel </w:t>
            </w:r>
            <w:bookmarkStart w:id="53" w:name="t_lucht_jaargem_stations"/>
            <w:r w:rsidR="00C325A0">
              <w:fldChar w:fldCharType="begin"/>
            </w:r>
            <w:r>
              <w:instrText xml:space="preserve"> REF hfdst8 \n \h </w:instrText>
            </w:r>
            <w:r w:rsidR="00C325A0">
              <w:fldChar w:fldCharType="separate"/>
            </w:r>
            <w:r w:rsidR="008102D8">
              <w:t>VIII</w:t>
            </w:r>
            <w:r w:rsidR="00C325A0">
              <w:fldChar w:fldCharType="end"/>
            </w:r>
            <w:r>
              <w:t>.2.</w:t>
            </w:r>
            <w:r w:rsidR="00F714E4">
              <w:t>9</w:t>
            </w:r>
            <w:bookmarkEnd w:id="53"/>
          </w:p>
        </w:tc>
        <w:tc>
          <w:tcPr>
            <w:tcW w:w="567" w:type="dxa"/>
          </w:tcPr>
          <w:p w:rsidR="003B3869" w:rsidRDefault="003B3869" w:rsidP="003B3869">
            <w:pPr>
              <w:pStyle w:val="normal0"/>
            </w:pPr>
          </w:p>
        </w:tc>
        <w:tc>
          <w:tcPr>
            <w:tcW w:w="6804" w:type="dxa"/>
          </w:tcPr>
          <w:p w:rsidR="003B3869" w:rsidRDefault="003B3869" w:rsidP="003B3869">
            <w:pPr>
              <w:pStyle w:val="normal0"/>
            </w:pPr>
            <w:r>
              <w:t>Overzicht van de jaargemiddelde VOS in meetstations 50R833 en 50R830</w:t>
            </w:r>
          </w:p>
        </w:tc>
      </w:tr>
      <w:tr w:rsidR="00C85612" w:rsidRPr="009066EF" w:rsidTr="001F7A49">
        <w:trPr>
          <w:cantSplit/>
        </w:trPr>
        <w:tc>
          <w:tcPr>
            <w:tcW w:w="1701" w:type="dxa"/>
          </w:tcPr>
          <w:p w:rsidR="00C85612" w:rsidRDefault="00C85612" w:rsidP="00F714E4">
            <w:pPr>
              <w:pStyle w:val="normal0"/>
            </w:pPr>
            <w:r>
              <w:t xml:space="preserve">Tabel </w:t>
            </w:r>
            <w:bookmarkStart w:id="54" w:name="t_lucht_VOS_referentie"/>
            <w:r w:rsidR="00C325A0">
              <w:fldChar w:fldCharType="begin"/>
            </w:r>
            <w:r w:rsidR="000C2C46">
              <w:instrText xml:space="preserve"> REF hfdst8 \n \h </w:instrText>
            </w:r>
            <w:r w:rsidR="00C325A0">
              <w:fldChar w:fldCharType="separate"/>
            </w:r>
            <w:r w:rsidR="008102D8">
              <w:t>VIII</w:t>
            </w:r>
            <w:r w:rsidR="00C325A0">
              <w:fldChar w:fldCharType="end"/>
            </w:r>
            <w:r w:rsidR="000C2C46">
              <w:t>.</w:t>
            </w:r>
            <w:r w:rsidR="003B3869">
              <w:t>2</w:t>
            </w:r>
            <w:r w:rsidR="000C2C46">
              <w:t>.</w:t>
            </w:r>
            <w:r w:rsidR="00F714E4">
              <w:t>10</w:t>
            </w:r>
            <w:bookmarkEnd w:id="54"/>
          </w:p>
        </w:tc>
        <w:tc>
          <w:tcPr>
            <w:tcW w:w="567" w:type="dxa"/>
          </w:tcPr>
          <w:p w:rsidR="00C85612" w:rsidRDefault="00C85612" w:rsidP="00AF3F9E">
            <w:pPr>
              <w:pStyle w:val="normal0"/>
            </w:pPr>
          </w:p>
        </w:tc>
        <w:tc>
          <w:tcPr>
            <w:tcW w:w="6804" w:type="dxa"/>
          </w:tcPr>
          <w:p w:rsidR="00C85612" w:rsidRDefault="00C85612" w:rsidP="00AF3F9E">
            <w:r>
              <w:t>VOS-emissies referentiesituatie</w:t>
            </w:r>
          </w:p>
        </w:tc>
      </w:tr>
      <w:tr w:rsidR="003F37F1" w:rsidRPr="009066EF" w:rsidTr="001F7A49">
        <w:trPr>
          <w:cantSplit/>
        </w:trPr>
        <w:tc>
          <w:tcPr>
            <w:tcW w:w="1701" w:type="dxa"/>
          </w:tcPr>
          <w:p w:rsidR="003F37F1" w:rsidRPr="00BA7834" w:rsidRDefault="00CB3B91" w:rsidP="00F714E4">
            <w:pPr>
              <w:pStyle w:val="normal0"/>
            </w:pPr>
            <w:r w:rsidRPr="00CB3B91">
              <w:t xml:space="preserve">Tabel </w:t>
            </w:r>
            <w:bookmarkStart w:id="55" w:name="t_lucht_VOS_actueel"/>
            <w:r w:rsidR="00C325A0" w:rsidRPr="00CB3B91">
              <w:fldChar w:fldCharType="begin"/>
            </w:r>
            <w:r w:rsidRPr="00CB3B91">
              <w:instrText xml:space="preserve"> REF hfdst8 \n \h  \* MERGEFORMAT </w:instrText>
            </w:r>
            <w:r w:rsidR="00C325A0" w:rsidRPr="00CB3B91">
              <w:fldChar w:fldCharType="separate"/>
            </w:r>
            <w:r w:rsidR="008102D8">
              <w:t>VIII</w:t>
            </w:r>
            <w:r w:rsidR="00C325A0" w:rsidRPr="00CB3B91">
              <w:fldChar w:fldCharType="end"/>
            </w:r>
            <w:r w:rsidRPr="00CB3B91">
              <w:t>.2.11</w:t>
            </w:r>
            <w:bookmarkEnd w:id="55"/>
          </w:p>
        </w:tc>
        <w:tc>
          <w:tcPr>
            <w:tcW w:w="567" w:type="dxa"/>
          </w:tcPr>
          <w:p w:rsidR="003F37F1" w:rsidRPr="00BA7834" w:rsidRDefault="003F37F1" w:rsidP="00AF3F9E">
            <w:pPr>
              <w:pStyle w:val="normal0"/>
            </w:pPr>
          </w:p>
        </w:tc>
        <w:tc>
          <w:tcPr>
            <w:tcW w:w="6804" w:type="dxa"/>
          </w:tcPr>
          <w:p w:rsidR="003F37F1" w:rsidRPr="00BA7834" w:rsidRDefault="00CB3B91" w:rsidP="00AF3F9E">
            <w:r w:rsidRPr="00CB3B91">
              <w:t>VOS-emissies actuele situatie</w:t>
            </w:r>
          </w:p>
        </w:tc>
      </w:tr>
      <w:tr w:rsidR="00C85612" w:rsidRPr="009066EF" w:rsidTr="001F7A49">
        <w:trPr>
          <w:cantSplit/>
        </w:trPr>
        <w:tc>
          <w:tcPr>
            <w:tcW w:w="1701" w:type="dxa"/>
          </w:tcPr>
          <w:p w:rsidR="00C85612" w:rsidRDefault="00C85612" w:rsidP="00F714E4">
            <w:pPr>
              <w:pStyle w:val="normal0"/>
            </w:pPr>
            <w:r>
              <w:lastRenderedPageBreak/>
              <w:t xml:space="preserve">Tabel </w:t>
            </w:r>
            <w:bookmarkStart w:id="56" w:name="t_lucht_VOS_bijdrage_ref_act"/>
            <w:r w:rsidR="00C325A0">
              <w:fldChar w:fldCharType="begin"/>
            </w:r>
            <w:r w:rsidR="000C2C46">
              <w:instrText xml:space="preserve"> REF hfdst8 \n \h </w:instrText>
            </w:r>
            <w:r w:rsidR="00C325A0">
              <w:fldChar w:fldCharType="separate"/>
            </w:r>
            <w:r w:rsidR="008102D8">
              <w:t>VIII</w:t>
            </w:r>
            <w:r w:rsidR="00C325A0">
              <w:fldChar w:fldCharType="end"/>
            </w:r>
            <w:r w:rsidR="000C2C46">
              <w:t>.</w:t>
            </w:r>
            <w:r w:rsidR="003B3869">
              <w:t>2</w:t>
            </w:r>
            <w:r w:rsidR="000C2C46">
              <w:t>.</w:t>
            </w:r>
            <w:r w:rsidR="00F714E4">
              <w:t>12</w:t>
            </w:r>
            <w:bookmarkEnd w:id="56"/>
          </w:p>
        </w:tc>
        <w:tc>
          <w:tcPr>
            <w:tcW w:w="567" w:type="dxa"/>
          </w:tcPr>
          <w:p w:rsidR="00C85612" w:rsidRDefault="00C85612" w:rsidP="00AF3F9E">
            <w:pPr>
              <w:pStyle w:val="normal0"/>
            </w:pPr>
          </w:p>
        </w:tc>
        <w:tc>
          <w:tcPr>
            <w:tcW w:w="6804" w:type="dxa"/>
          </w:tcPr>
          <w:p w:rsidR="00C85612" w:rsidRDefault="00C85612" w:rsidP="003F37F1">
            <w:r>
              <w:t xml:space="preserve">Overzicht berekende bijdrage VOS t.h.v. </w:t>
            </w:r>
            <w:r w:rsidR="003F37F1">
              <w:t>verschillende beoordelingspunten</w:t>
            </w:r>
            <w:r>
              <w:t xml:space="preserve"> </w:t>
            </w:r>
            <w:r w:rsidR="003F37F1">
              <w:t>in referentiesituatie en actuele situatie</w:t>
            </w:r>
          </w:p>
        </w:tc>
      </w:tr>
      <w:tr w:rsidR="003F37F1" w:rsidRPr="009066EF" w:rsidTr="001F7A49">
        <w:trPr>
          <w:cantSplit/>
        </w:trPr>
        <w:tc>
          <w:tcPr>
            <w:tcW w:w="1701" w:type="dxa"/>
          </w:tcPr>
          <w:p w:rsidR="003F37F1" w:rsidRDefault="003F37F1" w:rsidP="00F714E4">
            <w:pPr>
              <w:pStyle w:val="normal0"/>
            </w:pPr>
            <w:r>
              <w:t xml:space="preserve">Tabel </w:t>
            </w:r>
            <w:bookmarkStart w:id="57" w:name="t_lucht_NOx_jaargem"/>
            <w:r w:rsidR="00C325A0">
              <w:fldChar w:fldCharType="begin"/>
            </w:r>
            <w:r>
              <w:instrText xml:space="preserve"> REF hfdst8 \n \h </w:instrText>
            </w:r>
            <w:r w:rsidR="00C325A0">
              <w:fldChar w:fldCharType="separate"/>
            </w:r>
            <w:r w:rsidR="008102D8">
              <w:t>VIII</w:t>
            </w:r>
            <w:r w:rsidR="00C325A0">
              <w:fldChar w:fldCharType="end"/>
            </w:r>
            <w:r>
              <w:t>.2.</w:t>
            </w:r>
            <w:r w:rsidR="00F714E4">
              <w:t>13</w:t>
            </w:r>
            <w:bookmarkEnd w:id="57"/>
          </w:p>
        </w:tc>
        <w:tc>
          <w:tcPr>
            <w:tcW w:w="567" w:type="dxa"/>
          </w:tcPr>
          <w:p w:rsidR="003F37F1" w:rsidRDefault="003F37F1" w:rsidP="00AF3F9E">
            <w:pPr>
              <w:pStyle w:val="normal0"/>
            </w:pPr>
          </w:p>
        </w:tc>
        <w:tc>
          <w:tcPr>
            <w:tcW w:w="6804" w:type="dxa"/>
          </w:tcPr>
          <w:p w:rsidR="003F37F1" w:rsidRDefault="003F37F1" w:rsidP="00AF3F9E">
            <w:pPr>
              <w:rPr>
                <w:lang w:val="nl-NL"/>
              </w:rPr>
            </w:pPr>
            <w:r>
              <w:rPr>
                <w:lang w:val="nl-NL"/>
              </w:rPr>
              <w:t>Jaargemiddelden NOx-bijdragen</w:t>
            </w:r>
          </w:p>
        </w:tc>
      </w:tr>
      <w:tr w:rsidR="003F37F1" w:rsidRPr="009066EF" w:rsidTr="001F7A49">
        <w:trPr>
          <w:cantSplit/>
        </w:trPr>
        <w:tc>
          <w:tcPr>
            <w:tcW w:w="1701" w:type="dxa"/>
          </w:tcPr>
          <w:p w:rsidR="003F37F1" w:rsidRDefault="003F37F1" w:rsidP="00F714E4">
            <w:pPr>
              <w:pStyle w:val="normal0"/>
            </w:pPr>
            <w:r>
              <w:t xml:space="preserve">Tabel </w:t>
            </w:r>
            <w:bookmarkStart w:id="58" w:name="t_lucht_VOS_extrapolatie"/>
            <w:r w:rsidR="00C325A0">
              <w:fldChar w:fldCharType="begin"/>
            </w:r>
            <w:r>
              <w:instrText xml:space="preserve"> REF hfdst8 \n \h </w:instrText>
            </w:r>
            <w:r w:rsidR="00C325A0">
              <w:fldChar w:fldCharType="separate"/>
            </w:r>
            <w:r w:rsidR="008102D8">
              <w:t>VIII</w:t>
            </w:r>
            <w:r w:rsidR="00C325A0">
              <w:fldChar w:fldCharType="end"/>
            </w:r>
            <w:r>
              <w:t>.2.</w:t>
            </w:r>
            <w:r w:rsidR="00F714E4">
              <w:t>14</w:t>
            </w:r>
            <w:bookmarkEnd w:id="58"/>
          </w:p>
        </w:tc>
        <w:tc>
          <w:tcPr>
            <w:tcW w:w="567" w:type="dxa"/>
          </w:tcPr>
          <w:p w:rsidR="003F37F1" w:rsidRDefault="003F37F1" w:rsidP="00AF3F9E">
            <w:pPr>
              <w:pStyle w:val="normal0"/>
            </w:pPr>
          </w:p>
        </w:tc>
        <w:tc>
          <w:tcPr>
            <w:tcW w:w="6804" w:type="dxa"/>
          </w:tcPr>
          <w:p w:rsidR="003F37F1" w:rsidRDefault="003F37F1" w:rsidP="00AF3F9E">
            <w:pPr>
              <w:rPr>
                <w:lang w:val="nl-NL"/>
              </w:rPr>
            </w:pPr>
            <w:r>
              <w:rPr>
                <w:lang w:val="nl-NL"/>
              </w:rPr>
              <w:t>Berekende toekomstige emissies uitgaande van extrapolatie van actuele emissies in het realistisch scenario</w:t>
            </w:r>
          </w:p>
        </w:tc>
      </w:tr>
      <w:tr w:rsidR="00C85612" w:rsidRPr="009066EF" w:rsidTr="001F7A49">
        <w:trPr>
          <w:cantSplit/>
        </w:trPr>
        <w:tc>
          <w:tcPr>
            <w:tcW w:w="1701" w:type="dxa"/>
          </w:tcPr>
          <w:p w:rsidR="00C85612" w:rsidRDefault="00C85612" w:rsidP="00F714E4">
            <w:pPr>
              <w:pStyle w:val="normal0"/>
            </w:pPr>
            <w:r>
              <w:t xml:space="preserve">Tabel </w:t>
            </w:r>
            <w:bookmarkStart w:id="59" w:name="t_lucht_VOS_max_berekend"/>
            <w:r w:rsidR="00C325A0">
              <w:fldChar w:fldCharType="begin"/>
            </w:r>
            <w:r w:rsidR="000C2C46">
              <w:instrText xml:space="preserve"> REF hfdst8 \n \h </w:instrText>
            </w:r>
            <w:r w:rsidR="00C325A0">
              <w:fldChar w:fldCharType="separate"/>
            </w:r>
            <w:r w:rsidR="008102D8">
              <w:t>VIII</w:t>
            </w:r>
            <w:r w:rsidR="00C325A0">
              <w:fldChar w:fldCharType="end"/>
            </w:r>
            <w:r w:rsidR="000C2C46">
              <w:t>.</w:t>
            </w:r>
            <w:r w:rsidR="003B3869">
              <w:t>2</w:t>
            </w:r>
            <w:r w:rsidR="000C2C46">
              <w:t>.</w:t>
            </w:r>
            <w:r w:rsidR="00F714E4">
              <w:t>15</w:t>
            </w:r>
            <w:bookmarkEnd w:id="59"/>
          </w:p>
        </w:tc>
        <w:tc>
          <w:tcPr>
            <w:tcW w:w="567" w:type="dxa"/>
          </w:tcPr>
          <w:p w:rsidR="00C85612" w:rsidRDefault="00C85612" w:rsidP="00AF3F9E">
            <w:pPr>
              <w:pStyle w:val="normal0"/>
            </w:pPr>
          </w:p>
        </w:tc>
        <w:tc>
          <w:tcPr>
            <w:tcW w:w="6804" w:type="dxa"/>
          </w:tcPr>
          <w:p w:rsidR="00C85612" w:rsidRDefault="00C85612" w:rsidP="00AF3F9E">
            <w:pPr>
              <w:rPr>
                <w:lang w:val="nl-NL"/>
              </w:rPr>
            </w:pPr>
            <w:r>
              <w:t>Berekende maximale emissie inzake VOS-totaal</w:t>
            </w:r>
          </w:p>
        </w:tc>
      </w:tr>
      <w:tr w:rsidR="00C85612" w:rsidRPr="009066EF" w:rsidTr="001F7A49">
        <w:trPr>
          <w:cantSplit/>
        </w:trPr>
        <w:tc>
          <w:tcPr>
            <w:tcW w:w="1701" w:type="dxa"/>
          </w:tcPr>
          <w:p w:rsidR="00C85612" w:rsidRDefault="00C85612" w:rsidP="00F714E4">
            <w:pPr>
              <w:pStyle w:val="normal0"/>
            </w:pPr>
            <w:r>
              <w:t>Tabel</w:t>
            </w:r>
            <w:r w:rsidR="00357D99">
              <w:t xml:space="preserve"> </w:t>
            </w:r>
            <w:bookmarkStart w:id="60" w:name="t_lucht_TCMR_max_berekend"/>
            <w:r w:rsidR="00C325A0">
              <w:fldChar w:fldCharType="begin"/>
            </w:r>
            <w:r w:rsidR="000C2C46">
              <w:instrText xml:space="preserve"> REF hfdst8 \n \h </w:instrText>
            </w:r>
            <w:r w:rsidR="001F7A49">
              <w:instrText xml:space="preserve"> \* MERGEFORMAT </w:instrText>
            </w:r>
            <w:r w:rsidR="00C325A0">
              <w:fldChar w:fldCharType="separate"/>
            </w:r>
            <w:r w:rsidR="008102D8">
              <w:t>VIII</w:t>
            </w:r>
            <w:r w:rsidR="00C325A0">
              <w:fldChar w:fldCharType="end"/>
            </w:r>
            <w:r w:rsidR="000C2C46">
              <w:t>.</w:t>
            </w:r>
            <w:r w:rsidR="003B3869">
              <w:t>2</w:t>
            </w:r>
            <w:r w:rsidR="000C2C46">
              <w:t>.</w:t>
            </w:r>
            <w:r w:rsidR="00F714E4">
              <w:t>16</w:t>
            </w:r>
            <w:bookmarkEnd w:id="60"/>
          </w:p>
        </w:tc>
        <w:tc>
          <w:tcPr>
            <w:tcW w:w="567" w:type="dxa"/>
          </w:tcPr>
          <w:p w:rsidR="00C85612" w:rsidRDefault="00C85612" w:rsidP="00AF3F9E">
            <w:pPr>
              <w:pStyle w:val="normal0"/>
            </w:pPr>
          </w:p>
        </w:tc>
        <w:tc>
          <w:tcPr>
            <w:tcW w:w="6804" w:type="dxa"/>
          </w:tcPr>
          <w:p w:rsidR="00C85612" w:rsidRPr="001F7A49" w:rsidRDefault="00007C7D" w:rsidP="00AF3F9E">
            <w:r>
              <w:t>Berekende maximale emissie inzake giftige en carcinogene producten</w:t>
            </w:r>
          </w:p>
        </w:tc>
      </w:tr>
      <w:tr w:rsidR="00C85612" w:rsidRPr="009066EF" w:rsidTr="001F7A49">
        <w:trPr>
          <w:cantSplit/>
        </w:trPr>
        <w:tc>
          <w:tcPr>
            <w:tcW w:w="1701" w:type="dxa"/>
          </w:tcPr>
          <w:p w:rsidR="00C85612" w:rsidRDefault="00C85612" w:rsidP="00F714E4">
            <w:pPr>
              <w:pStyle w:val="normal0"/>
            </w:pPr>
            <w:r>
              <w:t xml:space="preserve">Tabel </w:t>
            </w:r>
            <w:bookmarkStart w:id="61" w:name="t_lucht_ethylacrylaat_max_berekend"/>
            <w:r w:rsidR="00C325A0">
              <w:fldChar w:fldCharType="begin"/>
            </w:r>
            <w:r w:rsidR="000C2C46">
              <w:instrText xml:space="preserve"> REF hfdst8 \n \h </w:instrText>
            </w:r>
            <w:r w:rsidR="001F7A49">
              <w:instrText xml:space="preserve"> \* MERGEFORMAT </w:instrText>
            </w:r>
            <w:r w:rsidR="00C325A0">
              <w:fldChar w:fldCharType="separate"/>
            </w:r>
            <w:r w:rsidR="008102D8">
              <w:t>VIII</w:t>
            </w:r>
            <w:r w:rsidR="00C325A0">
              <w:fldChar w:fldCharType="end"/>
            </w:r>
            <w:r w:rsidR="000C2C46">
              <w:t>.</w:t>
            </w:r>
            <w:r w:rsidR="003B3869">
              <w:t>2</w:t>
            </w:r>
            <w:r w:rsidR="000C2C46">
              <w:t>.</w:t>
            </w:r>
            <w:r w:rsidR="00F714E4">
              <w:t>17</w:t>
            </w:r>
            <w:bookmarkEnd w:id="61"/>
          </w:p>
        </w:tc>
        <w:tc>
          <w:tcPr>
            <w:tcW w:w="567" w:type="dxa"/>
          </w:tcPr>
          <w:p w:rsidR="00C85612" w:rsidRDefault="00C85612" w:rsidP="00AF3F9E">
            <w:pPr>
              <w:pStyle w:val="normal0"/>
            </w:pPr>
          </w:p>
        </w:tc>
        <w:tc>
          <w:tcPr>
            <w:tcW w:w="6804" w:type="dxa"/>
          </w:tcPr>
          <w:p w:rsidR="00C85612" w:rsidRPr="001F7A49" w:rsidRDefault="00007C7D" w:rsidP="00AF3F9E">
            <w:r>
              <w:t>Berekende maximale emissie ethylacrylaat</w:t>
            </w:r>
          </w:p>
        </w:tc>
      </w:tr>
      <w:tr w:rsidR="00C85612" w:rsidRPr="009066EF" w:rsidTr="001F7A49">
        <w:trPr>
          <w:cantSplit/>
        </w:trPr>
        <w:tc>
          <w:tcPr>
            <w:tcW w:w="1701" w:type="dxa"/>
          </w:tcPr>
          <w:p w:rsidR="00C85612" w:rsidRDefault="00C85612" w:rsidP="00414EC8">
            <w:pPr>
              <w:pStyle w:val="normal0"/>
            </w:pPr>
            <w:r>
              <w:t xml:space="preserve">Tabel </w:t>
            </w:r>
            <w:bookmarkStart w:id="62" w:name="t_lucht_VOS_bijdrage_toekrefact_real"/>
            <w:r w:rsidR="00C325A0">
              <w:fldChar w:fldCharType="begin"/>
            </w:r>
            <w:r w:rsidR="000C2C46">
              <w:instrText xml:space="preserve"> REF hfdst8 \n \h </w:instrText>
            </w:r>
            <w:r w:rsidR="001F7A49">
              <w:instrText xml:space="preserve"> \* MERGEFORMAT </w:instrText>
            </w:r>
            <w:r w:rsidR="00C325A0">
              <w:fldChar w:fldCharType="separate"/>
            </w:r>
            <w:r w:rsidR="008102D8">
              <w:t>VIII</w:t>
            </w:r>
            <w:r w:rsidR="00C325A0">
              <w:fldChar w:fldCharType="end"/>
            </w:r>
            <w:r w:rsidR="000C2C46">
              <w:t>.</w:t>
            </w:r>
            <w:r w:rsidR="003B3869">
              <w:t>2</w:t>
            </w:r>
            <w:r w:rsidR="00414EC8">
              <w:t>.18.A</w:t>
            </w:r>
            <w:bookmarkEnd w:id="62"/>
          </w:p>
        </w:tc>
        <w:tc>
          <w:tcPr>
            <w:tcW w:w="567" w:type="dxa"/>
          </w:tcPr>
          <w:p w:rsidR="00C85612" w:rsidRDefault="00C85612" w:rsidP="00AF3F9E">
            <w:pPr>
              <w:pStyle w:val="normal0"/>
            </w:pPr>
          </w:p>
        </w:tc>
        <w:tc>
          <w:tcPr>
            <w:tcW w:w="6804" w:type="dxa"/>
          </w:tcPr>
          <w:p w:rsidR="00C85612" w:rsidRPr="001F7A49" w:rsidRDefault="00007C7D" w:rsidP="003F37F1">
            <w:r>
              <w:t>Overzicht berekende bijdrage VOS t.h.v. verschillende beoordelingspunten in de toekomstige situatie, referentiesituatie en actuele situatie in het realistisch scenario</w:t>
            </w:r>
          </w:p>
        </w:tc>
      </w:tr>
      <w:tr w:rsidR="00512118" w:rsidRPr="009066EF" w:rsidTr="001F7A49">
        <w:trPr>
          <w:cantSplit/>
        </w:trPr>
        <w:tc>
          <w:tcPr>
            <w:tcW w:w="1701" w:type="dxa"/>
          </w:tcPr>
          <w:p w:rsidR="00512118" w:rsidRDefault="00512118" w:rsidP="00512118">
            <w:pPr>
              <w:pStyle w:val="normal0"/>
            </w:pPr>
            <w:r>
              <w:t xml:space="preserve">Tabel </w:t>
            </w:r>
            <w:bookmarkStart w:id="63" w:name="t_lucht_VOS_bijdrage_toekrefact_real_woo"/>
            <w:r w:rsidR="00C325A0">
              <w:fldChar w:fldCharType="begin"/>
            </w:r>
            <w:r>
              <w:instrText xml:space="preserve"> REF hfdst8 \n \h </w:instrText>
            </w:r>
            <w:r w:rsidR="001F7A49">
              <w:instrText xml:space="preserve"> \* MERGEFORMAT </w:instrText>
            </w:r>
            <w:r w:rsidR="00C325A0">
              <w:fldChar w:fldCharType="separate"/>
            </w:r>
            <w:r w:rsidR="008102D8">
              <w:t>VIII</w:t>
            </w:r>
            <w:r w:rsidR="00C325A0">
              <w:fldChar w:fldCharType="end"/>
            </w:r>
            <w:r>
              <w:t>.2.18.B</w:t>
            </w:r>
            <w:bookmarkEnd w:id="63"/>
          </w:p>
        </w:tc>
        <w:tc>
          <w:tcPr>
            <w:tcW w:w="567" w:type="dxa"/>
          </w:tcPr>
          <w:p w:rsidR="00512118" w:rsidRDefault="00512118" w:rsidP="00AF3F9E">
            <w:pPr>
              <w:pStyle w:val="normal0"/>
            </w:pPr>
          </w:p>
        </w:tc>
        <w:tc>
          <w:tcPr>
            <w:tcW w:w="6804" w:type="dxa"/>
          </w:tcPr>
          <w:p w:rsidR="00512118" w:rsidRPr="001F7A49" w:rsidRDefault="00007C7D" w:rsidP="003F37F1">
            <w:r>
              <w:t>Overzicht berekende bijdrage VOS t.h.v. verschillende beoordelingspunten in de toekomstige situatie, referentiesituatie en actuele situatie in het realistisch scenario</w:t>
            </w:r>
          </w:p>
        </w:tc>
      </w:tr>
      <w:tr w:rsidR="003F37F1" w:rsidRPr="009066EF" w:rsidTr="001F7A49">
        <w:trPr>
          <w:cantSplit/>
        </w:trPr>
        <w:tc>
          <w:tcPr>
            <w:tcW w:w="1701" w:type="dxa"/>
          </w:tcPr>
          <w:p w:rsidR="003F37F1" w:rsidRDefault="003F37F1" w:rsidP="00512118">
            <w:pPr>
              <w:pStyle w:val="normal0"/>
            </w:pPr>
            <w:r>
              <w:t xml:space="preserve">Tabel </w:t>
            </w:r>
            <w:bookmarkStart w:id="64" w:name="t_lucht_VOS_bijdrage_toekrefact_max"/>
            <w:r w:rsidR="00C325A0">
              <w:fldChar w:fldCharType="begin"/>
            </w:r>
            <w:r>
              <w:instrText xml:space="preserve"> REF hfdst8 \n \h </w:instrText>
            </w:r>
            <w:r w:rsidR="001F7A49">
              <w:instrText xml:space="preserve"> \* MERGEFORMAT </w:instrText>
            </w:r>
            <w:r w:rsidR="00C325A0">
              <w:fldChar w:fldCharType="separate"/>
            </w:r>
            <w:r w:rsidR="008102D8">
              <w:t>VIII</w:t>
            </w:r>
            <w:r w:rsidR="00C325A0">
              <w:fldChar w:fldCharType="end"/>
            </w:r>
            <w:r>
              <w:t>.2.</w:t>
            </w:r>
            <w:r w:rsidR="00512118">
              <w:t>19.A</w:t>
            </w:r>
            <w:bookmarkEnd w:id="64"/>
          </w:p>
        </w:tc>
        <w:tc>
          <w:tcPr>
            <w:tcW w:w="567" w:type="dxa"/>
          </w:tcPr>
          <w:p w:rsidR="003F37F1" w:rsidRDefault="003F37F1" w:rsidP="00AF3F9E">
            <w:pPr>
              <w:pStyle w:val="normal0"/>
            </w:pPr>
          </w:p>
        </w:tc>
        <w:tc>
          <w:tcPr>
            <w:tcW w:w="6804" w:type="dxa"/>
          </w:tcPr>
          <w:p w:rsidR="003F37F1" w:rsidRPr="001F7A49" w:rsidRDefault="00007C7D" w:rsidP="003F37F1">
            <w:r>
              <w:t>Overzicht berekende bijdrage VOS t.h.v. verschillende beoordelingspunten in de toekomstige situatie, referentiesituatie en actuele situatie in het maximalistisch scenario</w:t>
            </w:r>
          </w:p>
        </w:tc>
      </w:tr>
      <w:tr w:rsidR="00512118" w:rsidRPr="009066EF" w:rsidTr="001F7A49">
        <w:trPr>
          <w:cantSplit/>
        </w:trPr>
        <w:tc>
          <w:tcPr>
            <w:tcW w:w="1701" w:type="dxa"/>
          </w:tcPr>
          <w:p w:rsidR="00512118" w:rsidRDefault="00512118" w:rsidP="00512118">
            <w:pPr>
              <w:pStyle w:val="normal0"/>
            </w:pPr>
            <w:r>
              <w:t xml:space="preserve">Tabel </w:t>
            </w:r>
            <w:bookmarkStart w:id="65" w:name="t_lucht_VOS_bijdrage_toekrefact_max_woon"/>
            <w:r w:rsidR="00C325A0">
              <w:fldChar w:fldCharType="begin"/>
            </w:r>
            <w:r>
              <w:instrText xml:space="preserve"> REF hfdst8 \n \h </w:instrText>
            </w:r>
            <w:r w:rsidR="001F7A49">
              <w:instrText xml:space="preserve"> \* MERGEFORMAT </w:instrText>
            </w:r>
            <w:r w:rsidR="00C325A0">
              <w:fldChar w:fldCharType="separate"/>
            </w:r>
            <w:r w:rsidR="008102D8">
              <w:t>VIII</w:t>
            </w:r>
            <w:r w:rsidR="00C325A0">
              <w:fldChar w:fldCharType="end"/>
            </w:r>
            <w:r>
              <w:t>.2.19.B</w:t>
            </w:r>
            <w:bookmarkEnd w:id="65"/>
          </w:p>
        </w:tc>
        <w:tc>
          <w:tcPr>
            <w:tcW w:w="567" w:type="dxa"/>
          </w:tcPr>
          <w:p w:rsidR="00512118" w:rsidRDefault="00512118" w:rsidP="00AF3F9E">
            <w:pPr>
              <w:pStyle w:val="normal0"/>
            </w:pPr>
          </w:p>
        </w:tc>
        <w:tc>
          <w:tcPr>
            <w:tcW w:w="6804" w:type="dxa"/>
          </w:tcPr>
          <w:p w:rsidR="00512118" w:rsidRPr="001F7A49" w:rsidRDefault="00007C7D" w:rsidP="003F37F1">
            <w:r>
              <w:t>Overzicht berekende totale bijdrage in µg/m³ VOS t.h.v. verschillende beoordelingspunten nabij de dichtst bijgelegen woonzones  bij het maximalistisch VOS scenario in de toekomstige situatie (fase 2)</w:t>
            </w:r>
          </w:p>
        </w:tc>
      </w:tr>
      <w:tr w:rsidR="00C85612" w:rsidRPr="009066EF" w:rsidTr="001F7A49">
        <w:trPr>
          <w:cantSplit/>
        </w:trPr>
        <w:tc>
          <w:tcPr>
            <w:tcW w:w="1701" w:type="dxa"/>
          </w:tcPr>
          <w:p w:rsidR="00C85612" w:rsidRDefault="00C85612" w:rsidP="00F714E4">
            <w:pPr>
              <w:pStyle w:val="normal0"/>
            </w:pPr>
            <w:r>
              <w:t xml:space="preserve">Tabel </w:t>
            </w:r>
            <w:bookmarkStart w:id="66" w:name="t_lucht_TCMR_maximalistisch"/>
            <w:r w:rsidR="00C325A0">
              <w:fldChar w:fldCharType="begin"/>
            </w:r>
            <w:r w:rsidR="000C2C46">
              <w:instrText xml:space="preserve"> REF hfdst8 \n \h </w:instrText>
            </w:r>
            <w:r w:rsidR="001F7A49">
              <w:instrText xml:space="preserve"> \* MERGEFORMAT </w:instrText>
            </w:r>
            <w:r w:rsidR="00C325A0">
              <w:fldChar w:fldCharType="separate"/>
            </w:r>
            <w:r w:rsidR="008102D8">
              <w:t>VIII</w:t>
            </w:r>
            <w:r w:rsidR="00C325A0">
              <w:fldChar w:fldCharType="end"/>
            </w:r>
            <w:r w:rsidR="000C2C46">
              <w:t>.</w:t>
            </w:r>
            <w:r w:rsidR="003B3869">
              <w:t>2</w:t>
            </w:r>
            <w:r w:rsidR="000C2C46">
              <w:t>.</w:t>
            </w:r>
            <w:r w:rsidR="00F714E4">
              <w:t>20</w:t>
            </w:r>
            <w:bookmarkEnd w:id="66"/>
            <w:r w:rsidR="00D729DF">
              <w:t>.A</w:t>
            </w:r>
          </w:p>
        </w:tc>
        <w:tc>
          <w:tcPr>
            <w:tcW w:w="567" w:type="dxa"/>
          </w:tcPr>
          <w:p w:rsidR="00C85612" w:rsidRDefault="00C85612" w:rsidP="00AF3F9E">
            <w:pPr>
              <w:pStyle w:val="normal0"/>
            </w:pPr>
          </w:p>
        </w:tc>
        <w:tc>
          <w:tcPr>
            <w:tcW w:w="6804" w:type="dxa"/>
          </w:tcPr>
          <w:p w:rsidR="00C85612" w:rsidRPr="001F7A49" w:rsidRDefault="00F077DA" w:rsidP="00AF3F9E">
            <w:r w:rsidRPr="00F077DA">
              <w:rPr>
                <w:rFonts w:asciiTheme="minorHAnsi" w:hAnsiTheme="minorHAnsi" w:cstheme="minorHAnsi"/>
              </w:rPr>
              <w:t xml:space="preserve">Overzicht berekende bijdrage </w:t>
            </w:r>
            <w:r w:rsidR="00007C7D">
              <w:t xml:space="preserve">in µg/m³ </w:t>
            </w:r>
            <w:r w:rsidRPr="00F077DA">
              <w:rPr>
                <w:rFonts w:asciiTheme="minorHAnsi" w:hAnsiTheme="minorHAnsi" w:cstheme="minorHAnsi"/>
              </w:rPr>
              <w:t>giftige en carcinogene producten t.h.v. verschillende beoordelingspunten (</w:t>
            </w:r>
            <w:r w:rsidRPr="00F077DA">
              <w:rPr>
                <w:rFonts w:asciiTheme="minorHAnsi" w:hAnsiTheme="minorHAnsi" w:cstheme="minorHAnsi"/>
                <w:lang w:val="nl-NL" w:eastAsia="nl-NL"/>
              </w:rPr>
              <w:t>referentie situatie)</w:t>
            </w:r>
            <w:r w:rsidRPr="00F077DA">
              <w:rPr>
                <w:rFonts w:asciiTheme="minorHAnsi" w:hAnsiTheme="minorHAnsi" w:cstheme="minorHAnsi"/>
              </w:rPr>
              <w:t xml:space="preserve"> in industriegebied/onmiddellijke omgeving van het bedrijf,</w:t>
            </w:r>
            <w:r w:rsidRPr="00F077DA">
              <w:rPr>
                <w:rFonts w:asciiTheme="minorHAnsi" w:hAnsiTheme="minorHAnsi" w:cstheme="minorHAnsi"/>
                <w:lang w:val="nl-NL" w:eastAsia="nl-NL"/>
              </w:rPr>
              <w:t xml:space="preserve"> met opgave van de in rekening gebrachte opslaghoeveelheden per stof</w:t>
            </w:r>
          </w:p>
        </w:tc>
      </w:tr>
      <w:tr w:rsidR="00A665B6" w:rsidRPr="009066EF" w:rsidTr="001F7A49">
        <w:trPr>
          <w:cantSplit/>
        </w:trPr>
        <w:tc>
          <w:tcPr>
            <w:tcW w:w="1701" w:type="dxa"/>
          </w:tcPr>
          <w:p w:rsidR="00A665B6" w:rsidRDefault="00A665B6" w:rsidP="00F714E4">
            <w:pPr>
              <w:pStyle w:val="normal0"/>
            </w:pPr>
            <w:r>
              <w:t xml:space="preserve">Tabel </w:t>
            </w:r>
            <w:fldSimple w:instr=" REF hfdst8 \n \h  \* MERGEFORMAT ">
              <w:r w:rsidR="008102D8">
                <w:t>VIII</w:t>
              </w:r>
            </w:fldSimple>
            <w:r>
              <w:t>.2.20.B</w:t>
            </w:r>
          </w:p>
        </w:tc>
        <w:tc>
          <w:tcPr>
            <w:tcW w:w="567" w:type="dxa"/>
          </w:tcPr>
          <w:p w:rsidR="00A665B6" w:rsidRDefault="00A665B6" w:rsidP="00AF3F9E">
            <w:pPr>
              <w:pStyle w:val="normal0"/>
            </w:pPr>
          </w:p>
        </w:tc>
        <w:tc>
          <w:tcPr>
            <w:tcW w:w="6804" w:type="dxa"/>
          </w:tcPr>
          <w:p w:rsidR="00A665B6" w:rsidRPr="001F7A49" w:rsidRDefault="00F077DA" w:rsidP="00AF3F9E">
            <w:r w:rsidRPr="00F077DA">
              <w:rPr>
                <w:rFonts w:asciiTheme="minorHAnsi" w:hAnsiTheme="minorHAnsi" w:cstheme="minorHAnsi"/>
              </w:rPr>
              <w:t xml:space="preserve">Overzicht berekende totale bijdrage </w:t>
            </w:r>
            <w:r w:rsidR="00007C7D">
              <w:t xml:space="preserve">in µg/m³ </w:t>
            </w:r>
            <w:r w:rsidRPr="00F077DA">
              <w:rPr>
                <w:rFonts w:asciiTheme="minorHAnsi" w:hAnsiTheme="minorHAnsi" w:cstheme="minorHAnsi"/>
              </w:rPr>
              <w:t>giftige en carcinogene producten t.h.v. verschillende beoordelingspunten in industriegebied/onmiddellijke omgeving van het bedrijf (</w:t>
            </w:r>
            <w:r w:rsidRPr="00F077DA">
              <w:rPr>
                <w:rFonts w:asciiTheme="minorHAnsi" w:hAnsiTheme="minorHAnsi" w:cstheme="minorHAnsi"/>
                <w:lang w:val="nl-NL" w:eastAsia="nl-NL"/>
              </w:rPr>
              <w:t>toekomstige situatie, fase 1 en 2)</w:t>
            </w:r>
          </w:p>
        </w:tc>
      </w:tr>
      <w:tr w:rsidR="00A665B6" w:rsidRPr="009066EF" w:rsidTr="001F7A49">
        <w:trPr>
          <w:cantSplit/>
        </w:trPr>
        <w:tc>
          <w:tcPr>
            <w:tcW w:w="1701" w:type="dxa"/>
          </w:tcPr>
          <w:p w:rsidR="00A665B6" w:rsidRDefault="00A665B6" w:rsidP="00F714E4">
            <w:pPr>
              <w:pStyle w:val="normal0"/>
            </w:pPr>
            <w:r>
              <w:t xml:space="preserve">Tabel </w:t>
            </w:r>
            <w:fldSimple w:instr=" REF hfdst8 \n \h  \* MERGEFORMAT ">
              <w:r w:rsidR="008102D8">
                <w:t>VIII</w:t>
              </w:r>
            </w:fldSimple>
            <w:r>
              <w:t>.2.20.C</w:t>
            </w:r>
          </w:p>
        </w:tc>
        <w:tc>
          <w:tcPr>
            <w:tcW w:w="567" w:type="dxa"/>
          </w:tcPr>
          <w:p w:rsidR="00A665B6" w:rsidRDefault="00A665B6" w:rsidP="00AF3F9E">
            <w:pPr>
              <w:pStyle w:val="normal0"/>
            </w:pPr>
          </w:p>
        </w:tc>
        <w:tc>
          <w:tcPr>
            <w:tcW w:w="6804" w:type="dxa"/>
          </w:tcPr>
          <w:p w:rsidR="00A665B6" w:rsidRPr="001F7A49" w:rsidRDefault="00F077DA" w:rsidP="00AF3F9E">
            <w:r w:rsidRPr="00F077DA">
              <w:rPr>
                <w:rFonts w:asciiTheme="minorHAnsi" w:hAnsiTheme="minorHAnsi" w:cstheme="minorHAnsi"/>
              </w:rPr>
              <w:t xml:space="preserve">Overzicht berekende extra bijdrage te wijten aan uitbreiding </w:t>
            </w:r>
            <w:r w:rsidR="00007C7D">
              <w:t xml:space="preserve">in µg/m³ </w:t>
            </w:r>
            <w:r w:rsidRPr="00F077DA">
              <w:rPr>
                <w:rFonts w:asciiTheme="minorHAnsi" w:hAnsiTheme="minorHAnsi" w:cstheme="minorHAnsi"/>
              </w:rPr>
              <w:t>giftige en carcinogene producten t.h.v. verschillende beoordelingspunten in industriegebied/onmiddellijke omgeving van het bedrijf (</w:t>
            </w:r>
            <w:r w:rsidRPr="00F077DA">
              <w:rPr>
                <w:rFonts w:asciiTheme="minorHAnsi" w:hAnsiTheme="minorHAnsi" w:cstheme="minorHAnsi"/>
                <w:lang w:val="nl-NL" w:eastAsia="nl-NL"/>
              </w:rPr>
              <w:t>Verschil toekomstige situatie fase 1 of 2 min referentie situatie)</w:t>
            </w:r>
          </w:p>
        </w:tc>
      </w:tr>
      <w:tr w:rsidR="00A665B6" w:rsidRPr="009066EF" w:rsidTr="001F7A49">
        <w:trPr>
          <w:cantSplit/>
        </w:trPr>
        <w:tc>
          <w:tcPr>
            <w:tcW w:w="1701" w:type="dxa"/>
          </w:tcPr>
          <w:p w:rsidR="00A665B6" w:rsidRDefault="00A665B6" w:rsidP="00F714E4">
            <w:pPr>
              <w:pStyle w:val="normal0"/>
            </w:pPr>
            <w:r>
              <w:t xml:space="preserve">Tabel </w:t>
            </w:r>
            <w:fldSimple w:instr=" REF hfdst8 \n \h  \* MERGEFORMAT ">
              <w:r w:rsidR="008102D8">
                <w:t>VIII</w:t>
              </w:r>
            </w:fldSimple>
            <w:r>
              <w:t>.2.20.D</w:t>
            </w:r>
          </w:p>
        </w:tc>
        <w:tc>
          <w:tcPr>
            <w:tcW w:w="567" w:type="dxa"/>
          </w:tcPr>
          <w:p w:rsidR="00A665B6" w:rsidRDefault="00A665B6" w:rsidP="00AF3F9E">
            <w:pPr>
              <w:pStyle w:val="normal0"/>
            </w:pPr>
          </w:p>
        </w:tc>
        <w:tc>
          <w:tcPr>
            <w:tcW w:w="6804" w:type="dxa"/>
          </w:tcPr>
          <w:p w:rsidR="00A665B6" w:rsidRPr="001F7A49" w:rsidRDefault="00F077DA" w:rsidP="00AF3F9E">
            <w:r w:rsidRPr="00F077DA">
              <w:rPr>
                <w:rFonts w:asciiTheme="minorHAnsi" w:hAnsiTheme="minorHAnsi" w:cstheme="minorHAnsi"/>
              </w:rPr>
              <w:t xml:space="preserve">Overzicht berekende totale relatieve bijdrage giftige en carcinogene producten t.h.v. verschillende beoordelingspunten in industriegebied/onmiddellijke omgeving van het bedrijf (impact </w:t>
            </w:r>
            <w:r w:rsidRPr="00F077DA">
              <w:rPr>
                <w:rFonts w:asciiTheme="minorHAnsi" w:hAnsiTheme="minorHAnsi" w:cstheme="minorHAnsi"/>
                <w:lang w:val="nl-NL" w:eastAsia="nl-NL"/>
              </w:rPr>
              <w:t>toekomstige situatie fase 1 of 2, uitgedrukt in % t.o.v. de doelstellingen)</w:t>
            </w:r>
          </w:p>
        </w:tc>
      </w:tr>
      <w:tr w:rsidR="00A665B6" w:rsidRPr="009066EF" w:rsidTr="001F7A49">
        <w:trPr>
          <w:cantSplit/>
        </w:trPr>
        <w:tc>
          <w:tcPr>
            <w:tcW w:w="1701" w:type="dxa"/>
          </w:tcPr>
          <w:p w:rsidR="00A665B6" w:rsidRDefault="00A665B6" w:rsidP="00F714E4">
            <w:pPr>
              <w:pStyle w:val="normal0"/>
            </w:pPr>
            <w:r>
              <w:t xml:space="preserve">Tabel </w:t>
            </w:r>
            <w:bookmarkStart w:id="67" w:name="t_lucht_TCMR_max_berekend_woonzone"/>
            <w:r w:rsidR="00C325A0">
              <w:fldChar w:fldCharType="begin"/>
            </w:r>
            <w:r>
              <w:instrText xml:space="preserve"> REF hfdst8 \n \h </w:instrText>
            </w:r>
            <w:r w:rsidR="001F7A49">
              <w:instrText xml:space="preserve"> \* MERGEFORMAT </w:instrText>
            </w:r>
            <w:r w:rsidR="00C325A0">
              <w:fldChar w:fldCharType="separate"/>
            </w:r>
            <w:r w:rsidR="008102D8">
              <w:t>VIII</w:t>
            </w:r>
            <w:r w:rsidR="00C325A0">
              <w:fldChar w:fldCharType="end"/>
            </w:r>
            <w:r>
              <w:t>.2.21</w:t>
            </w:r>
            <w:bookmarkEnd w:id="67"/>
            <w:r>
              <w:t>.A</w:t>
            </w:r>
          </w:p>
        </w:tc>
        <w:tc>
          <w:tcPr>
            <w:tcW w:w="567" w:type="dxa"/>
          </w:tcPr>
          <w:p w:rsidR="00A665B6" w:rsidRDefault="00A665B6" w:rsidP="00AF3F9E">
            <w:pPr>
              <w:pStyle w:val="normal0"/>
            </w:pPr>
          </w:p>
        </w:tc>
        <w:tc>
          <w:tcPr>
            <w:tcW w:w="6804" w:type="dxa"/>
          </w:tcPr>
          <w:p w:rsidR="00A665B6" w:rsidRPr="001F7A49" w:rsidRDefault="00F077DA" w:rsidP="00AF3F9E">
            <w:r w:rsidRPr="00F077DA">
              <w:rPr>
                <w:rFonts w:asciiTheme="minorHAnsi" w:hAnsiTheme="minorHAnsi" w:cstheme="minorHAnsi"/>
              </w:rPr>
              <w:t xml:space="preserve">Overzicht berekende totale bijdrage </w:t>
            </w:r>
            <w:r w:rsidR="00007C7D">
              <w:t xml:space="preserve">in µg/m³ </w:t>
            </w:r>
            <w:r w:rsidRPr="00F077DA">
              <w:rPr>
                <w:rFonts w:asciiTheme="minorHAnsi" w:hAnsiTheme="minorHAnsi" w:cstheme="minorHAnsi"/>
              </w:rPr>
              <w:t>giftige en carcinogene producten t.h.v. verschillende beoordelingspunten t.h.v. de meest nabijgelegen woongebieden (</w:t>
            </w:r>
            <w:r w:rsidRPr="00F077DA">
              <w:rPr>
                <w:rFonts w:asciiTheme="minorHAnsi" w:hAnsiTheme="minorHAnsi" w:cstheme="minorHAnsi"/>
                <w:lang w:val="nl-NL" w:eastAsia="nl-NL"/>
              </w:rPr>
              <w:t>toekomstige situatie, fase 1 en 2)</w:t>
            </w:r>
          </w:p>
        </w:tc>
      </w:tr>
      <w:tr w:rsidR="00A665B6" w:rsidRPr="009066EF" w:rsidTr="001F7A49">
        <w:trPr>
          <w:cantSplit/>
        </w:trPr>
        <w:tc>
          <w:tcPr>
            <w:tcW w:w="1701" w:type="dxa"/>
          </w:tcPr>
          <w:p w:rsidR="00A665B6" w:rsidRDefault="00A665B6" w:rsidP="00F714E4">
            <w:pPr>
              <w:pStyle w:val="normal0"/>
            </w:pPr>
            <w:r>
              <w:lastRenderedPageBreak/>
              <w:t xml:space="preserve">Tabel </w:t>
            </w:r>
            <w:fldSimple w:instr=" REF hfdst8 \n \h  \* MERGEFORMAT ">
              <w:r w:rsidR="008102D8">
                <w:t>VIII</w:t>
              </w:r>
            </w:fldSimple>
            <w:r>
              <w:t>.2.21.B</w:t>
            </w:r>
          </w:p>
        </w:tc>
        <w:tc>
          <w:tcPr>
            <w:tcW w:w="567" w:type="dxa"/>
          </w:tcPr>
          <w:p w:rsidR="00A665B6" w:rsidRDefault="00A665B6" w:rsidP="00AF3F9E">
            <w:pPr>
              <w:pStyle w:val="normal0"/>
            </w:pPr>
          </w:p>
        </w:tc>
        <w:tc>
          <w:tcPr>
            <w:tcW w:w="6804" w:type="dxa"/>
          </w:tcPr>
          <w:p w:rsidR="00A665B6" w:rsidRPr="001F7A49" w:rsidRDefault="00F077DA" w:rsidP="00AF3F9E">
            <w:pPr>
              <w:rPr>
                <w:rFonts w:asciiTheme="minorHAnsi" w:hAnsiTheme="minorHAnsi" w:cstheme="minorHAnsi"/>
              </w:rPr>
            </w:pPr>
            <w:r w:rsidRPr="00F077DA">
              <w:rPr>
                <w:rFonts w:asciiTheme="minorHAnsi" w:hAnsiTheme="minorHAnsi" w:cstheme="minorHAnsi"/>
              </w:rPr>
              <w:t xml:space="preserve">Overzicht berekende totale relatieve bijdrage </w:t>
            </w:r>
            <w:r w:rsidR="00007C7D">
              <w:t xml:space="preserve"> </w:t>
            </w:r>
            <w:r w:rsidRPr="00F077DA">
              <w:rPr>
                <w:rFonts w:asciiTheme="minorHAnsi" w:hAnsiTheme="minorHAnsi" w:cstheme="minorHAnsi"/>
              </w:rPr>
              <w:t xml:space="preserve">giftige en carcinogene producten t.h.v. verschillende beoordelingspunten t.h.v. de meest nabijgelegen woongebieden  (impact </w:t>
            </w:r>
            <w:r w:rsidRPr="00F077DA">
              <w:rPr>
                <w:rFonts w:asciiTheme="minorHAnsi" w:hAnsiTheme="minorHAnsi" w:cstheme="minorHAnsi"/>
                <w:lang w:val="nl-NL" w:eastAsia="nl-NL"/>
              </w:rPr>
              <w:t>toekomstige situatie fase 1 of 2, uitgedrukt in % t.o.v. de doelstellingen)</w:t>
            </w:r>
          </w:p>
        </w:tc>
      </w:tr>
      <w:tr w:rsidR="00C85612" w:rsidRPr="009066EF" w:rsidTr="001F7A49">
        <w:trPr>
          <w:cantSplit/>
        </w:trPr>
        <w:tc>
          <w:tcPr>
            <w:tcW w:w="1701" w:type="dxa"/>
          </w:tcPr>
          <w:p w:rsidR="00C85612" w:rsidRDefault="003F37F1" w:rsidP="00A665B6">
            <w:pPr>
              <w:pStyle w:val="normal0"/>
            </w:pPr>
            <w:r>
              <w:t xml:space="preserve">Tabel </w:t>
            </w:r>
            <w:bookmarkStart w:id="68" w:name="t_lucht_kosten_DR"/>
            <w:r w:rsidR="00C325A0">
              <w:fldChar w:fldCharType="begin"/>
            </w:r>
            <w:r>
              <w:instrText xml:space="preserve"> REF hfdst8 \n \h </w:instrText>
            </w:r>
            <w:r w:rsidR="00C325A0">
              <w:fldChar w:fldCharType="separate"/>
            </w:r>
            <w:r w:rsidR="008102D8">
              <w:t>VIII</w:t>
            </w:r>
            <w:r w:rsidR="00C325A0">
              <w:fldChar w:fldCharType="end"/>
            </w:r>
            <w:r>
              <w:t>.2.</w:t>
            </w:r>
            <w:r w:rsidR="00F714E4">
              <w:t>2</w:t>
            </w:r>
            <w:r w:rsidR="00A665B6">
              <w:t>2</w:t>
            </w:r>
            <w:bookmarkEnd w:id="68"/>
          </w:p>
        </w:tc>
        <w:tc>
          <w:tcPr>
            <w:tcW w:w="567" w:type="dxa"/>
          </w:tcPr>
          <w:p w:rsidR="00C85612" w:rsidRDefault="00C85612" w:rsidP="00AF3F9E">
            <w:pPr>
              <w:pStyle w:val="normal0"/>
            </w:pPr>
          </w:p>
        </w:tc>
        <w:tc>
          <w:tcPr>
            <w:tcW w:w="6804" w:type="dxa"/>
          </w:tcPr>
          <w:p w:rsidR="00C85612" w:rsidRDefault="003F37F1" w:rsidP="00AF3F9E">
            <w:r>
              <w:t>Berekeningstabel kosten effectiviteit uitrusten P1-opslag met dampbalansleidingen</w:t>
            </w:r>
          </w:p>
        </w:tc>
      </w:tr>
      <w:tr w:rsidR="00C85612" w:rsidRPr="009066EF" w:rsidTr="001F7A49">
        <w:trPr>
          <w:cantSplit/>
        </w:trPr>
        <w:tc>
          <w:tcPr>
            <w:tcW w:w="1701" w:type="dxa"/>
          </w:tcPr>
          <w:p w:rsidR="00C85612" w:rsidRDefault="00C85612" w:rsidP="00A665B6">
            <w:pPr>
              <w:pStyle w:val="normal0"/>
            </w:pPr>
            <w:r>
              <w:t xml:space="preserve">Tabel </w:t>
            </w:r>
            <w:bookmarkStart w:id="69" w:name="t_lucht_kosten_DR_DVI"/>
            <w:r w:rsidR="00C325A0">
              <w:fldChar w:fldCharType="begin"/>
            </w:r>
            <w:r w:rsidR="000C2C46">
              <w:instrText xml:space="preserve"> REF hfdst8 \n \h </w:instrText>
            </w:r>
            <w:r w:rsidR="00C325A0">
              <w:fldChar w:fldCharType="separate"/>
            </w:r>
            <w:r w:rsidR="008102D8">
              <w:t>VIII</w:t>
            </w:r>
            <w:r w:rsidR="00C325A0">
              <w:fldChar w:fldCharType="end"/>
            </w:r>
            <w:r w:rsidR="000C2C46">
              <w:t>.</w:t>
            </w:r>
            <w:r w:rsidR="003B3869">
              <w:t>2</w:t>
            </w:r>
            <w:r w:rsidR="000C2C46">
              <w:t>.</w:t>
            </w:r>
            <w:r w:rsidR="00F714E4">
              <w:t>2</w:t>
            </w:r>
            <w:r w:rsidR="00A665B6">
              <w:t>3</w:t>
            </w:r>
            <w:bookmarkEnd w:id="69"/>
          </w:p>
        </w:tc>
        <w:tc>
          <w:tcPr>
            <w:tcW w:w="567" w:type="dxa"/>
          </w:tcPr>
          <w:p w:rsidR="00C85612" w:rsidRDefault="00C85612" w:rsidP="00AF3F9E">
            <w:pPr>
              <w:pStyle w:val="normal0"/>
            </w:pPr>
          </w:p>
        </w:tc>
        <w:tc>
          <w:tcPr>
            <w:tcW w:w="6804" w:type="dxa"/>
          </w:tcPr>
          <w:p w:rsidR="00C85612" w:rsidRDefault="003F37F1" w:rsidP="00AF3F9E">
            <w:pPr>
              <w:pStyle w:val="normal0"/>
            </w:pPr>
            <w:r>
              <w:t>Berekeningstabel kosten effectiviteit uitrusten P1-opslag met dampbalansleidingen én aansluiting op DVI</w:t>
            </w:r>
          </w:p>
        </w:tc>
      </w:tr>
      <w:tr w:rsidR="00C85612" w:rsidRPr="009066EF" w:rsidTr="001F7A49">
        <w:trPr>
          <w:cantSplit/>
        </w:trPr>
        <w:tc>
          <w:tcPr>
            <w:tcW w:w="1701" w:type="dxa"/>
          </w:tcPr>
          <w:p w:rsidR="00C85612" w:rsidRDefault="000F5070" w:rsidP="00AF3F9E">
            <w:pPr>
              <w:pStyle w:val="normal0"/>
            </w:pPr>
            <w:r>
              <w:t xml:space="preserve">Tabel </w:t>
            </w:r>
            <w:bookmarkStart w:id="70" w:name="mens__toetsing_woningen"/>
            <w:r>
              <w:t>VIII.3.1</w:t>
            </w:r>
            <w:bookmarkEnd w:id="70"/>
          </w:p>
        </w:tc>
        <w:tc>
          <w:tcPr>
            <w:tcW w:w="567" w:type="dxa"/>
          </w:tcPr>
          <w:p w:rsidR="00C85612" w:rsidRDefault="00C85612" w:rsidP="00AF3F9E">
            <w:pPr>
              <w:pStyle w:val="normal0"/>
            </w:pPr>
          </w:p>
        </w:tc>
        <w:tc>
          <w:tcPr>
            <w:tcW w:w="6804" w:type="dxa"/>
          </w:tcPr>
          <w:p w:rsidR="00C85612" w:rsidRDefault="000F5070" w:rsidP="00AF3F9E">
            <w:pPr>
              <w:pStyle w:val="normal0"/>
            </w:pPr>
            <w:r>
              <w:t>Toetsing berekende bijdragen emissies VTE t.h.v. meest baije woningen aan richtwaarden ter bescherming van de gezondheid</w:t>
            </w:r>
          </w:p>
        </w:tc>
      </w:tr>
      <w:tr w:rsidR="00C85612" w:rsidRPr="009066EF" w:rsidTr="001F7A49">
        <w:trPr>
          <w:cantSplit/>
        </w:trPr>
        <w:tc>
          <w:tcPr>
            <w:tcW w:w="1701" w:type="dxa"/>
          </w:tcPr>
          <w:p w:rsidR="00C85612" w:rsidRDefault="000F5070" w:rsidP="00AF3F9E">
            <w:pPr>
              <w:pStyle w:val="normal0"/>
            </w:pPr>
            <w:r>
              <w:t xml:space="preserve">Tabel </w:t>
            </w:r>
            <w:bookmarkStart w:id="71" w:name="mens_toetsing_buurbedrijven"/>
            <w:r>
              <w:t>VIII.3.2</w:t>
            </w:r>
            <w:bookmarkEnd w:id="71"/>
          </w:p>
        </w:tc>
        <w:tc>
          <w:tcPr>
            <w:tcW w:w="567" w:type="dxa"/>
          </w:tcPr>
          <w:p w:rsidR="00C85612" w:rsidRDefault="00C85612" w:rsidP="00AF3F9E">
            <w:pPr>
              <w:pStyle w:val="normal0"/>
            </w:pPr>
          </w:p>
        </w:tc>
        <w:tc>
          <w:tcPr>
            <w:tcW w:w="6804" w:type="dxa"/>
          </w:tcPr>
          <w:p w:rsidR="00C85612" w:rsidRDefault="000F5070" w:rsidP="000F5070">
            <w:pPr>
              <w:pStyle w:val="normal0"/>
            </w:pPr>
            <w:r>
              <w:t>Toetsing berekende bijdragen emissies VTE t.h.v. onmiddellijke omgeving aan richtwaarden ter bescherming van de gezondheid van werknemers</w:t>
            </w:r>
          </w:p>
        </w:tc>
      </w:tr>
      <w:tr w:rsidR="00C85612" w:rsidRPr="009066EF" w:rsidTr="001F7A49">
        <w:trPr>
          <w:cantSplit/>
        </w:trPr>
        <w:tc>
          <w:tcPr>
            <w:tcW w:w="1701" w:type="dxa"/>
          </w:tcPr>
          <w:p w:rsidR="00C85612" w:rsidRDefault="000F5070" w:rsidP="00AF3F9E">
            <w:pPr>
              <w:pStyle w:val="normal0"/>
            </w:pPr>
            <w:r>
              <w:t xml:space="preserve">Tabel </w:t>
            </w:r>
            <w:bookmarkStart w:id="72" w:name="geluid_beoordelingspunten"/>
            <w:r>
              <w:t>VIII.4.1</w:t>
            </w:r>
            <w:bookmarkEnd w:id="72"/>
          </w:p>
        </w:tc>
        <w:tc>
          <w:tcPr>
            <w:tcW w:w="567" w:type="dxa"/>
          </w:tcPr>
          <w:p w:rsidR="00C85612" w:rsidRDefault="00C85612" w:rsidP="00AF3F9E">
            <w:pPr>
              <w:pStyle w:val="normal0"/>
            </w:pPr>
          </w:p>
        </w:tc>
        <w:tc>
          <w:tcPr>
            <w:tcW w:w="6804" w:type="dxa"/>
          </w:tcPr>
          <w:p w:rsidR="00C85612" w:rsidRDefault="000F5070" w:rsidP="00AF3F9E">
            <w:pPr>
              <w:pStyle w:val="normal0"/>
            </w:pPr>
            <w:r>
              <w:t>Overzicht beoordelingspunten geluid</w:t>
            </w:r>
          </w:p>
        </w:tc>
      </w:tr>
      <w:tr w:rsidR="00C85612" w:rsidRPr="009066EF" w:rsidTr="001F7A49">
        <w:trPr>
          <w:cantSplit/>
        </w:trPr>
        <w:tc>
          <w:tcPr>
            <w:tcW w:w="1701" w:type="dxa"/>
          </w:tcPr>
          <w:p w:rsidR="00C85612" w:rsidRPr="00237D91" w:rsidRDefault="000F5070" w:rsidP="00AF3F9E">
            <w:pPr>
              <w:pStyle w:val="normal0"/>
            </w:pPr>
            <w:r>
              <w:t xml:space="preserve">Tabel </w:t>
            </w:r>
            <w:bookmarkStart w:id="73" w:name="geluid_toetsing"/>
            <w:r>
              <w:t>VIII.4.2</w:t>
            </w:r>
            <w:bookmarkEnd w:id="73"/>
          </w:p>
        </w:tc>
        <w:tc>
          <w:tcPr>
            <w:tcW w:w="567" w:type="dxa"/>
          </w:tcPr>
          <w:p w:rsidR="00C85612" w:rsidRDefault="00C85612" w:rsidP="00AF3F9E">
            <w:pPr>
              <w:pStyle w:val="normal0"/>
            </w:pPr>
          </w:p>
        </w:tc>
        <w:tc>
          <w:tcPr>
            <w:tcW w:w="6804" w:type="dxa"/>
          </w:tcPr>
          <w:p w:rsidR="00C85612" w:rsidRDefault="000F5070" w:rsidP="00AF3F9E">
            <w:pPr>
              <w:pStyle w:val="normal0"/>
            </w:pPr>
            <w:r>
              <w:t>Toetsing voor specifiek geluidsniveau aan de grenswaarden met/zonder scheepslossing</w:t>
            </w:r>
          </w:p>
        </w:tc>
      </w:tr>
      <w:tr w:rsidR="00C85612" w:rsidRPr="009066EF" w:rsidTr="001F7A49">
        <w:trPr>
          <w:cantSplit/>
        </w:trPr>
        <w:tc>
          <w:tcPr>
            <w:tcW w:w="1701" w:type="dxa"/>
          </w:tcPr>
          <w:p w:rsidR="00C85612" w:rsidRPr="00237D91" w:rsidRDefault="00C85612" w:rsidP="00AF3F9E">
            <w:pPr>
              <w:pStyle w:val="normal0"/>
            </w:pPr>
          </w:p>
        </w:tc>
        <w:tc>
          <w:tcPr>
            <w:tcW w:w="567" w:type="dxa"/>
          </w:tcPr>
          <w:p w:rsidR="00C85612" w:rsidRDefault="00C85612" w:rsidP="00AF3F9E">
            <w:pPr>
              <w:pStyle w:val="normal0"/>
            </w:pPr>
          </w:p>
        </w:tc>
        <w:tc>
          <w:tcPr>
            <w:tcW w:w="6804" w:type="dxa"/>
          </w:tcPr>
          <w:p w:rsidR="00C85612" w:rsidRDefault="00C85612" w:rsidP="00AF3F9E">
            <w:pPr>
              <w:pStyle w:val="normal0"/>
            </w:pPr>
          </w:p>
        </w:tc>
      </w:tr>
      <w:tr w:rsidR="00C85612" w:rsidRPr="009066EF" w:rsidTr="001F7A49">
        <w:trPr>
          <w:cantSplit/>
        </w:trPr>
        <w:tc>
          <w:tcPr>
            <w:tcW w:w="1701" w:type="dxa"/>
          </w:tcPr>
          <w:p w:rsidR="00C85612" w:rsidRPr="00237D91" w:rsidRDefault="00C85612" w:rsidP="00AF3F9E">
            <w:pPr>
              <w:pStyle w:val="normal0"/>
            </w:pPr>
          </w:p>
        </w:tc>
        <w:tc>
          <w:tcPr>
            <w:tcW w:w="567" w:type="dxa"/>
          </w:tcPr>
          <w:p w:rsidR="00C85612" w:rsidRDefault="00C85612" w:rsidP="00AF3F9E">
            <w:pPr>
              <w:pStyle w:val="normal0"/>
            </w:pPr>
          </w:p>
        </w:tc>
        <w:tc>
          <w:tcPr>
            <w:tcW w:w="6804" w:type="dxa"/>
          </w:tcPr>
          <w:p w:rsidR="00C85612" w:rsidRDefault="00C85612" w:rsidP="00AF3F9E">
            <w:pPr>
              <w:pStyle w:val="normal0"/>
            </w:pPr>
          </w:p>
        </w:tc>
      </w:tr>
      <w:tr w:rsidR="00C85612" w:rsidRPr="009066EF" w:rsidTr="001F7A49">
        <w:trPr>
          <w:cantSplit/>
        </w:trPr>
        <w:tc>
          <w:tcPr>
            <w:tcW w:w="1701" w:type="dxa"/>
          </w:tcPr>
          <w:p w:rsidR="00C85612" w:rsidRPr="00237D91" w:rsidRDefault="00C85612" w:rsidP="00AF3F9E">
            <w:pPr>
              <w:pStyle w:val="normal0"/>
            </w:pPr>
          </w:p>
        </w:tc>
        <w:tc>
          <w:tcPr>
            <w:tcW w:w="567" w:type="dxa"/>
          </w:tcPr>
          <w:p w:rsidR="00C85612" w:rsidRDefault="00C85612" w:rsidP="00AF3F9E">
            <w:pPr>
              <w:pStyle w:val="normal0"/>
            </w:pPr>
          </w:p>
        </w:tc>
        <w:tc>
          <w:tcPr>
            <w:tcW w:w="6804" w:type="dxa"/>
          </w:tcPr>
          <w:p w:rsidR="00C85612" w:rsidRDefault="00C85612" w:rsidP="00AF3F9E">
            <w:pPr>
              <w:pStyle w:val="normal0"/>
            </w:pPr>
          </w:p>
        </w:tc>
      </w:tr>
      <w:tr w:rsidR="00C85612" w:rsidRPr="009066EF" w:rsidTr="001F7A49">
        <w:trPr>
          <w:cantSplit/>
        </w:trPr>
        <w:tc>
          <w:tcPr>
            <w:tcW w:w="1701" w:type="dxa"/>
          </w:tcPr>
          <w:p w:rsidR="00C85612" w:rsidRPr="00237D91" w:rsidRDefault="00C85612" w:rsidP="00AF3F9E">
            <w:pPr>
              <w:pStyle w:val="normal0"/>
            </w:pPr>
          </w:p>
        </w:tc>
        <w:tc>
          <w:tcPr>
            <w:tcW w:w="567" w:type="dxa"/>
          </w:tcPr>
          <w:p w:rsidR="00C85612" w:rsidRDefault="00C85612" w:rsidP="00AF3F9E">
            <w:pPr>
              <w:pStyle w:val="normal0"/>
            </w:pPr>
          </w:p>
        </w:tc>
        <w:tc>
          <w:tcPr>
            <w:tcW w:w="6804" w:type="dxa"/>
          </w:tcPr>
          <w:p w:rsidR="00C85612" w:rsidRDefault="00C85612" w:rsidP="00AF3F9E">
            <w:pPr>
              <w:pStyle w:val="normal0"/>
            </w:pPr>
          </w:p>
        </w:tc>
      </w:tr>
      <w:tr w:rsidR="00C85612" w:rsidRPr="009066EF" w:rsidTr="001F7A49">
        <w:trPr>
          <w:cantSplit/>
        </w:trPr>
        <w:tc>
          <w:tcPr>
            <w:tcW w:w="1701" w:type="dxa"/>
          </w:tcPr>
          <w:p w:rsidR="00C85612" w:rsidRPr="00B51FEA" w:rsidRDefault="00C85612" w:rsidP="00AF3F9E">
            <w:pPr>
              <w:pStyle w:val="normal0"/>
            </w:pPr>
          </w:p>
        </w:tc>
        <w:tc>
          <w:tcPr>
            <w:tcW w:w="567" w:type="dxa"/>
          </w:tcPr>
          <w:p w:rsidR="00C85612" w:rsidRPr="00B51FEA" w:rsidRDefault="00C85612" w:rsidP="00AF3F9E">
            <w:pPr>
              <w:pStyle w:val="normal0"/>
            </w:pPr>
          </w:p>
        </w:tc>
        <w:tc>
          <w:tcPr>
            <w:tcW w:w="6804" w:type="dxa"/>
          </w:tcPr>
          <w:p w:rsidR="00C85612" w:rsidRPr="00B51FEA" w:rsidRDefault="00C85612" w:rsidP="00AF3F9E">
            <w:pPr>
              <w:pStyle w:val="normal0"/>
            </w:pPr>
          </w:p>
        </w:tc>
      </w:tr>
      <w:tr w:rsidR="00C85612" w:rsidRPr="009066EF" w:rsidTr="001F7A49">
        <w:trPr>
          <w:cantSplit/>
        </w:trPr>
        <w:tc>
          <w:tcPr>
            <w:tcW w:w="1701" w:type="dxa"/>
          </w:tcPr>
          <w:p w:rsidR="00C85612" w:rsidRPr="00B51FEA" w:rsidRDefault="00C85612" w:rsidP="00AF3F9E">
            <w:pPr>
              <w:pStyle w:val="normal0"/>
            </w:pPr>
          </w:p>
        </w:tc>
        <w:tc>
          <w:tcPr>
            <w:tcW w:w="567" w:type="dxa"/>
          </w:tcPr>
          <w:p w:rsidR="00C85612" w:rsidRPr="00B51FEA" w:rsidRDefault="00C85612" w:rsidP="00AF3F9E">
            <w:pPr>
              <w:pStyle w:val="normal0"/>
            </w:pPr>
          </w:p>
        </w:tc>
        <w:tc>
          <w:tcPr>
            <w:tcW w:w="6804" w:type="dxa"/>
          </w:tcPr>
          <w:p w:rsidR="00C85612" w:rsidRDefault="00C85612" w:rsidP="00AF3F9E">
            <w:pPr>
              <w:pStyle w:val="normal0"/>
            </w:pPr>
          </w:p>
        </w:tc>
      </w:tr>
    </w:tbl>
    <w:p w:rsidR="00AF5F28" w:rsidRDefault="00AF5F28" w:rsidP="00AF3F9E">
      <w:pPr>
        <w:sectPr w:rsidR="00AF5F28" w:rsidSect="00C54545">
          <w:headerReference w:type="even" r:id="rId23"/>
          <w:headerReference w:type="default" r:id="rId24"/>
          <w:headerReference w:type="first" r:id="rId25"/>
          <w:pgSz w:w="11909" w:h="16834" w:code="9"/>
          <w:pgMar w:top="1240" w:right="1440" w:bottom="1440" w:left="1440" w:header="454" w:footer="709" w:gutter="0"/>
          <w:pgNumType w:fmt="lowerRoman" w:start="1"/>
          <w:cols w:space="708"/>
        </w:sectPr>
      </w:pPr>
    </w:p>
    <w:tbl>
      <w:tblPr>
        <w:tblW w:w="0" w:type="auto"/>
        <w:tblInd w:w="78" w:type="dxa"/>
        <w:tblLayout w:type="fixed"/>
        <w:tblLook w:val="0000"/>
      </w:tblPr>
      <w:tblGrid>
        <w:gridCol w:w="2157"/>
        <w:gridCol w:w="6513"/>
      </w:tblGrid>
      <w:tr w:rsidR="000A6D04" w:rsidRPr="00AD4864" w:rsidTr="000A6D04">
        <w:trPr>
          <w:cantSplit/>
          <w:trHeight w:val="247"/>
          <w:tblHeader/>
        </w:trPr>
        <w:tc>
          <w:tcPr>
            <w:tcW w:w="8670" w:type="dxa"/>
            <w:gridSpan w:val="2"/>
            <w:tcBorders>
              <w:top w:val="nil"/>
              <w:left w:val="nil"/>
              <w:bottom w:val="nil"/>
              <w:right w:val="nil"/>
            </w:tcBorders>
          </w:tcPr>
          <w:p w:rsidR="000A6D04" w:rsidRPr="00AD4864" w:rsidRDefault="00F077DA" w:rsidP="000A6D04">
            <w:pPr>
              <w:outlineLvl w:val="0"/>
              <w:rPr>
                <w:rFonts w:asciiTheme="minorHAnsi" w:hAnsiTheme="minorHAnsi" w:cstheme="minorHAnsi"/>
                <w:b/>
              </w:rPr>
            </w:pPr>
            <w:r w:rsidRPr="00F077DA">
              <w:rPr>
                <w:rFonts w:asciiTheme="minorHAnsi" w:hAnsiTheme="minorHAnsi" w:cstheme="minorHAnsi"/>
                <w:b/>
              </w:rPr>
              <w:lastRenderedPageBreak/>
              <w:t>Terminologie – verklarende woordenlijst</w:t>
            </w:r>
          </w:p>
        </w:tc>
      </w:tr>
      <w:tr w:rsidR="000A6D04" w:rsidRPr="00AD4864" w:rsidTr="000A6D04">
        <w:trPr>
          <w:cantSplit/>
          <w:trHeight w:val="247"/>
        </w:trPr>
        <w:tc>
          <w:tcPr>
            <w:tcW w:w="2157" w:type="dxa"/>
            <w:tcBorders>
              <w:top w:val="nil"/>
              <w:left w:val="nil"/>
              <w:bottom w:val="nil"/>
              <w:right w:val="nil"/>
            </w:tcBorders>
          </w:tcPr>
          <w:p w:rsidR="000A6D04" w:rsidRPr="00AD4864" w:rsidRDefault="00F077DA" w:rsidP="000A6D04">
            <w:pPr>
              <w:pStyle w:val="normaltabel"/>
              <w:rPr>
                <w:rFonts w:asciiTheme="minorHAnsi" w:hAnsiTheme="minorHAnsi" w:cstheme="minorHAnsi"/>
                <w:szCs w:val="18"/>
              </w:rPr>
            </w:pPr>
            <w:r w:rsidRPr="00F077DA">
              <w:rPr>
                <w:rFonts w:asciiTheme="minorHAnsi" w:hAnsiTheme="minorHAnsi" w:cstheme="minorHAnsi"/>
                <w:szCs w:val="18"/>
              </w:rPr>
              <w:t>afkorting / begrip</w:t>
            </w:r>
          </w:p>
        </w:tc>
        <w:tc>
          <w:tcPr>
            <w:tcW w:w="6513" w:type="dxa"/>
            <w:tcBorders>
              <w:top w:val="nil"/>
              <w:left w:val="nil"/>
              <w:bottom w:val="nil"/>
              <w:right w:val="nil"/>
            </w:tcBorders>
          </w:tcPr>
          <w:p w:rsidR="000A6D04" w:rsidRPr="00AD4864" w:rsidRDefault="00F077DA" w:rsidP="000A6D04">
            <w:pPr>
              <w:pStyle w:val="normaltabel"/>
              <w:rPr>
                <w:rFonts w:asciiTheme="minorHAnsi" w:hAnsiTheme="minorHAnsi" w:cstheme="minorHAnsi"/>
                <w:szCs w:val="18"/>
              </w:rPr>
            </w:pPr>
            <w:r w:rsidRPr="00F077DA">
              <w:rPr>
                <w:rFonts w:asciiTheme="minorHAnsi" w:hAnsiTheme="minorHAnsi" w:cstheme="minorHAnsi"/>
                <w:szCs w:val="18"/>
              </w:rPr>
              <w:t>omschrijving</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°C</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graden celcius</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µg</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microgram, één miljoenste van een gram</w:t>
            </w:r>
          </w:p>
        </w:tc>
      </w:tr>
      <w:tr w:rsidR="00504C10" w:rsidRPr="00AD4864" w:rsidTr="000A6D04">
        <w:trPr>
          <w:cantSplit/>
          <w:trHeight w:val="247"/>
        </w:trPr>
        <w:tc>
          <w:tcPr>
            <w:tcW w:w="2157" w:type="dxa"/>
            <w:tcBorders>
              <w:top w:val="nil"/>
              <w:left w:val="nil"/>
              <w:bottom w:val="nil"/>
              <w:right w:val="nil"/>
            </w:tcBorders>
          </w:tcPr>
          <w:p w:rsidR="00504C10"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Ademverliezen</w:t>
            </w:r>
          </w:p>
        </w:tc>
        <w:tc>
          <w:tcPr>
            <w:tcW w:w="6513" w:type="dxa"/>
            <w:tcBorders>
              <w:top w:val="nil"/>
              <w:left w:val="nil"/>
              <w:bottom w:val="nil"/>
              <w:right w:val="nil"/>
            </w:tcBorders>
          </w:tcPr>
          <w:p w:rsidR="00504C10"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rPr>
              <w:t>Emissies naar de lucht die voortkomen uit het ademen van de opslagtanks</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Afgas</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gasvormige verontreiniging van een productieproces die geëmitteerd wordt</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BBT</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Best Beschikbare Technieken</w:t>
            </w:r>
          </w:p>
        </w:tc>
      </w:tr>
      <w:tr w:rsidR="00504C10" w:rsidRPr="00AD4864" w:rsidTr="0036758E">
        <w:trPr>
          <w:cantSplit/>
          <w:trHeight w:val="247"/>
        </w:trPr>
        <w:tc>
          <w:tcPr>
            <w:tcW w:w="2157" w:type="dxa"/>
            <w:tcBorders>
              <w:top w:val="nil"/>
              <w:left w:val="nil"/>
              <w:bottom w:val="nil"/>
              <w:right w:val="nil"/>
            </w:tcBorders>
            <w:vAlign w:val="bottom"/>
          </w:tcPr>
          <w:p w:rsidR="00F077DA" w:rsidRPr="00F077DA" w:rsidRDefault="00F077DA" w:rsidP="00F077DA">
            <w:pPr>
              <w:pStyle w:val="normaltabel"/>
              <w:jc w:val="left"/>
              <w:rPr>
                <w:rFonts w:asciiTheme="minorHAnsi" w:hAnsiTheme="minorHAnsi" w:cstheme="minorHAnsi"/>
                <w:sz w:val="16"/>
                <w:szCs w:val="16"/>
              </w:rPr>
            </w:pPr>
            <w:r w:rsidRPr="00F077DA">
              <w:rPr>
                <w:rFonts w:asciiTheme="minorHAnsi" w:hAnsiTheme="minorHAnsi" w:cstheme="minorHAnsi"/>
                <w:sz w:val="16"/>
                <w:szCs w:val="16"/>
              </w:rPr>
              <w:t>Beladingsverliezen</w:t>
            </w:r>
          </w:p>
        </w:tc>
        <w:tc>
          <w:tcPr>
            <w:tcW w:w="6513" w:type="dxa"/>
            <w:tcBorders>
              <w:top w:val="nil"/>
              <w:left w:val="nil"/>
              <w:bottom w:val="nil"/>
              <w:right w:val="nil"/>
            </w:tcBorders>
            <w:vAlign w:val="center"/>
          </w:tcPr>
          <w:p w:rsidR="00F077DA" w:rsidRPr="00F077DA" w:rsidRDefault="00F077DA" w:rsidP="00F077DA">
            <w:pPr>
              <w:jc w:val="left"/>
              <w:rPr>
                <w:rFonts w:asciiTheme="minorHAnsi" w:hAnsiTheme="minorHAnsi" w:cstheme="minorHAnsi"/>
                <w:sz w:val="16"/>
                <w:szCs w:val="16"/>
              </w:rPr>
            </w:pPr>
            <w:r w:rsidRPr="00F077DA">
              <w:rPr>
                <w:rFonts w:asciiTheme="minorHAnsi" w:hAnsiTheme="minorHAnsi" w:cstheme="minorHAnsi"/>
                <w:sz w:val="16"/>
                <w:szCs w:val="16"/>
              </w:rPr>
              <w:t>Emissies naar de lucht die optreden bij het vullen van de diverse transportmiddelen.</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BKG-inrichting</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BroeiKasGas-inrichting, zijnde een vergunningsplichtige inrichting die als zodanig is aangeduid door de Vlaamse Regering</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BS</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Belgisch Staatsblad</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BZV</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biochemisch zuurstofverbruik, maat voor biologisch afbreekbare organische verontreiniging</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CO</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koolstofmonoxide</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vertAlign w:val="subscript"/>
              </w:rPr>
            </w:pPr>
            <w:r w:rsidRPr="00F077DA">
              <w:rPr>
                <w:rFonts w:asciiTheme="minorHAnsi" w:hAnsiTheme="minorHAnsi" w:cstheme="minorHAnsi"/>
                <w:sz w:val="16"/>
                <w:szCs w:val="16"/>
              </w:rPr>
              <w:t>CO</w:t>
            </w:r>
            <w:r w:rsidRPr="00F077DA">
              <w:rPr>
                <w:rFonts w:asciiTheme="minorHAnsi" w:hAnsiTheme="minorHAnsi" w:cstheme="minorHAnsi"/>
                <w:sz w:val="16"/>
                <w:szCs w:val="16"/>
                <w:vertAlign w:val="subscript"/>
              </w:rPr>
              <w:t>2</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koolstofdioxide</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CZV</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chemisch zuurstofverbruik, maat voor organische verontreiniging</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DAMB</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Decreet houdende algemene bepalingen inzake milieubeleid</w:t>
            </w:r>
          </w:p>
        </w:tc>
      </w:tr>
      <w:tr w:rsidR="00504C10" w:rsidRPr="00AD4864" w:rsidTr="000A6D04">
        <w:trPr>
          <w:cantSplit/>
          <w:trHeight w:val="247"/>
        </w:trPr>
        <w:tc>
          <w:tcPr>
            <w:tcW w:w="2157" w:type="dxa"/>
            <w:tcBorders>
              <w:top w:val="nil"/>
              <w:left w:val="nil"/>
              <w:bottom w:val="nil"/>
              <w:right w:val="nil"/>
            </w:tcBorders>
          </w:tcPr>
          <w:p w:rsidR="00504C10"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Dampbalans</w:t>
            </w:r>
          </w:p>
        </w:tc>
        <w:tc>
          <w:tcPr>
            <w:tcW w:w="6513" w:type="dxa"/>
            <w:tcBorders>
              <w:top w:val="nil"/>
              <w:left w:val="nil"/>
              <w:bottom w:val="nil"/>
              <w:right w:val="nil"/>
            </w:tcBorders>
          </w:tcPr>
          <w:p w:rsidR="00504C10" w:rsidRPr="00AD4864" w:rsidRDefault="00F077DA" w:rsidP="00963E2C">
            <w:pPr>
              <w:pStyle w:val="normaltabel"/>
              <w:rPr>
                <w:rFonts w:asciiTheme="minorHAnsi" w:hAnsiTheme="minorHAnsi" w:cstheme="minorHAnsi"/>
                <w:sz w:val="16"/>
                <w:szCs w:val="16"/>
                <w:lang w:val="nl-BE"/>
              </w:rPr>
            </w:pPr>
            <w:r w:rsidRPr="00F077DA">
              <w:rPr>
                <w:rFonts w:asciiTheme="minorHAnsi" w:hAnsiTheme="minorHAnsi" w:cstheme="minorHAnsi"/>
                <w:sz w:val="16"/>
                <w:szCs w:val="16"/>
              </w:rPr>
              <w:t>Systeem waarbij de dampen die vrijkomen bij overslagoperaties hetzij terug geleid naar het transportmiddel worden (in het geval van het lossen van transportmiddelen) hetzij terug geleid worden naar de opslagtank (in het geval van laden van transportmiddelen).</w:t>
            </w:r>
          </w:p>
        </w:tc>
      </w:tr>
      <w:tr w:rsidR="00504C10" w:rsidRPr="00AD4864" w:rsidTr="000A6D04">
        <w:trPr>
          <w:cantSplit/>
          <w:trHeight w:val="247"/>
        </w:trPr>
        <w:tc>
          <w:tcPr>
            <w:tcW w:w="2157" w:type="dxa"/>
            <w:tcBorders>
              <w:top w:val="nil"/>
              <w:left w:val="nil"/>
              <w:bottom w:val="nil"/>
              <w:right w:val="nil"/>
            </w:tcBorders>
          </w:tcPr>
          <w:p w:rsidR="00504C10"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Dampretour</w:t>
            </w:r>
          </w:p>
        </w:tc>
        <w:tc>
          <w:tcPr>
            <w:tcW w:w="6513" w:type="dxa"/>
            <w:tcBorders>
              <w:top w:val="nil"/>
              <w:left w:val="nil"/>
              <w:bottom w:val="nil"/>
              <w:right w:val="nil"/>
            </w:tcBorders>
          </w:tcPr>
          <w:p w:rsidR="00504C10"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Zie ‘Dampbalans’</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dB(A)</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Eenheid waarin het geluidsdrukniveau van een geluid wordt uitgedrukt, met correctie voor de subjectieve gehoorgewaarwording bij de mens volgens de A-curve</w:t>
            </w:r>
          </w:p>
        </w:tc>
      </w:tr>
      <w:tr w:rsidR="00376FEC" w:rsidRPr="00AD4864" w:rsidTr="000A6D04">
        <w:trPr>
          <w:cantSplit/>
          <w:trHeight w:val="653"/>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depositie</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 xml:space="preserve">hoeveelheid van een stof of een groep van stoffen die uit de atmosfeer neerkomen in een gebied, uitgedrukt als een hoeveelheid per oppervlakte-eenheid en per tijdseenheid (bv. 10 kg SO2/ha.j). </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DOV</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databank ondergrond Vlaanderen</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emissie</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de directe of indirecte lozing, uit puntbronnen of diffuse bronnen van de installatie, van stoffen in de lucht, het water of de bodem</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fugitieve emissie</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emissie die plaats vindt via lekken in installaties; vooral via afdichtingen zoals flenzen, pompen, …; deze maken deel uit van de niet geleide emissies</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geleide emissie</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is een emissie waarvoor welbepaalde fysische kenmerken bestaan (ligging, hoogte, diameter) en een in een principe meetbare volume stroom</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ha</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hectare (10.000 m²)</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IFDM</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Immissie Frequentie Distributie Model</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IHD</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InstantHoudingsDoelstelling</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immissieconcentratie</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de concentratie van een bepaalde stof in de omgevingslucht op een bepaalde plaats als resultante van verschillende bronnen, incl. natuurlijke en meteorologische omstandigheden</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inkuiping</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een kuipvormige uitgevoerde vloeistofdichte constructie die in staat is om lekvloeistoffen (uit een vat of tank) te weerhouden</w:t>
            </w:r>
          </w:p>
        </w:tc>
      </w:tr>
      <w:tr w:rsidR="00376FEC" w:rsidRPr="00C447E8"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IPPC</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en-US"/>
              </w:rPr>
            </w:pPr>
            <w:r w:rsidRPr="00F077DA">
              <w:rPr>
                <w:rFonts w:asciiTheme="minorHAnsi" w:hAnsiTheme="minorHAnsi" w:cstheme="minorHAnsi"/>
                <w:sz w:val="16"/>
                <w:szCs w:val="16"/>
                <w:lang w:val="en-US"/>
              </w:rPr>
              <w:t>Integrated Prevention and Pollution Control</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km</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kilometer</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kWh</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kilowatt uur, een eenheid van elektrische energie</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LA95 1h</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het A-gewogen geluidsdrukniveau dat gedurende 95% van een tijdsinterval van 1 uur wordt overschreden</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lastRenderedPageBreak/>
              <w:t>m²</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vierkante meter</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m³</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kubieke meter</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mbar</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millibar, éénheid van druk</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MER</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milieueffectrapport</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mg</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milligram, één duizendste van een gram</w:t>
            </w:r>
          </w:p>
        </w:tc>
      </w:tr>
      <w:tr w:rsidR="00376FEC" w:rsidRPr="00AD4864" w:rsidTr="000A6D04">
        <w:trPr>
          <w:cantSplit/>
          <w:trHeight w:val="742"/>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MTR</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Maximaal Toelaatbaar Risiconiveau : waarde die aangeeft bij welk blootstellingsniveau of bij welke concentratie in een bepaald compartiment het risico voor mens, plant of dier maximaal toelaatbaar wordt geacht</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MWh</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megawat uur, een eenheid van energie</w:t>
            </w:r>
          </w:p>
        </w:tc>
      </w:tr>
      <w:tr w:rsidR="00376FEC" w:rsidRPr="00C447E8"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NEC</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fr-FR"/>
              </w:rPr>
            </w:pPr>
            <w:r w:rsidRPr="00F077DA">
              <w:rPr>
                <w:rFonts w:asciiTheme="minorHAnsi" w:hAnsiTheme="minorHAnsi" w:cstheme="minorHAnsi"/>
                <w:sz w:val="16"/>
                <w:szCs w:val="16"/>
                <w:lang w:val="fr-FR"/>
              </w:rPr>
              <w:t>National Emission Ceilings (Nationale Emissie Plafonds)</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niet geleide emissie</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elke emissie die één van de kenmerken van een geleide emissie ontbreekt</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Nm³</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kubieke meter gas of lucht bij normaal voorwaarden (0°C en 1013,25 hPa)</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NOx</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stikstofoxiden</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nv of NV</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naamloze vennootschap</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LDAR</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Leak Detection And Repair</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OBO</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oriënterend bodemonderzoek</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OVAM</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Openbare Afvalstoffenmaatschappij voor het Vlaamse Gewest</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OVR</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Omgevingsveiligheidsrapport</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P1-vloeistoffen</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zeer licht en licht ontvlambare vloeistoffen, met name vloeistoffen met een vlampunt lager dan 21°C</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P2-vloeistoffen</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ontvlambare vloeistoffen, met name vloeistoffen met een vlampunt gelijk aan of hoger dan 21 °C en gelijk aan of lager dan 55°C</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P3-vloeistoffen</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brandbare vloeistoffen met een vlampunt hoger dan 55°C en gelijk aan of lager dan 100°C</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P4-vloeistoffen</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brandbare vloeistoffen met een vlampunt hoger dan 100°C en gelijk aan of lager dan 250°C</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P98</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98-percentiel, dit zijn de waarden waaronder 98% van de (meet)waarden gelegen zijn</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Pa</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Pascal, eenheid van druk</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PJ</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petajoule (= 10</w:t>
            </w:r>
            <w:r w:rsidRPr="00F077DA">
              <w:rPr>
                <w:rFonts w:asciiTheme="minorHAnsi" w:hAnsiTheme="minorHAnsi" w:cstheme="minorHAnsi"/>
                <w:sz w:val="16"/>
                <w:szCs w:val="16"/>
                <w:vertAlign w:val="superscript"/>
              </w:rPr>
              <w:t>12</w:t>
            </w:r>
            <w:r w:rsidRPr="00F077DA">
              <w:rPr>
                <w:rFonts w:asciiTheme="minorHAnsi" w:hAnsiTheme="minorHAnsi" w:cstheme="minorHAnsi"/>
                <w:sz w:val="16"/>
                <w:szCs w:val="16"/>
              </w:rPr>
              <w:t xml:space="preserve"> kilojoule)</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plan-MER</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MER met betrekking tot beleidsplannen, beleidsontwikkelingen, …</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PM2,5</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fijne stofdeeltjes met diameter kleiner dan 2,5 µm</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PM10</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fijne stofdeeltjes met diameter kleiner dan 10 µm</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PNEC</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 xml:space="preserve">Predicted No Effect Concentration, waarde die aangeeft bij welke concentratie in een bepaald compartiment er geen effecten optreden voor mens, plant of dier </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Prati-Index / PIO</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een index die het mogelijk maakt om de verontreiniging van waterlopen te vergelijken en evalueren; hiervoor worden diverse fysico-chemische parameters omgerekend naar een index</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project-MER</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MER met betrekking tot projecten waarvoor een milieuvergunning of stedenbouwkundige vergunning vereist is</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PRSPA</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Provinciaal Ruimtelijk Structuurplan Antwerpen</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rookgassen</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afgassen die ontstaan bij het verbranden van fossiele brandstoffen</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RUP</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Ruimtelijk UitvoeringsPlan, legt de stedenbouwkundige bestemming vast (cfr. de gewestplannen)</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RSV</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Ruimtelijk Structuurplan Vlaanderen</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lastRenderedPageBreak/>
              <w:t>SBZ-H</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speciale beschermingszone voor natuurbehoud vastgelegd onder uitvoering van de Habitatrichtlijn</w:t>
            </w:r>
          </w:p>
        </w:tc>
      </w:tr>
      <w:tr w:rsidR="00376FEC" w:rsidRPr="00AD4864" w:rsidTr="000A6D04">
        <w:trPr>
          <w:cantSplit/>
          <w:trHeight w:val="494"/>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SBZ-V</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speciale beschermingszone voor natuurbehoud vastgelegd onder uitvoering van de Vogelrichtlijn</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vertAlign w:val="subscript"/>
              </w:rPr>
            </w:pPr>
            <w:r w:rsidRPr="00F077DA">
              <w:rPr>
                <w:rFonts w:asciiTheme="minorHAnsi" w:hAnsiTheme="minorHAnsi" w:cstheme="minorHAnsi"/>
                <w:sz w:val="16"/>
                <w:szCs w:val="16"/>
              </w:rPr>
              <w:t>SO</w:t>
            </w:r>
            <w:r w:rsidRPr="00F077DA">
              <w:rPr>
                <w:rFonts w:asciiTheme="minorHAnsi" w:hAnsiTheme="minorHAnsi" w:cstheme="minorHAnsi"/>
                <w:sz w:val="16"/>
                <w:szCs w:val="16"/>
                <w:vertAlign w:val="subscript"/>
              </w:rPr>
              <w:t>2</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zwaveldioxide</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SWA-VR</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Samenwerkingsveiligheidsrapport</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TAW</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tweede algemene waterpassing</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TOX</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totale gehalogeneerde koolwaterstoffen</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VBO</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verkennend bodemonderzoek</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VEN</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Vlaams Ecologisch Netwerk</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VEN-gebied</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gebied dat opgenomen is in het Vlaams Ecologisch Netwerk</w:t>
            </w:r>
          </w:p>
        </w:tc>
      </w:tr>
      <w:tr w:rsidR="00AA4338" w:rsidRPr="00AD4864" w:rsidTr="000A6D04">
        <w:trPr>
          <w:cantSplit/>
          <w:trHeight w:val="247"/>
        </w:trPr>
        <w:tc>
          <w:tcPr>
            <w:tcW w:w="2157" w:type="dxa"/>
            <w:tcBorders>
              <w:top w:val="nil"/>
              <w:left w:val="nil"/>
              <w:bottom w:val="nil"/>
              <w:right w:val="nil"/>
            </w:tcBorders>
          </w:tcPr>
          <w:p w:rsidR="00AA4338"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 xml:space="preserve">Verdrijvingsverliezen </w:t>
            </w:r>
          </w:p>
        </w:tc>
        <w:tc>
          <w:tcPr>
            <w:tcW w:w="6513" w:type="dxa"/>
            <w:tcBorders>
              <w:top w:val="nil"/>
              <w:left w:val="nil"/>
              <w:bottom w:val="nil"/>
              <w:right w:val="nil"/>
            </w:tcBorders>
          </w:tcPr>
          <w:p w:rsidR="00AA4338"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rPr>
              <w:t>Emissies naar de lucht die optreden bij het lossen van de diverse transportmiddelen.</w:t>
            </w:r>
          </w:p>
        </w:tc>
      </w:tr>
      <w:tr w:rsidR="00AA4338" w:rsidRPr="00AD4864" w:rsidTr="000A6D04">
        <w:trPr>
          <w:cantSplit/>
          <w:trHeight w:val="247"/>
        </w:trPr>
        <w:tc>
          <w:tcPr>
            <w:tcW w:w="2157" w:type="dxa"/>
            <w:tcBorders>
              <w:top w:val="nil"/>
              <w:left w:val="nil"/>
              <w:bottom w:val="nil"/>
              <w:right w:val="nil"/>
            </w:tcBorders>
          </w:tcPr>
          <w:p w:rsidR="00AA4338"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Verladingsverliezen</w:t>
            </w:r>
          </w:p>
        </w:tc>
        <w:tc>
          <w:tcPr>
            <w:tcW w:w="6513" w:type="dxa"/>
            <w:tcBorders>
              <w:top w:val="nil"/>
              <w:left w:val="nil"/>
              <w:bottom w:val="nil"/>
              <w:right w:val="nil"/>
            </w:tcBorders>
          </w:tcPr>
          <w:p w:rsidR="00AA4338" w:rsidRPr="00AD4864" w:rsidRDefault="00F077DA" w:rsidP="00AA4338">
            <w:pPr>
              <w:pStyle w:val="normaltabel"/>
              <w:rPr>
                <w:rFonts w:asciiTheme="minorHAnsi" w:hAnsiTheme="minorHAnsi" w:cstheme="minorHAnsi"/>
                <w:sz w:val="16"/>
                <w:szCs w:val="16"/>
                <w:lang w:val="nl-BE"/>
              </w:rPr>
            </w:pPr>
            <w:r w:rsidRPr="00F077DA">
              <w:rPr>
                <w:rFonts w:asciiTheme="minorHAnsi" w:hAnsiTheme="minorHAnsi" w:cstheme="minorHAnsi"/>
                <w:sz w:val="16"/>
                <w:szCs w:val="16"/>
              </w:rPr>
              <w:t>Zie ‘Verdrijvingsverliezen’.</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Vl. Reg.</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Vlaamse Regering</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VLAREBO</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Vlaams Reglement betreffende de bodemsanering</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VLAREM</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lang w:val="nl-BE"/>
              </w:rPr>
            </w:pPr>
            <w:r w:rsidRPr="00F077DA">
              <w:rPr>
                <w:rFonts w:asciiTheme="minorHAnsi" w:hAnsiTheme="minorHAnsi" w:cstheme="minorHAnsi"/>
                <w:sz w:val="16"/>
                <w:szCs w:val="16"/>
                <w:lang w:val="nl-BE"/>
              </w:rPr>
              <w:t>Vlaams Reglement betreffende de milieuvergunning</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VMM</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Vlaamse Milieumaatschappij</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VOS</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vluchtige organische stoffen</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WGO (WHO)</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wereldgezondheidsorganisatie (World Health Organisation)</w:t>
            </w:r>
          </w:p>
        </w:tc>
      </w:tr>
      <w:tr w:rsidR="0036758E" w:rsidRPr="00AD4864" w:rsidTr="000A6D04">
        <w:trPr>
          <w:cantSplit/>
          <w:trHeight w:val="247"/>
        </w:trPr>
        <w:tc>
          <w:tcPr>
            <w:tcW w:w="2157" w:type="dxa"/>
            <w:tcBorders>
              <w:top w:val="nil"/>
              <w:left w:val="nil"/>
              <w:bottom w:val="nil"/>
              <w:right w:val="nil"/>
            </w:tcBorders>
          </w:tcPr>
          <w:p w:rsidR="0036758E" w:rsidRPr="00155DDE" w:rsidRDefault="0036758E" w:rsidP="00376FEC">
            <w:pPr>
              <w:pStyle w:val="normaltabel"/>
              <w:rPr>
                <w:rFonts w:asciiTheme="minorHAnsi" w:hAnsiTheme="minorHAnsi" w:cstheme="minorHAnsi"/>
                <w:sz w:val="16"/>
                <w:szCs w:val="16"/>
              </w:rPr>
            </w:pPr>
            <w:r>
              <w:rPr>
                <w:rFonts w:asciiTheme="minorHAnsi" w:hAnsiTheme="minorHAnsi" w:cstheme="minorHAnsi"/>
                <w:sz w:val="16"/>
                <w:szCs w:val="16"/>
              </w:rPr>
              <w:t>WZI</w:t>
            </w:r>
          </w:p>
        </w:tc>
        <w:tc>
          <w:tcPr>
            <w:tcW w:w="6513" w:type="dxa"/>
            <w:tcBorders>
              <w:top w:val="nil"/>
              <w:left w:val="nil"/>
              <w:bottom w:val="nil"/>
              <w:right w:val="nil"/>
            </w:tcBorders>
          </w:tcPr>
          <w:p w:rsidR="0036758E" w:rsidRPr="00155DDE" w:rsidRDefault="0036758E" w:rsidP="00376FEC">
            <w:pPr>
              <w:pStyle w:val="normaltabel"/>
              <w:rPr>
                <w:rFonts w:asciiTheme="minorHAnsi" w:hAnsiTheme="minorHAnsi" w:cstheme="minorHAnsi"/>
                <w:sz w:val="16"/>
                <w:szCs w:val="16"/>
              </w:rPr>
            </w:pPr>
            <w:r>
              <w:rPr>
                <w:rFonts w:asciiTheme="minorHAnsi" w:hAnsiTheme="minorHAnsi" w:cstheme="minorHAnsi"/>
                <w:sz w:val="16"/>
                <w:szCs w:val="16"/>
              </w:rPr>
              <w:t>Waterzuiveringsinstallatie</w:t>
            </w:r>
          </w:p>
        </w:tc>
      </w:tr>
      <w:tr w:rsidR="00376FEC" w:rsidRPr="00AD4864" w:rsidTr="000A6D04">
        <w:trPr>
          <w:cantSplit/>
          <w:trHeight w:val="247"/>
        </w:trPr>
        <w:tc>
          <w:tcPr>
            <w:tcW w:w="2157"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ZS</w:t>
            </w:r>
          </w:p>
        </w:tc>
        <w:tc>
          <w:tcPr>
            <w:tcW w:w="6513" w:type="dxa"/>
            <w:tcBorders>
              <w:top w:val="nil"/>
              <w:left w:val="nil"/>
              <w:bottom w:val="nil"/>
              <w:right w:val="nil"/>
            </w:tcBorders>
          </w:tcPr>
          <w:p w:rsidR="00376FEC" w:rsidRPr="00AD4864" w:rsidRDefault="00F077DA" w:rsidP="00376FEC">
            <w:pPr>
              <w:pStyle w:val="normaltabel"/>
              <w:rPr>
                <w:rFonts w:asciiTheme="minorHAnsi" w:hAnsiTheme="minorHAnsi" w:cstheme="minorHAnsi"/>
                <w:sz w:val="16"/>
                <w:szCs w:val="16"/>
              </w:rPr>
            </w:pPr>
            <w:r w:rsidRPr="00F077DA">
              <w:rPr>
                <w:rFonts w:asciiTheme="minorHAnsi" w:hAnsiTheme="minorHAnsi" w:cstheme="minorHAnsi"/>
                <w:sz w:val="16"/>
                <w:szCs w:val="16"/>
              </w:rPr>
              <w:t>zwevende stoffen</w:t>
            </w:r>
          </w:p>
        </w:tc>
      </w:tr>
    </w:tbl>
    <w:p w:rsidR="00AF5F28" w:rsidRDefault="00AF5F28" w:rsidP="00AF3F9E"/>
    <w:p w:rsidR="00AF5F28" w:rsidRDefault="00AF5F28" w:rsidP="00AF3F9E">
      <w:pPr>
        <w:rPr>
          <w:lang w:val="nl-NL"/>
        </w:rPr>
      </w:pPr>
    </w:p>
    <w:p w:rsidR="00AF5F28" w:rsidRDefault="00AF5F28" w:rsidP="00AF3F9E"/>
    <w:p w:rsidR="00AF5F28" w:rsidRDefault="00AF5F28" w:rsidP="00AF3F9E">
      <w:pPr>
        <w:sectPr w:rsidR="00AF5F28" w:rsidSect="00C54545">
          <w:headerReference w:type="even" r:id="rId26"/>
          <w:headerReference w:type="default" r:id="rId27"/>
          <w:headerReference w:type="first" r:id="rId28"/>
          <w:pgSz w:w="11909" w:h="16834" w:code="9"/>
          <w:pgMar w:top="1240" w:right="1440" w:bottom="1440" w:left="1440" w:header="454" w:footer="709" w:gutter="0"/>
          <w:pgNumType w:start="1" w:chapSep="period"/>
          <w:cols w:space="708"/>
        </w:sectPr>
      </w:pPr>
    </w:p>
    <w:p w:rsidR="00AF5F28" w:rsidRPr="00A82A5F" w:rsidRDefault="00AF5F28" w:rsidP="004F40A7">
      <w:pPr>
        <w:pStyle w:val="Heading1"/>
      </w:pPr>
      <w:bookmarkStart w:id="74" w:name="hfdst1"/>
      <w:bookmarkStart w:id="75" w:name="_Toc107126316"/>
      <w:bookmarkStart w:id="76" w:name="_Toc154565973"/>
      <w:bookmarkStart w:id="77" w:name="_Toc154566613"/>
      <w:bookmarkStart w:id="78" w:name="_Toc155591910"/>
      <w:bookmarkStart w:id="79" w:name="_Toc160437840"/>
      <w:bookmarkStart w:id="80" w:name="_Toc161021314"/>
      <w:bookmarkStart w:id="81" w:name="_Toc161649772"/>
      <w:bookmarkStart w:id="82" w:name="_Toc162148803"/>
      <w:bookmarkStart w:id="83" w:name="_Toc162939416"/>
      <w:bookmarkStart w:id="84" w:name="_Toc162940195"/>
      <w:bookmarkStart w:id="85" w:name="_Toc163300593"/>
      <w:bookmarkStart w:id="86" w:name="_Toc163303310"/>
      <w:bookmarkStart w:id="87" w:name="_Toc163545149"/>
      <w:bookmarkStart w:id="88" w:name="_Toc163622412"/>
      <w:bookmarkStart w:id="89" w:name="_Toc169529752"/>
      <w:bookmarkStart w:id="90" w:name="_Toc170203086"/>
      <w:bookmarkStart w:id="91" w:name="_Toc171153357"/>
      <w:bookmarkStart w:id="92" w:name="_Toc171438829"/>
      <w:bookmarkStart w:id="93" w:name="_Toc173232381"/>
      <w:bookmarkStart w:id="94" w:name="_Toc180228900"/>
      <w:bookmarkStart w:id="95" w:name="_Toc181154051"/>
      <w:bookmarkStart w:id="96" w:name="_Toc182486214"/>
      <w:bookmarkStart w:id="97" w:name="_Toc183519499"/>
      <w:bookmarkStart w:id="98" w:name="_Toc183832297"/>
      <w:bookmarkStart w:id="99" w:name="_Toc183851244"/>
      <w:bookmarkStart w:id="100" w:name="_Toc183851476"/>
      <w:bookmarkStart w:id="101" w:name="_Toc184443546"/>
      <w:bookmarkStart w:id="102" w:name="_Toc185067486"/>
      <w:bookmarkStart w:id="103" w:name="_Toc189406877"/>
      <w:bookmarkStart w:id="104" w:name="_Toc189451418"/>
      <w:bookmarkStart w:id="105" w:name="_Toc189629814"/>
      <w:bookmarkStart w:id="106" w:name="_Toc224380768"/>
      <w:bookmarkStart w:id="107" w:name="_Toc225309154"/>
      <w:bookmarkStart w:id="108" w:name="_Toc225840099"/>
      <w:bookmarkStart w:id="109" w:name="_Toc225909929"/>
      <w:bookmarkStart w:id="110" w:name="_Toc230432984"/>
      <w:bookmarkStart w:id="111" w:name="_Toc230433533"/>
      <w:bookmarkStart w:id="112" w:name="_Toc236217794"/>
      <w:bookmarkStart w:id="113" w:name="_Toc241482688"/>
      <w:bookmarkStart w:id="114" w:name="_Toc248029409"/>
      <w:bookmarkStart w:id="115" w:name="_Toc251256937"/>
      <w:bookmarkStart w:id="116" w:name="_Toc251767739"/>
      <w:bookmarkStart w:id="117" w:name="_Toc253038337"/>
      <w:bookmarkStart w:id="118" w:name="_Toc259197790"/>
      <w:bookmarkStart w:id="119" w:name="_Toc263434180"/>
      <w:bookmarkStart w:id="120" w:name="_Toc271806471"/>
      <w:bookmarkStart w:id="121" w:name="_Toc272754304"/>
      <w:bookmarkStart w:id="122" w:name="_Toc272754462"/>
      <w:bookmarkStart w:id="123" w:name="_Toc272754620"/>
      <w:bookmarkStart w:id="124" w:name="_Toc278442242"/>
      <w:bookmarkStart w:id="125" w:name="_Toc279411631"/>
      <w:bookmarkStart w:id="126" w:name="_Toc279480135"/>
      <w:bookmarkStart w:id="127" w:name="_Toc282505659"/>
      <w:bookmarkStart w:id="128" w:name="_Toc295920098"/>
      <w:bookmarkStart w:id="129" w:name="_Toc295923329"/>
      <w:bookmarkStart w:id="130" w:name="_Toc295923641"/>
      <w:bookmarkStart w:id="131" w:name="_Toc295995239"/>
      <w:bookmarkStart w:id="132" w:name="_Toc296004821"/>
      <w:bookmarkStart w:id="133" w:name="_Toc296085772"/>
      <w:bookmarkStart w:id="134" w:name="_Toc296330679"/>
      <w:bookmarkStart w:id="135" w:name="_Toc296419395"/>
      <w:bookmarkStart w:id="136" w:name="_Toc297286141"/>
      <w:bookmarkStart w:id="137" w:name="_Toc297542441"/>
      <w:bookmarkStart w:id="138" w:name="_Toc297546580"/>
      <w:bookmarkStart w:id="139" w:name="_Toc297546745"/>
      <w:bookmarkStart w:id="140" w:name="_Toc297546910"/>
      <w:bookmarkStart w:id="141" w:name="_Toc297547075"/>
      <w:bookmarkStart w:id="142" w:name="_Toc297553576"/>
      <w:bookmarkStart w:id="143" w:name="_Toc297649742"/>
      <w:bookmarkStart w:id="144" w:name="_Toc297722542"/>
      <w:bookmarkStart w:id="145" w:name="_Toc297725560"/>
      <w:bookmarkStart w:id="146" w:name="_Toc298161678"/>
      <w:bookmarkStart w:id="147" w:name="_Toc299981026"/>
      <w:bookmarkStart w:id="148" w:name="_Toc299981209"/>
      <w:bookmarkStart w:id="149" w:name="_Toc299981392"/>
      <w:bookmarkStart w:id="150" w:name="_Toc299982607"/>
      <w:bookmarkStart w:id="151" w:name="_Toc299982790"/>
      <w:bookmarkStart w:id="152" w:name="_Toc299985079"/>
      <w:bookmarkStart w:id="153" w:name="_Toc299986178"/>
      <w:bookmarkStart w:id="154" w:name="_Toc299986361"/>
      <w:bookmarkStart w:id="155" w:name="_Toc300045567"/>
      <w:bookmarkStart w:id="156" w:name="_Toc300232256"/>
      <w:bookmarkStart w:id="157" w:name="_Toc300303620"/>
      <w:bookmarkStart w:id="158" w:name="_Toc300559544"/>
      <w:bookmarkStart w:id="159" w:name="_Toc300560952"/>
      <w:bookmarkStart w:id="160" w:name="_Toc300561568"/>
      <w:bookmarkStart w:id="161" w:name="_Toc300561751"/>
      <w:bookmarkStart w:id="162" w:name="_Toc300562698"/>
      <w:bookmarkStart w:id="163" w:name="_Toc311109199"/>
      <w:bookmarkStart w:id="164" w:name="_Toc311212564"/>
      <w:bookmarkStart w:id="165" w:name="_Toc311451831"/>
      <w:bookmarkStart w:id="166" w:name="_Toc312069192"/>
      <w:r w:rsidRPr="00A82A5F">
        <w:lastRenderedPageBreak/>
        <w:t>Algeme</w:t>
      </w:r>
      <w:r w:rsidR="00754F76" w:rsidRPr="00A82A5F">
        <w:t>e</w:t>
      </w:r>
      <w:r w:rsidRPr="00A82A5F">
        <w:t>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AF5F28" w:rsidRDefault="00AF5F28" w:rsidP="00AF3F9E">
      <w:pPr>
        <w:rPr>
          <w:lang w:val="nl"/>
        </w:rPr>
      </w:pPr>
    </w:p>
    <w:p w:rsidR="00AF5F28" w:rsidRDefault="00AF5F28" w:rsidP="00AF3F9E">
      <w:pPr>
        <w:rPr>
          <w:lang w:val="nl"/>
        </w:rPr>
      </w:pPr>
    </w:p>
    <w:p w:rsidR="00AF5F28" w:rsidRDefault="00AF5F28" w:rsidP="00AF3F9E">
      <w:pPr>
        <w:rPr>
          <w:lang w:val="nl"/>
        </w:rPr>
        <w:sectPr w:rsidR="00AF5F28" w:rsidSect="00C54545">
          <w:headerReference w:type="even" r:id="rId29"/>
          <w:headerReference w:type="default" r:id="rId30"/>
          <w:headerReference w:type="first" r:id="rId31"/>
          <w:pgSz w:w="11909" w:h="16834" w:code="9"/>
          <w:pgMar w:top="1240" w:right="1440" w:bottom="1440" w:left="1440" w:header="454" w:footer="709" w:gutter="0"/>
          <w:pgNumType w:start="1" w:chapStyle="1" w:chapSep="period"/>
          <w:cols w:space="708"/>
        </w:sectPr>
      </w:pPr>
    </w:p>
    <w:p w:rsidR="00C56647" w:rsidRDefault="00C56647" w:rsidP="004F40A7">
      <w:pPr>
        <w:pStyle w:val="Heading2"/>
      </w:pPr>
      <w:bookmarkStart w:id="167" w:name="_Toc312069193"/>
      <w:r>
        <w:lastRenderedPageBreak/>
        <w:t>Vopak Organisatie</w:t>
      </w:r>
      <w:bookmarkEnd w:id="167"/>
    </w:p>
    <w:p w:rsidR="00481DA3" w:rsidRDefault="00481DA3" w:rsidP="00AF3F9E">
      <w:r>
        <w:t xml:space="preserve">Koninklijke Vopak NV is een wereldwijd opererende, onafhankelijke tankterminal operator, gespecialiseerd in de op- en overslag van vloeibare chemie¬ en olieproducten. Desgewenst levert Vopak logistieke diensten voor klanten van de terminal. Vopak exploiteert 74 terminals met een opslagcapaciteit van ruim 21 miljoen m3 in 30 landen. Deze terminals liggen op strategische plaatsen ten opzichte van de gebruikers en de belangrijkste vaarroutes. Klanten zijn overwegend ondernemingen uit de chemische industrie en de olie-industrie voor wie Vopak een grote verscheidenheid aan producten opslaat. Deze producten vinden hun weg naar een groot aantal industrieën.  </w:t>
      </w:r>
    </w:p>
    <w:p w:rsidR="00003D35" w:rsidRDefault="00481DA3" w:rsidP="00AF3F9E">
      <w:r>
        <w:t>Te Antwerpen beschikt de Vopak-organisatie over 3 tankterminals, namelijk Vopak Terminal ACS (VTA), Vopak Terminal Linkeroever (VTL) en Vopak Terminal Eurotank (VTE). VTA en VTL maken deel uit van de vennootschap Vopak Chemical Terminals Be</w:t>
      </w:r>
      <w:r w:rsidR="00E72AD2">
        <w:t>l</w:t>
      </w:r>
      <w:r>
        <w:t>gium NV, VTE maakt deel uit van de vennootschap</w:t>
      </w:r>
      <w:r w:rsidR="007B06BE">
        <w:t xml:space="preserve"> </w:t>
      </w:r>
      <w:r w:rsidR="00C325A0">
        <w:fldChar w:fldCharType="begin"/>
      </w:r>
      <w:r w:rsidR="007B06BE">
        <w:instrText xml:space="preserve"> REF klant \h </w:instrText>
      </w:r>
      <w:r w:rsidR="00C325A0">
        <w:fldChar w:fldCharType="separate"/>
      </w:r>
      <w:r w:rsidR="008102D8">
        <w:t xml:space="preserve">Vopak Terminal Eurotank NV </w:t>
      </w:r>
      <w:r w:rsidR="00C325A0">
        <w:fldChar w:fldCharType="end"/>
      </w:r>
      <w:r w:rsidR="00DB4A01">
        <w:t>. VTE i</w:t>
      </w:r>
      <w:r w:rsidR="000F265C">
        <w:t>s een dochteronderneming van de Koninklijke Vopak, een Nederlandse holding.</w:t>
      </w:r>
    </w:p>
    <w:p w:rsidR="00481DA3" w:rsidRDefault="00481DA3" w:rsidP="00AF3F9E">
      <w:r>
        <w:t>VTE, gesitueerd op rechteroever, is een terminal met als hoofdactiviteit de op- en overslag van vloeistoffen voor derden. Deze vloeistoffen worden in bulk aangeleverd en op</w:t>
      </w:r>
      <w:r>
        <w:softHyphen/>
        <w:t>ge</w:t>
      </w:r>
      <w:r>
        <w:softHyphen/>
        <w:t xml:space="preserve">slagen in tanks verdeeld over </w:t>
      </w:r>
      <w:r w:rsidR="00560E20">
        <w:t xml:space="preserve">verschillende </w:t>
      </w:r>
      <w:r w:rsidRPr="000E4BCB">
        <w:t>tan</w:t>
      </w:r>
      <w:r w:rsidRPr="000E4BCB">
        <w:softHyphen/>
        <w:t>k</w:t>
      </w:r>
      <w:r w:rsidRPr="000E4BCB">
        <w:softHyphen/>
        <w:t>en</w:t>
      </w:r>
      <w:r w:rsidRPr="000E4BCB">
        <w:softHyphen/>
        <w:t>parken</w:t>
      </w:r>
      <w:r w:rsidR="00D256B2">
        <w:rPr>
          <w:rStyle w:val="FootnoteReference"/>
        </w:rPr>
        <w:footnoteReference w:id="1"/>
      </w:r>
      <w:r>
        <w:t>. Een zeer beperkt deel van de opgeslagen vloeistoffen wordt ter plaatse afgevuld in eenheids</w:t>
      </w:r>
      <w:r>
        <w:softHyphen/>
        <w:t>verpakkingen.</w:t>
      </w:r>
      <w:r>
        <w:tab/>
      </w:r>
    </w:p>
    <w:p w:rsidR="00C56647" w:rsidRDefault="00F0627C" w:rsidP="004F40A7">
      <w:pPr>
        <w:pStyle w:val="Heading2"/>
      </w:pPr>
      <w:bookmarkStart w:id="168" w:name="_Toc312069194"/>
      <w:r>
        <w:t>Vopak Terminal Eurotank</w:t>
      </w:r>
      <w:r w:rsidR="00003D35">
        <w:t xml:space="preserve"> (VTE)</w:t>
      </w:r>
      <w:bookmarkEnd w:id="168"/>
    </w:p>
    <w:p w:rsidR="00C56647" w:rsidRDefault="00C56647" w:rsidP="004F40A7">
      <w:pPr>
        <w:pStyle w:val="Heading3"/>
      </w:pPr>
      <w:bookmarkStart w:id="169" w:name="_Toc312069195"/>
      <w:r>
        <w:t>Historiek</w:t>
      </w:r>
      <w:bookmarkEnd w:id="169"/>
    </w:p>
    <w:p w:rsidR="00003D35" w:rsidRPr="00003D35" w:rsidRDefault="00003D35" w:rsidP="00AF3F9E">
      <w:r w:rsidRPr="00003D35">
        <w:t>Vopak Terminal Eurotank NV is sinds september 2008</w:t>
      </w:r>
      <w:r w:rsidR="00481DA3">
        <w:rPr>
          <w:rStyle w:val="FootnoteReference"/>
        </w:rPr>
        <w:footnoteReference w:id="2"/>
      </w:r>
      <w:r w:rsidRPr="00003D35">
        <w:t xml:space="preserve"> exploitant aan de</w:t>
      </w:r>
      <w:r>
        <w:t xml:space="preserve"> </w:t>
      </w:r>
      <w:r w:rsidRPr="00003D35">
        <w:t>Industrieweg 16 (Haven 399) te 2030 Antwerpen waar ze beschikt over een milieuvergunning voor haar terminal op de Rechter Schelde Oever meer bepaald aan het industriedok en het vijfde havendok. Deze terminal wordt kortweg Vopak Terminal Eurotank o</w:t>
      </w:r>
      <w:r w:rsidR="00481DA3">
        <w:t xml:space="preserve">f </w:t>
      </w:r>
      <w:r w:rsidRPr="00003D35">
        <w:t xml:space="preserve"> VTE  genoemd. </w:t>
      </w:r>
    </w:p>
    <w:p w:rsidR="00003D35" w:rsidRPr="00003D35" w:rsidRDefault="00481DA3" w:rsidP="00AF3F9E">
      <w:r>
        <w:t>VTE</w:t>
      </w:r>
      <w:r w:rsidR="00003D35" w:rsidRPr="00003D35">
        <w:t xml:space="preserve"> is vergund tot 11/5/2015.</w:t>
      </w:r>
    </w:p>
    <w:p w:rsidR="00EE4586" w:rsidRPr="00CE13DA" w:rsidRDefault="00EE4586" w:rsidP="004F40A7">
      <w:pPr>
        <w:pStyle w:val="Heading3"/>
      </w:pPr>
      <w:bookmarkStart w:id="170" w:name="_Toc312069196"/>
      <w:r w:rsidRPr="00CE13DA">
        <w:t>Administratieve voorgeschiedenis</w:t>
      </w:r>
      <w:bookmarkEnd w:id="170"/>
    </w:p>
    <w:p w:rsidR="008D673F" w:rsidRDefault="008D673F" w:rsidP="00AF3F9E">
      <w:r w:rsidRPr="00965878">
        <w:t xml:space="preserve">In </w:t>
      </w:r>
      <w:r w:rsidR="00965878" w:rsidRPr="00965878">
        <w:t>11/05/1995</w:t>
      </w:r>
      <w:r w:rsidRPr="00965878">
        <w:t xml:space="preserve"> werd de eerste </w:t>
      </w:r>
      <w:r w:rsidR="00ED03F3">
        <w:t>VLAREM-vergunning</w:t>
      </w:r>
      <w:r w:rsidR="00ED03F3">
        <w:rPr>
          <w:rStyle w:val="FootnoteReference"/>
        </w:rPr>
        <w:footnoteReference w:id="3"/>
      </w:r>
      <w:r w:rsidR="00ED03F3">
        <w:t xml:space="preserve"> </w:t>
      </w:r>
      <w:r w:rsidRPr="00965878">
        <w:t xml:space="preserve">verleend voor de exploitatie van een tankenpark. Deze basisvergunning en later verleende exploitatie- en milieuvergunningen, werden verleend voor een termijn eindigend op </w:t>
      </w:r>
      <w:r w:rsidR="00965878" w:rsidRPr="00965878">
        <w:t>11/05/2015.</w:t>
      </w:r>
    </w:p>
    <w:p w:rsidR="008D673F" w:rsidRDefault="008D673F" w:rsidP="00AF3F9E">
      <w:r>
        <w:t xml:space="preserve">Gezien het feit dat de </w:t>
      </w:r>
      <w:r w:rsidRPr="00D55CFF">
        <w:t xml:space="preserve">opslagactiviteiten van </w:t>
      </w:r>
      <w:r w:rsidR="00C325A0" w:rsidRPr="00D55CFF">
        <w:fldChar w:fldCharType="begin"/>
      </w:r>
      <w:r w:rsidR="000C7C16" w:rsidRPr="00D55CFF">
        <w:instrText xml:space="preserve"> klant </w:instrText>
      </w:r>
      <w:r w:rsidR="00C325A0" w:rsidRPr="00D55CFF">
        <w:fldChar w:fldCharType="separate"/>
      </w:r>
      <w:r w:rsidR="008102D8">
        <w:t xml:space="preserve">Vopak Terminal Eurotank NV </w:t>
      </w:r>
      <w:r w:rsidR="00C325A0" w:rsidRPr="00D55CFF">
        <w:fldChar w:fldCharType="end"/>
      </w:r>
      <w:r w:rsidR="00A057CE" w:rsidRPr="00D55CFF">
        <w:t xml:space="preserve"> </w:t>
      </w:r>
      <w:r w:rsidRPr="00D55CFF">
        <w:t>onderworpen zijn aan de veiligheidsrapportageplicht</w:t>
      </w:r>
      <w:r w:rsidRPr="00D55CFF">
        <w:rPr>
          <w:rStyle w:val="FootnoteReference"/>
        </w:rPr>
        <w:footnoteReference w:id="4"/>
      </w:r>
      <w:r w:rsidRPr="00D55CFF">
        <w:t>, werden er diverse veiligheidsrapporten</w:t>
      </w:r>
      <w:r w:rsidRPr="00D55CFF">
        <w:rPr>
          <w:rStyle w:val="FootnoteReference"/>
        </w:rPr>
        <w:footnoteReference w:id="5"/>
      </w:r>
      <w:r w:rsidRPr="00D55CFF">
        <w:t xml:space="preserve"> opgesteld.</w:t>
      </w:r>
    </w:p>
    <w:p w:rsidR="008D673F" w:rsidRDefault="008D673F" w:rsidP="00AF3F9E">
      <w:r>
        <w:t xml:space="preserve">Tabel </w:t>
      </w:r>
      <w:r w:rsidR="00C325A0">
        <w:fldChar w:fldCharType="begin"/>
      </w:r>
      <w:r w:rsidR="000C7C16">
        <w:instrText xml:space="preserve"> t_milieuvergunningen </w:instrText>
      </w:r>
      <w:r w:rsidR="00C325A0">
        <w:fldChar w:fldCharType="separate"/>
      </w:r>
      <w:r>
        <w:t>I.2.2</w:t>
      </w:r>
      <w:r w:rsidR="00C325A0">
        <w:fldChar w:fldCharType="end"/>
      </w:r>
      <w:r>
        <w:t xml:space="preserve"> geeft een overzicht van de bij opmaak van voorliggend rapport vigerende milieuvergunningen.</w:t>
      </w:r>
    </w:p>
    <w:p w:rsidR="008D673F" w:rsidRDefault="008D673F" w:rsidP="00AF3F9E">
      <w:pPr>
        <w:pStyle w:val="tabel0"/>
      </w:pPr>
      <w:r>
        <w:lastRenderedPageBreak/>
        <w:t xml:space="preserve">Tabel </w:t>
      </w:r>
      <w:r w:rsidR="00C325A0">
        <w:fldChar w:fldCharType="begin"/>
      </w:r>
      <w:r w:rsidR="000C7C16">
        <w:instrText xml:space="preserve"> t_milieuvergunningen </w:instrText>
      </w:r>
      <w:r w:rsidR="00C325A0">
        <w:fldChar w:fldCharType="separate"/>
      </w:r>
      <w:r>
        <w:t>I.2.2</w:t>
      </w:r>
      <w:r w:rsidR="00C325A0">
        <w:fldChar w:fldCharType="end"/>
      </w:r>
      <w:r>
        <w:tab/>
        <w:t>Overzicht milieuvergunningen</w:t>
      </w:r>
    </w:p>
    <w:tbl>
      <w:tblPr>
        <w:tblW w:w="9064" w:type="dxa"/>
        <w:tblInd w:w="8" w:type="dxa"/>
        <w:tblLayout w:type="fixed"/>
        <w:tblCellMar>
          <w:left w:w="0" w:type="dxa"/>
          <w:right w:w="0" w:type="dxa"/>
        </w:tblCellMar>
        <w:tblLook w:val="0000"/>
      </w:tblPr>
      <w:tblGrid>
        <w:gridCol w:w="701"/>
        <w:gridCol w:w="1843"/>
        <w:gridCol w:w="709"/>
        <w:gridCol w:w="1275"/>
        <w:gridCol w:w="992"/>
        <w:gridCol w:w="3544"/>
      </w:tblGrid>
      <w:tr w:rsidR="00B66E22" w:rsidRPr="00E40767" w:rsidTr="00B66E22">
        <w:trPr>
          <w:cantSplit/>
        </w:trPr>
        <w:tc>
          <w:tcPr>
            <w:tcW w:w="701" w:type="dxa"/>
            <w:tcBorders>
              <w:top w:val="single" w:sz="4" w:space="0" w:color="auto"/>
              <w:bottom w:val="single" w:sz="4" w:space="0" w:color="auto"/>
            </w:tcBorders>
            <w:shd w:val="clear" w:color="auto" w:fill="F3F3F3"/>
          </w:tcPr>
          <w:p w:rsidR="00B66E22" w:rsidRPr="00E40767" w:rsidRDefault="00B66E22" w:rsidP="00AF3F9E">
            <w:pPr>
              <w:pStyle w:val="normaltabel0"/>
            </w:pPr>
            <w:r w:rsidRPr="00E40767">
              <w:t>Overheid</w:t>
            </w:r>
          </w:p>
        </w:tc>
        <w:tc>
          <w:tcPr>
            <w:tcW w:w="1843" w:type="dxa"/>
            <w:tcBorders>
              <w:top w:val="single" w:sz="4" w:space="0" w:color="auto"/>
              <w:bottom w:val="single" w:sz="4" w:space="0" w:color="auto"/>
            </w:tcBorders>
            <w:shd w:val="clear" w:color="auto" w:fill="F3F3F3"/>
          </w:tcPr>
          <w:p w:rsidR="00B66E22" w:rsidRPr="00E40767" w:rsidRDefault="00B66E22" w:rsidP="00712A63">
            <w:pPr>
              <w:pStyle w:val="normaltabel0"/>
              <w:jc w:val="center"/>
            </w:pPr>
            <w:r w:rsidRPr="00E40767">
              <w:t>Referentie</w:t>
            </w:r>
          </w:p>
        </w:tc>
        <w:tc>
          <w:tcPr>
            <w:tcW w:w="709" w:type="dxa"/>
            <w:tcBorders>
              <w:top w:val="single" w:sz="4" w:space="0" w:color="auto"/>
              <w:bottom w:val="single" w:sz="4" w:space="0" w:color="auto"/>
            </w:tcBorders>
            <w:shd w:val="clear" w:color="auto" w:fill="F3F3F3"/>
          </w:tcPr>
          <w:p w:rsidR="00B66E22" w:rsidRPr="00E40767" w:rsidRDefault="00B66E22" w:rsidP="00712A63">
            <w:pPr>
              <w:pStyle w:val="normaltabel0"/>
              <w:jc w:val="center"/>
            </w:pPr>
            <w:r>
              <w:t>Bijzonde voorw.</w:t>
            </w:r>
          </w:p>
        </w:tc>
        <w:tc>
          <w:tcPr>
            <w:tcW w:w="1275" w:type="dxa"/>
            <w:tcBorders>
              <w:top w:val="single" w:sz="4" w:space="0" w:color="auto"/>
              <w:bottom w:val="single" w:sz="4" w:space="0" w:color="auto"/>
            </w:tcBorders>
            <w:shd w:val="clear" w:color="auto" w:fill="F3F3F3"/>
          </w:tcPr>
          <w:p w:rsidR="00B66E22" w:rsidRPr="00E40767" w:rsidRDefault="00B66E22" w:rsidP="00712A63">
            <w:pPr>
              <w:pStyle w:val="normaltabel0"/>
              <w:jc w:val="center"/>
            </w:pPr>
            <w:r w:rsidRPr="00E40767">
              <w:t>Datum</w:t>
            </w:r>
            <w:r w:rsidRPr="00E40767">
              <w:br/>
              <w:t>besluit</w:t>
            </w:r>
          </w:p>
        </w:tc>
        <w:tc>
          <w:tcPr>
            <w:tcW w:w="992" w:type="dxa"/>
            <w:tcBorders>
              <w:top w:val="single" w:sz="4" w:space="0" w:color="auto"/>
              <w:bottom w:val="single" w:sz="4" w:space="0" w:color="auto"/>
            </w:tcBorders>
            <w:shd w:val="clear" w:color="auto" w:fill="F3F3F3"/>
          </w:tcPr>
          <w:p w:rsidR="00B66E22" w:rsidRPr="00E40767" w:rsidRDefault="00B66E22" w:rsidP="00712A63">
            <w:pPr>
              <w:pStyle w:val="normaltabel0"/>
              <w:jc w:val="center"/>
            </w:pPr>
            <w:r w:rsidRPr="00E40767">
              <w:t>Eind-</w:t>
            </w:r>
            <w:r w:rsidRPr="00E40767">
              <w:br/>
              <w:t>datum</w:t>
            </w:r>
          </w:p>
        </w:tc>
        <w:tc>
          <w:tcPr>
            <w:tcW w:w="3544" w:type="dxa"/>
            <w:tcBorders>
              <w:top w:val="single" w:sz="4" w:space="0" w:color="auto"/>
              <w:bottom w:val="single" w:sz="4" w:space="0" w:color="auto"/>
            </w:tcBorders>
            <w:shd w:val="clear" w:color="auto" w:fill="F3F3F3"/>
          </w:tcPr>
          <w:p w:rsidR="00B66E22" w:rsidRPr="00E40767" w:rsidRDefault="00B66E22" w:rsidP="00AF3F9E">
            <w:pPr>
              <w:pStyle w:val="normaltabel0"/>
            </w:pPr>
            <w:r w:rsidRPr="00E40767">
              <w:t>Onderwerp</w:t>
            </w:r>
          </w:p>
        </w:tc>
      </w:tr>
      <w:tr w:rsidR="00B66E22" w:rsidRPr="00E40767" w:rsidTr="00B66E22">
        <w:tblPrEx>
          <w:tblLook w:val="00B7"/>
        </w:tblPrEx>
        <w:trPr>
          <w:cantSplit/>
        </w:trPr>
        <w:tc>
          <w:tcPr>
            <w:tcW w:w="701" w:type="dxa"/>
            <w:shd w:val="clear" w:color="auto" w:fill="auto"/>
            <w:vAlign w:val="center"/>
          </w:tcPr>
          <w:p w:rsidR="00B66E22" w:rsidRPr="00CA2261" w:rsidRDefault="00B66E22" w:rsidP="00712A63">
            <w:pPr>
              <w:pStyle w:val="normaltabel0"/>
              <w:jc w:val="left"/>
            </w:pPr>
            <w:r>
              <w:t>BD</w:t>
            </w:r>
          </w:p>
        </w:tc>
        <w:tc>
          <w:tcPr>
            <w:tcW w:w="1843" w:type="dxa"/>
            <w:shd w:val="clear" w:color="auto" w:fill="auto"/>
            <w:vAlign w:val="center"/>
          </w:tcPr>
          <w:p w:rsidR="00B66E22" w:rsidRPr="00712A63" w:rsidRDefault="00B66E22" w:rsidP="00712A63">
            <w:pPr>
              <w:pStyle w:val="normaltabel0"/>
              <w:jc w:val="center"/>
              <w:rPr>
                <w:sz w:val="12"/>
                <w:szCs w:val="12"/>
              </w:rPr>
            </w:pPr>
            <w:r w:rsidRPr="00712A63">
              <w:rPr>
                <w:rFonts w:ascii="Arial" w:hAnsi="Arial" w:cs="Arial"/>
                <w:spacing w:val="-2"/>
                <w:sz w:val="12"/>
                <w:szCs w:val="12"/>
              </w:rPr>
              <w:t>2/MV/MLAV1/9500000016/MV/AB</w:t>
            </w:r>
          </w:p>
        </w:tc>
        <w:tc>
          <w:tcPr>
            <w:tcW w:w="709" w:type="dxa"/>
            <w:vAlign w:val="center"/>
          </w:tcPr>
          <w:p w:rsidR="00B66E22" w:rsidRDefault="00B66E22" w:rsidP="00B66E22">
            <w:pPr>
              <w:pStyle w:val="normaltabel0"/>
              <w:jc w:val="center"/>
            </w:pPr>
            <w:r>
              <w:t>(1)</w:t>
            </w:r>
          </w:p>
        </w:tc>
        <w:tc>
          <w:tcPr>
            <w:tcW w:w="1275" w:type="dxa"/>
            <w:shd w:val="clear" w:color="auto" w:fill="auto"/>
            <w:vAlign w:val="center"/>
          </w:tcPr>
          <w:p w:rsidR="00B66E22" w:rsidRPr="00CA2261" w:rsidRDefault="00B66E22" w:rsidP="00712A63">
            <w:pPr>
              <w:pStyle w:val="normaltabel0"/>
              <w:jc w:val="center"/>
            </w:pPr>
            <w:r>
              <w:t>11/05/1995</w:t>
            </w:r>
          </w:p>
        </w:tc>
        <w:tc>
          <w:tcPr>
            <w:tcW w:w="992" w:type="dxa"/>
            <w:shd w:val="clear" w:color="auto" w:fill="auto"/>
            <w:vAlign w:val="center"/>
          </w:tcPr>
          <w:p w:rsidR="00B66E22" w:rsidRPr="00CA2261" w:rsidRDefault="00B66E22" w:rsidP="00712A63">
            <w:pPr>
              <w:pStyle w:val="normaltabel0"/>
              <w:jc w:val="center"/>
            </w:pPr>
            <w:r>
              <w:t>11/05/2015</w:t>
            </w:r>
          </w:p>
        </w:tc>
        <w:tc>
          <w:tcPr>
            <w:tcW w:w="3544" w:type="dxa"/>
            <w:shd w:val="clear" w:color="auto" w:fill="auto"/>
          </w:tcPr>
          <w:p w:rsidR="00B66E22" w:rsidRPr="00E40767" w:rsidRDefault="00B66E22" w:rsidP="00712A63">
            <w:pPr>
              <w:pStyle w:val="normaltabel0"/>
            </w:pPr>
            <w:r>
              <w:t xml:space="preserve"> </w:t>
            </w:r>
            <w:r w:rsidRPr="009B3B9F">
              <w:rPr>
                <w:rFonts w:ascii="Arial" w:hAnsi="Arial" w:cs="Arial"/>
                <w:spacing w:val="-2"/>
                <w:sz w:val="16"/>
                <w:szCs w:val="16"/>
              </w:rPr>
              <w:t>Tankpark 10-50-100-200-300-400-500-550-600-650-660-700-750-800 + diverse Vlarem I rubrieken</w:t>
            </w:r>
          </w:p>
        </w:tc>
      </w:tr>
      <w:tr w:rsidR="00B66E22" w:rsidRPr="00E40767" w:rsidTr="00B66E22">
        <w:tblPrEx>
          <w:tblLook w:val="00B7"/>
        </w:tblPrEx>
        <w:trPr>
          <w:cantSplit/>
        </w:trPr>
        <w:tc>
          <w:tcPr>
            <w:tcW w:w="701" w:type="dxa"/>
            <w:shd w:val="clear" w:color="auto" w:fill="auto"/>
            <w:vAlign w:val="center"/>
          </w:tcPr>
          <w:p w:rsidR="00B66E22" w:rsidRPr="009B3B9F" w:rsidRDefault="00B66E22" w:rsidP="00712A63">
            <w:pPr>
              <w:tabs>
                <w:tab w:val="left" w:pos="-720"/>
              </w:tabs>
              <w:suppressAutoHyphens/>
              <w:spacing w:before="90" w:after="54"/>
              <w:jc w:val="left"/>
              <w:rPr>
                <w:rFonts w:ascii="Arial" w:hAnsi="Arial" w:cs="Arial"/>
                <w:spacing w:val="-2"/>
                <w:sz w:val="16"/>
                <w:szCs w:val="16"/>
                <w:lang w:val="nl-NL"/>
              </w:rPr>
            </w:pPr>
            <w:r>
              <w:t>BD</w:t>
            </w:r>
          </w:p>
        </w:tc>
        <w:tc>
          <w:tcPr>
            <w:tcW w:w="1843" w:type="dxa"/>
            <w:shd w:val="clear" w:color="auto" w:fill="auto"/>
            <w:vAlign w:val="center"/>
          </w:tcPr>
          <w:p w:rsidR="00B66E22" w:rsidRPr="00712A63" w:rsidRDefault="00B66E22" w:rsidP="00712A63">
            <w:pPr>
              <w:tabs>
                <w:tab w:val="left" w:pos="-720"/>
              </w:tabs>
              <w:suppressAutoHyphens/>
              <w:spacing w:before="90" w:after="54"/>
              <w:jc w:val="center"/>
              <w:rPr>
                <w:rFonts w:ascii="Arial" w:hAnsi="Arial" w:cs="Arial"/>
                <w:spacing w:val="-2"/>
                <w:sz w:val="12"/>
                <w:szCs w:val="12"/>
                <w:lang w:val="nl-NL"/>
              </w:rPr>
            </w:pPr>
          </w:p>
        </w:tc>
        <w:tc>
          <w:tcPr>
            <w:tcW w:w="709" w:type="dxa"/>
            <w:vAlign w:val="center"/>
          </w:tcPr>
          <w:p w:rsidR="00B66E22" w:rsidRPr="009B3B9F" w:rsidRDefault="00B66E22" w:rsidP="00B66E22">
            <w:pPr>
              <w:pStyle w:val="normaltabel0"/>
              <w:jc w:val="center"/>
              <w:rPr>
                <w:rFonts w:ascii="Arial" w:hAnsi="Arial" w:cs="Arial"/>
                <w:spacing w:val="-2"/>
                <w:sz w:val="16"/>
                <w:szCs w:val="16"/>
              </w:rPr>
            </w:pPr>
          </w:p>
        </w:tc>
        <w:tc>
          <w:tcPr>
            <w:tcW w:w="1275" w:type="dxa"/>
            <w:shd w:val="clear" w:color="auto" w:fill="auto"/>
            <w:vAlign w:val="center"/>
          </w:tcPr>
          <w:p w:rsidR="00B66E22" w:rsidRPr="00F32B6E" w:rsidRDefault="00B66E22" w:rsidP="00712A63">
            <w:pPr>
              <w:pStyle w:val="normaltabel0"/>
              <w:jc w:val="center"/>
              <w:rPr>
                <w:highlight w:val="yellow"/>
              </w:rPr>
            </w:pPr>
            <w:r w:rsidRPr="009B3B9F">
              <w:rPr>
                <w:rFonts w:ascii="Arial" w:hAnsi="Arial" w:cs="Arial"/>
                <w:spacing w:val="-2"/>
                <w:sz w:val="16"/>
                <w:szCs w:val="16"/>
              </w:rPr>
              <w:t>08/11/1996</w:t>
            </w:r>
          </w:p>
        </w:tc>
        <w:tc>
          <w:tcPr>
            <w:tcW w:w="992" w:type="dxa"/>
            <w:shd w:val="clear" w:color="auto" w:fill="auto"/>
            <w:vAlign w:val="center"/>
          </w:tcPr>
          <w:p w:rsidR="00B66E22" w:rsidRPr="009B3B9F" w:rsidRDefault="00B66E22" w:rsidP="00712A63">
            <w:pPr>
              <w:tabs>
                <w:tab w:val="left" w:pos="-720"/>
              </w:tabs>
              <w:suppressAutoHyphens/>
              <w:spacing w:before="90" w:after="54"/>
              <w:jc w:val="center"/>
              <w:rPr>
                <w:rFonts w:ascii="Arial" w:hAnsi="Arial" w:cs="Arial"/>
                <w:spacing w:val="-2"/>
                <w:sz w:val="16"/>
                <w:szCs w:val="16"/>
                <w:lang w:val="nl-NL"/>
              </w:rPr>
            </w:pPr>
            <w:r w:rsidRPr="009B3B9F">
              <w:rPr>
                <w:rFonts w:ascii="Arial" w:hAnsi="Arial" w:cs="Arial"/>
                <w:spacing w:val="-2"/>
                <w:sz w:val="16"/>
                <w:szCs w:val="16"/>
                <w:lang w:val="nl-NL"/>
              </w:rPr>
              <w:t>11/05/2015</w:t>
            </w:r>
          </w:p>
        </w:tc>
        <w:tc>
          <w:tcPr>
            <w:tcW w:w="3544" w:type="dxa"/>
            <w:shd w:val="clear" w:color="auto" w:fill="auto"/>
          </w:tcPr>
          <w:p w:rsidR="00B66E22" w:rsidRPr="009B3B9F" w:rsidRDefault="00B66E22" w:rsidP="00712A63">
            <w:pPr>
              <w:tabs>
                <w:tab w:val="left" w:pos="-720"/>
              </w:tabs>
              <w:suppressAutoHyphens/>
              <w:spacing w:before="90" w:after="54"/>
              <w:rPr>
                <w:rFonts w:ascii="Arial" w:hAnsi="Arial" w:cs="Arial"/>
                <w:spacing w:val="-2"/>
                <w:sz w:val="16"/>
                <w:szCs w:val="16"/>
                <w:lang w:val="nl-NL"/>
              </w:rPr>
            </w:pPr>
            <w:r w:rsidRPr="009B3B9F">
              <w:rPr>
                <w:rFonts w:ascii="Arial" w:hAnsi="Arial" w:cs="Arial"/>
                <w:spacing w:val="-2"/>
                <w:sz w:val="16"/>
                <w:szCs w:val="16"/>
                <w:lang w:val="nl-NL"/>
              </w:rPr>
              <w:t>Melding wijziging tankparknummering</w:t>
            </w:r>
          </w:p>
        </w:tc>
      </w:tr>
      <w:tr w:rsidR="00B66E22" w:rsidRPr="00E40767" w:rsidTr="00B66E22">
        <w:tblPrEx>
          <w:tblLook w:val="00B7"/>
        </w:tblPrEx>
        <w:trPr>
          <w:cantSplit/>
        </w:trPr>
        <w:tc>
          <w:tcPr>
            <w:tcW w:w="701" w:type="dxa"/>
            <w:shd w:val="clear" w:color="auto" w:fill="auto"/>
            <w:vAlign w:val="center"/>
          </w:tcPr>
          <w:p w:rsidR="00B66E22" w:rsidRPr="009B3B9F" w:rsidRDefault="00B66E22" w:rsidP="00712A63">
            <w:pPr>
              <w:tabs>
                <w:tab w:val="left" w:pos="-720"/>
              </w:tabs>
              <w:suppressAutoHyphens/>
              <w:spacing w:before="90" w:after="54"/>
              <w:jc w:val="left"/>
              <w:rPr>
                <w:rFonts w:ascii="Arial" w:hAnsi="Arial" w:cs="Arial"/>
                <w:spacing w:val="-2"/>
                <w:sz w:val="16"/>
                <w:szCs w:val="16"/>
                <w:lang w:val="nl-NL"/>
              </w:rPr>
            </w:pPr>
            <w:r>
              <w:t>BD</w:t>
            </w:r>
          </w:p>
        </w:tc>
        <w:tc>
          <w:tcPr>
            <w:tcW w:w="1843" w:type="dxa"/>
            <w:shd w:val="clear" w:color="auto" w:fill="auto"/>
            <w:vAlign w:val="center"/>
          </w:tcPr>
          <w:p w:rsidR="00B66E22" w:rsidRPr="00712A63" w:rsidRDefault="00B66E22" w:rsidP="00712A63">
            <w:pPr>
              <w:tabs>
                <w:tab w:val="left" w:pos="-720"/>
              </w:tabs>
              <w:suppressAutoHyphens/>
              <w:spacing w:before="90" w:after="54"/>
              <w:jc w:val="center"/>
              <w:rPr>
                <w:rFonts w:ascii="Arial" w:hAnsi="Arial" w:cs="Arial"/>
                <w:spacing w:val="-2"/>
                <w:sz w:val="12"/>
                <w:szCs w:val="12"/>
                <w:lang w:val="nl-NL"/>
              </w:rPr>
            </w:pPr>
            <w:r w:rsidRPr="00712A63">
              <w:rPr>
                <w:rFonts w:ascii="Arial" w:hAnsi="Arial" w:cs="Arial"/>
                <w:spacing w:val="-2"/>
                <w:sz w:val="12"/>
                <w:szCs w:val="12"/>
                <w:lang w:val="nl-NL"/>
              </w:rPr>
              <w:t>2/MV/MLAV1/0000000004/MV/AG</w:t>
            </w:r>
          </w:p>
        </w:tc>
        <w:tc>
          <w:tcPr>
            <w:tcW w:w="709" w:type="dxa"/>
            <w:vAlign w:val="center"/>
          </w:tcPr>
          <w:p w:rsidR="00B66E22" w:rsidRPr="009B3B9F" w:rsidRDefault="00B66E22" w:rsidP="00B66E22">
            <w:pPr>
              <w:pStyle w:val="normaltabel0"/>
              <w:jc w:val="center"/>
              <w:rPr>
                <w:rFonts w:ascii="Arial" w:hAnsi="Arial" w:cs="Arial"/>
                <w:spacing w:val="-2"/>
                <w:sz w:val="16"/>
                <w:szCs w:val="16"/>
              </w:rPr>
            </w:pPr>
          </w:p>
        </w:tc>
        <w:tc>
          <w:tcPr>
            <w:tcW w:w="1275" w:type="dxa"/>
            <w:shd w:val="clear" w:color="auto" w:fill="auto"/>
            <w:vAlign w:val="center"/>
          </w:tcPr>
          <w:p w:rsidR="00B66E22" w:rsidRPr="00F32B6E" w:rsidRDefault="00B66E22" w:rsidP="00712A63">
            <w:pPr>
              <w:pStyle w:val="normaltabel0"/>
              <w:jc w:val="center"/>
              <w:rPr>
                <w:highlight w:val="yellow"/>
              </w:rPr>
            </w:pPr>
            <w:r w:rsidRPr="009B3B9F">
              <w:rPr>
                <w:rFonts w:ascii="Arial" w:hAnsi="Arial" w:cs="Arial"/>
                <w:spacing w:val="-2"/>
                <w:sz w:val="16"/>
                <w:szCs w:val="16"/>
              </w:rPr>
              <w:t>04/05/2000</w:t>
            </w:r>
          </w:p>
        </w:tc>
        <w:tc>
          <w:tcPr>
            <w:tcW w:w="992" w:type="dxa"/>
            <w:shd w:val="clear" w:color="auto" w:fill="auto"/>
            <w:vAlign w:val="center"/>
          </w:tcPr>
          <w:p w:rsidR="00B66E22" w:rsidRPr="009B3B9F" w:rsidRDefault="00B66E22" w:rsidP="00712A63">
            <w:pPr>
              <w:tabs>
                <w:tab w:val="left" w:pos="-720"/>
              </w:tabs>
              <w:suppressAutoHyphens/>
              <w:spacing w:before="90" w:after="54"/>
              <w:jc w:val="center"/>
              <w:rPr>
                <w:rFonts w:ascii="Arial" w:hAnsi="Arial" w:cs="Arial"/>
                <w:spacing w:val="-2"/>
                <w:sz w:val="16"/>
                <w:szCs w:val="16"/>
                <w:lang w:val="nl-NL"/>
              </w:rPr>
            </w:pPr>
            <w:r w:rsidRPr="009B3B9F">
              <w:rPr>
                <w:rFonts w:ascii="Arial" w:hAnsi="Arial" w:cs="Arial"/>
                <w:spacing w:val="-2"/>
                <w:sz w:val="16"/>
                <w:szCs w:val="16"/>
                <w:lang w:val="nl-NL"/>
              </w:rPr>
              <w:t>11/05/2015</w:t>
            </w:r>
          </w:p>
        </w:tc>
        <w:tc>
          <w:tcPr>
            <w:tcW w:w="3544" w:type="dxa"/>
            <w:shd w:val="clear" w:color="auto" w:fill="auto"/>
          </w:tcPr>
          <w:p w:rsidR="00B66E22" w:rsidRPr="009B3B9F" w:rsidRDefault="00B66E22" w:rsidP="00712A63">
            <w:pPr>
              <w:tabs>
                <w:tab w:val="left" w:pos="-720"/>
              </w:tabs>
              <w:suppressAutoHyphens/>
              <w:spacing w:before="90" w:after="54"/>
              <w:rPr>
                <w:rFonts w:ascii="Arial" w:hAnsi="Arial" w:cs="Arial"/>
                <w:spacing w:val="-2"/>
                <w:sz w:val="16"/>
                <w:szCs w:val="16"/>
                <w:lang w:val="nl-NL"/>
              </w:rPr>
            </w:pPr>
            <w:r w:rsidRPr="009B3B9F">
              <w:rPr>
                <w:rFonts w:ascii="Arial" w:hAnsi="Arial" w:cs="Arial"/>
                <w:spacing w:val="-2"/>
                <w:sz w:val="16"/>
                <w:szCs w:val="16"/>
                <w:lang w:val="nl-NL"/>
              </w:rPr>
              <w:t>Opslag van crude (ruwe aardolie) als P1 – product in tanks 801 en 802</w:t>
            </w:r>
          </w:p>
        </w:tc>
      </w:tr>
      <w:tr w:rsidR="00B66E22" w:rsidRPr="00E40767" w:rsidTr="00B66E22">
        <w:tblPrEx>
          <w:tblLook w:val="00B7"/>
        </w:tblPrEx>
        <w:trPr>
          <w:cantSplit/>
        </w:trPr>
        <w:tc>
          <w:tcPr>
            <w:tcW w:w="701" w:type="dxa"/>
            <w:shd w:val="clear" w:color="auto" w:fill="auto"/>
            <w:vAlign w:val="center"/>
          </w:tcPr>
          <w:p w:rsidR="00B66E22" w:rsidRPr="009B3B9F" w:rsidRDefault="00B66E22" w:rsidP="00712A63">
            <w:pPr>
              <w:tabs>
                <w:tab w:val="left" w:pos="-720"/>
              </w:tabs>
              <w:suppressAutoHyphens/>
              <w:spacing w:before="90" w:after="54"/>
              <w:jc w:val="left"/>
              <w:rPr>
                <w:rFonts w:ascii="Arial" w:hAnsi="Arial" w:cs="Arial"/>
                <w:spacing w:val="-2"/>
                <w:sz w:val="16"/>
                <w:szCs w:val="16"/>
                <w:lang w:val="nl-NL"/>
              </w:rPr>
            </w:pPr>
            <w:r>
              <w:t>BD</w:t>
            </w:r>
          </w:p>
        </w:tc>
        <w:tc>
          <w:tcPr>
            <w:tcW w:w="1843" w:type="dxa"/>
            <w:shd w:val="clear" w:color="auto" w:fill="auto"/>
            <w:vAlign w:val="center"/>
          </w:tcPr>
          <w:p w:rsidR="00B66E22" w:rsidRPr="00712A63" w:rsidRDefault="00B66E22" w:rsidP="00712A63">
            <w:pPr>
              <w:tabs>
                <w:tab w:val="left" w:pos="-720"/>
              </w:tabs>
              <w:suppressAutoHyphens/>
              <w:spacing w:before="90" w:after="54"/>
              <w:jc w:val="center"/>
              <w:rPr>
                <w:rFonts w:ascii="Arial" w:hAnsi="Arial" w:cs="Arial"/>
                <w:spacing w:val="-2"/>
                <w:sz w:val="12"/>
                <w:szCs w:val="12"/>
                <w:lang w:val="nl-NL"/>
              </w:rPr>
            </w:pPr>
            <w:r w:rsidRPr="00712A63">
              <w:rPr>
                <w:rFonts w:ascii="Arial" w:hAnsi="Arial" w:cs="Arial"/>
                <w:spacing w:val="-2"/>
                <w:sz w:val="12"/>
                <w:szCs w:val="12"/>
                <w:lang w:val="nl-NL"/>
              </w:rPr>
              <w:t>2/MV/MLAV1/0000000219/MV/bd</w:t>
            </w:r>
          </w:p>
        </w:tc>
        <w:tc>
          <w:tcPr>
            <w:tcW w:w="709" w:type="dxa"/>
            <w:vAlign w:val="center"/>
          </w:tcPr>
          <w:p w:rsidR="00B66E22" w:rsidRPr="009B3B9F" w:rsidRDefault="00FF311D" w:rsidP="00B66E22">
            <w:pPr>
              <w:pStyle w:val="normaltabel0"/>
              <w:jc w:val="center"/>
              <w:rPr>
                <w:rFonts w:ascii="Arial" w:hAnsi="Arial" w:cs="Arial"/>
                <w:spacing w:val="-2"/>
                <w:sz w:val="16"/>
                <w:szCs w:val="16"/>
              </w:rPr>
            </w:pPr>
            <w:r>
              <w:rPr>
                <w:rFonts w:ascii="Arial" w:hAnsi="Arial" w:cs="Arial"/>
                <w:spacing w:val="-2"/>
                <w:sz w:val="16"/>
                <w:szCs w:val="16"/>
              </w:rPr>
              <w:t>(2)</w:t>
            </w:r>
          </w:p>
        </w:tc>
        <w:tc>
          <w:tcPr>
            <w:tcW w:w="1275" w:type="dxa"/>
            <w:shd w:val="clear" w:color="auto" w:fill="auto"/>
            <w:vAlign w:val="center"/>
          </w:tcPr>
          <w:p w:rsidR="00B66E22" w:rsidRPr="00F32B6E" w:rsidRDefault="00B66E22" w:rsidP="00712A63">
            <w:pPr>
              <w:pStyle w:val="normaltabel0"/>
              <w:jc w:val="center"/>
              <w:rPr>
                <w:highlight w:val="yellow"/>
              </w:rPr>
            </w:pPr>
            <w:r w:rsidRPr="009B3B9F">
              <w:rPr>
                <w:rFonts w:ascii="Arial" w:hAnsi="Arial" w:cs="Arial"/>
                <w:spacing w:val="-2"/>
                <w:sz w:val="16"/>
                <w:szCs w:val="16"/>
              </w:rPr>
              <w:t>28/09/2000</w:t>
            </w:r>
          </w:p>
        </w:tc>
        <w:tc>
          <w:tcPr>
            <w:tcW w:w="992" w:type="dxa"/>
            <w:shd w:val="clear" w:color="auto" w:fill="auto"/>
            <w:vAlign w:val="center"/>
          </w:tcPr>
          <w:p w:rsidR="00B66E22" w:rsidRPr="009B3B9F" w:rsidRDefault="00B66E22" w:rsidP="00712A63">
            <w:pPr>
              <w:tabs>
                <w:tab w:val="left" w:pos="-720"/>
              </w:tabs>
              <w:suppressAutoHyphens/>
              <w:spacing w:before="90" w:after="54"/>
              <w:jc w:val="center"/>
              <w:rPr>
                <w:rFonts w:ascii="Arial" w:hAnsi="Arial" w:cs="Arial"/>
                <w:spacing w:val="-2"/>
                <w:sz w:val="16"/>
                <w:szCs w:val="16"/>
                <w:lang w:val="nl-NL"/>
              </w:rPr>
            </w:pPr>
            <w:r w:rsidRPr="009B3B9F">
              <w:rPr>
                <w:rFonts w:ascii="Arial" w:hAnsi="Arial" w:cs="Arial"/>
                <w:spacing w:val="-2"/>
                <w:sz w:val="16"/>
                <w:szCs w:val="16"/>
                <w:lang w:val="nl-NL"/>
              </w:rPr>
              <w:t>11/05/2015</w:t>
            </w:r>
          </w:p>
        </w:tc>
        <w:tc>
          <w:tcPr>
            <w:tcW w:w="3544" w:type="dxa"/>
            <w:shd w:val="clear" w:color="auto" w:fill="auto"/>
          </w:tcPr>
          <w:p w:rsidR="00B66E22" w:rsidRPr="009B3B9F" w:rsidRDefault="00B66E22" w:rsidP="00712A63">
            <w:pPr>
              <w:tabs>
                <w:tab w:val="left" w:pos="-720"/>
              </w:tabs>
              <w:suppressAutoHyphens/>
              <w:spacing w:before="90" w:after="54"/>
              <w:rPr>
                <w:rFonts w:ascii="Arial" w:hAnsi="Arial" w:cs="Arial"/>
                <w:spacing w:val="-2"/>
                <w:sz w:val="16"/>
                <w:szCs w:val="16"/>
                <w:lang w:val="nl-NL"/>
              </w:rPr>
            </w:pPr>
            <w:r w:rsidRPr="009B3B9F">
              <w:rPr>
                <w:rFonts w:ascii="Arial" w:hAnsi="Arial" w:cs="Arial"/>
                <w:spacing w:val="-2"/>
                <w:sz w:val="16"/>
                <w:szCs w:val="16"/>
                <w:lang w:val="nl-NL"/>
              </w:rPr>
              <w:t>Hervergunning opslag N – stoffen + uitbreiding tot 90.000 ton, wegens steeds meer stoffen als N gecatalogeerd</w:t>
            </w:r>
          </w:p>
        </w:tc>
      </w:tr>
      <w:tr w:rsidR="00B66E22" w:rsidRPr="00E40767" w:rsidTr="00B66E22">
        <w:tblPrEx>
          <w:tblLook w:val="00B7"/>
        </w:tblPrEx>
        <w:trPr>
          <w:cantSplit/>
        </w:trPr>
        <w:tc>
          <w:tcPr>
            <w:tcW w:w="701" w:type="dxa"/>
            <w:shd w:val="clear" w:color="auto" w:fill="auto"/>
            <w:vAlign w:val="center"/>
          </w:tcPr>
          <w:p w:rsidR="00B66E22" w:rsidRPr="009B3B9F" w:rsidRDefault="00B66E22" w:rsidP="00712A63">
            <w:pPr>
              <w:tabs>
                <w:tab w:val="left" w:pos="-720"/>
              </w:tabs>
              <w:suppressAutoHyphens/>
              <w:spacing w:before="90" w:after="54"/>
              <w:jc w:val="left"/>
              <w:rPr>
                <w:rFonts w:ascii="Arial" w:hAnsi="Arial" w:cs="Arial"/>
                <w:spacing w:val="-2"/>
                <w:sz w:val="16"/>
                <w:szCs w:val="16"/>
                <w:lang w:val="nl-NL"/>
              </w:rPr>
            </w:pPr>
            <w:r>
              <w:rPr>
                <w:rFonts w:ascii="Arial" w:hAnsi="Arial" w:cs="Arial"/>
                <w:spacing w:val="-2"/>
                <w:sz w:val="16"/>
                <w:szCs w:val="16"/>
                <w:lang w:val="nl-NL"/>
              </w:rPr>
              <w:t>VML</w:t>
            </w:r>
          </w:p>
        </w:tc>
        <w:tc>
          <w:tcPr>
            <w:tcW w:w="1843" w:type="dxa"/>
            <w:shd w:val="clear" w:color="auto" w:fill="auto"/>
            <w:vAlign w:val="center"/>
          </w:tcPr>
          <w:p w:rsidR="00B66E22" w:rsidRPr="00712A63" w:rsidRDefault="00B66E22" w:rsidP="00712A63">
            <w:pPr>
              <w:tabs>
                <w:tab w:val="left" w:pos="-720"/>
              </w:tabs>
              <w:suppressAutoHyphens/>
              <w:spacing w:before="90" w:after="54"/>
              <w:jc w:val="center"/>
              <w:rPr>
                <w:rFonts w:ascii="Arial" w:hAnsi="Arial" w:cs="Arial"/>
                <w:spacing w:val="-2"/>
                <w:sz w:val="12"/>
                <w:szCs w:val="12"/>
                <w:lang w:val="nl-NL"/>
              </w:rPr>
            </w:pPr>
            <w:r w:rsidRPr="00712A63">
              <w:rPr>
                <w:rFonts w:ascii="Arial" w:hAnsi="Arial" w:cs="Arial"/>
                <w:spacing w:val="-2"/>
                <w:sz w:val="12"/>
                <w:szCs w:val="12"/>
                <w:lang w:val="nl-NL"/>
              </w:rPr>
              <w:t>AMV/000002092/1004</w:t>
            </w:r>
          </w:p>
        </w:tc>
        <w:tc>
          <w:tcPr>
            <w:tcW w:w="709" w:type="dxa"/>
            <w:vAlign w:val="center"/>
          </w:tcPr>
          <w:p w:rsidR="00B66E22" w:rsidRPr="009B3B9F" w:rsidRDefault="00EF6C76" w:rsidP="00B66E22">
            <w:pPr>
              <w:pStyle w:val="normaltabel0"/>
              <w:jc w:val="center"/>
              <w:rPr>
                <w:rFonts w:ascii="Arial" w:hAnsi="Arial" w:cs="Arial"/>
                <w:spacing w:val="-2"/>
                <w:sz w:val="16"/>
                <w:szCs w:val="16"/>
              </w:rPr>
            </w:pPr>
            <w:r>
              <w:rPr>
                <w:rFonts w:ascii="Arial" w:hAnsi="Arial" w:cs="Arial"/>
                <w:spacing w:val="-2"/>
                <w:sz w:val="16"/>
                <w:szCs w:val="16"/>
              </w:rPr>
              <w:t>(3)</w:t>
            </w:r>
          </w:p>
        </w:tc>
        <w:tc>
          <w:tcPr>
            <w:tcW w:w="1275" w:type="dxa"/>
            <w:shd w:val="clear" w:color="auto" w:fill="auto"/>
            <w:vAlign w:val="center"/>
          </w:tcPr>
          <w:p w:rsidR="00B66E22" w:rsidRPr="00F32B6E" w:rsidRDefault="00B66E22" w:rsidP="00712A63">
            <w:pPr>
              <w:pStyle w:val="normaltabel0"/>
              <w:jc w:val="center"/>
              <w:rPr>
                <w:highlight w:val="yellow"/>
              </w:rPr>
            </w:pPr>
            <w:r w:rsidRPr="009B3B9F">
              <w:rPr>
                <w:rFonts w:ascii="Arial" w:hAnsi="Arial" w:cs="Arial"/>
                <w:spacing w:val="-2"/>
                <w:sz w:val="16"/>
                <w:szCs w:val="16"/>
              </w:rPr>
              <w:t>26/06/2002</w:t>
            </w:r>
          </w:p>
        </w:tc>
        <w:tc>
          <w:tcPr>
            <w:tcW w:w="992" w:type="dxa"/>
            <w:shd w:val="clear" w:color="auto" w:fill="auto"/>
            <w:vAlign w:val="center"/>
          </w:tcPr>
          <w:p w:rsidR="00B66E22" w:rsidRPr="009B3B9F" w:rsidRDefault="00B66E22" w:rsidP="00712A63">
            <w:pPr>
              <w:tabs>
                <w:tab w:val="left" w:pos="-720"/>
              </w:tabs>
              <w:suppressAutoHyphens/>
              <w:spacing w:before="90" w:after="54"/>
              <w:jc w:val="center"/>
              <w:rPr>
                <w:rFonts w:ascii="Arial" w:hAnsi="Arial" w:cs="Arial"/>
                <w:spacing w:val="-2"/>
                <w:sz w:val="16"/>
                <w:szCs w:val="16"/>
                <w:lang w:val="nl-NL"/>
              </w:rPr>
            </w:pPr>
            <w:r w:rsidRPr="009B3B9F">
              <w:rPr>
                <w:rFonts w:ascii="Arial" w:hAnsi="Arial" w:cs="Arial"/>
                <w:spacing w:val="-2"/>
                <w:sz w:val="16"/>
                <w:szCs w:val="16"/>
                <w:lang w:val="nl-NL"/>
              </w:rPr>
              <w:t>11/05/2015</w:t>
            </w:r>
          </w:p>
        </w:tc>
        <w:tc>
          <w:tcPr>
            <w:tcW w:w="3544" w:type="dxa"/>
            <w:shd w:val="clear" w:color="auto" w:fill="auto"/>
          </w:tcPr>
          <w:p w:rsidR="00B66E22" w:rsidRPr="009B3B9F" w:rsidRDefault="00B66E22" w:rsidP="00712A63">
            <w:pPr>
              <w:tabs>
                <w:tab w:val="left" w:pos="-720"/>
              </w:tabs>
              <w:suppressAutoHyphens/>
              <w:spacing w:before="90" w:after="54"/>
              <w:rPr>
                <w:rFonts w:ascii="Arial" w:hAnsi="Arial" w:cs="Arial"/>
                <w:spacing w:val="-2"/>
                <w:sz w:val="16"/>
                <w:szCs w:val="16"/>
                <w:lang w:val="nl-NL"/>
              </w:rPr>
            </w:pPr>
            <w:r w:rsidRPr="009B3B9F">
              <w:rPr>
                <w:rFonts w:ascii="Arial" w:hAnsi="Arial" w:cs="Arial"/>
                <w:spacing w:val="-2"/>
                <w:sz w:val="16"/>
                <w:szCs w:val="16"/>
                <w:lang w:val="nl-NL"/>
              </w:rPr>
              <w:t>Aanpassen afwijking BMV/00002092/606 met toelating tot opslag van P1 – producten in tanks 801 en 802 + verhoging P1 hoeveelheid tot 211.150 m³ (som P1 en P2 blijft dezelfde)</w:t>
            </w:r>
          </w:p>
        </w:tc>
      </w:tr>
      <w:tr w:rsidR="00B66E22" w:rsidRPr="00E40767" w:rsidTr="00B66E22">
        <w:tblPrEx>
          <w:tblLook w:val="00B7"/>
        </w:tblPrEx>
        <w:trPr>
          <w:cantSplit/>
        </w:trPr>
        <w:tc>
          <w:tcPr>
            <w:tcW w:w="701" w:type="dxa"/>
            <w:shd w:val="clear" w:color="auto" w:fill="auto"/>
            <w:vAlign w:val="center"/>
          </w:tcPr>
          <w:p w:rsidR="00B66E22" w:rsidRPr="009B3B9F" w:rsidRDefault="00B66E22" w:rsidP="00712A63">
            <w:pPr>
              <w:tabs>
                <w:tab w:val="left" w:pos="-720"/>
              </w:tabs>
              <w:suppressAutoHyphens/>
              <w:spacing w:before="90" w:after="54"/>
              <w:jc w:val="left"/>
              <w:rPr>
                <w:rFonts w:ascii="Arial" w:hAnsi="Arial" w:cs="Arial"/>
                <w:spacing w:val="-2"/>
                <w:sz w:val="16"/>
                <w:szCs w:val="16"/>
                <w:lang w:val="nl-NL"/>
              </w:rPr>
            </w:pPr>
            <w:r>
              <w:t>BD</w:t>
            </w:r>
          </w:p>
        </w:tc>
        <w:tc>
          <w:tcPr>
            <w:tcW w:w="1843" w:type="dxa"/>
            <w:shd w:val="clear" w:color="auto" w:fill="auto"/>
            <w:vAlign w:val="center"/>
          </w:tcPr>
          <w:p w:rsidR="00B66E22" w:rsidRPr="00712A63" w:rsidRDefault="00B66E22" w:rsidP="00712A63">
            <w:pPr>
              <w:tabs>
                <w:tab w:val="left" w:pos="-720"/>
              </w:tabs>
              <w:suppressAutoHyphens/>
              <w:spacing w:before="90" w:after="54"/>
              <w:jc w:val="center"/>
              <w:rPr>
                <w:rFonts w:ascii="Arial" w:hAnsi="Arial" w:cs="Arial"/>
                <w:spacing w:val="-2"/>
                <w:sz w:val="12"/>
                <w:szCs w:val="12"/>
                <w:lang w:val="nl-NL"/>
              </w:rPr>
            </w:pPr>
            <w:r w:rsidRPr="00712A63">
              <w:rPr>
                <w:rFonts w:ascii="Arial" w:hAnsi="Arial" w:cs="Arial"/>
                <w:spacing w:val="-2"/>
                <w:sz w:val="12"/>
                <w:szCs w:val="12"/>
                <w:lang w:val="nl-NL"/>
              </w:rPr>
              <w:t>MLALG/9800000076</w:t>
            </w:r>
          </w:p>
        </w:tc>
        <w:tc>
          <w:tcPr>
            <w:tcW w:w="709" w:type="dxa"/>
            <w:vAlign w:val="center"/>
          </w:tcPr>
          <w:p w:rsidR="00B66E22" w:rsidRPr="009B3B9F" w:rsidRDefault="00B66E22" w:rsidP="00B66E22">
            <w:pPr>
              <w:pStyle w:val="normaltabel0"/>
              <w:jc w:val="center"/>
              <w:rPr>
                <w:rFonts w:ascii="Arial" w:hAnsi="Arial" w:cs="Arial"/>
                <w:spacing w:val="-2"/>
                <w:sz w:val="16"/>
                <w:szCs w:val="16"/>
              </w:rPr>
            </w:pPr>
          </w:p>
        </w:tc>
        <w:tc>
          <w:tcPr>
            <w:tcW w:w="1275" w:type="dxa"/>
            <w:shd w:val="clear" w:color="auto" w:fill="auto"/>
            <w:vAlign w:val="center"/>
          </w:tcPr>
          <w:p w:rsidR="00B66E22" w:rsidRPr="00F32B6E" w:rsidRDefault="00B66E22" w:rsidP="00712A63">
            <w:pPr>
              <w:pStyle w:val="normaltabel0"/>
              <w:jc w:val="center"/>
              <w:rPr>
                <w:highlight w:val="yellow"/>
              </w:rPr>
            </w:pPr>
            <w:r w:rsidRPr="009B3B9F">
              <w:rPr>
                <w:rFonts w:ascii="Arial" w:hAnsi="Arial" w:cs="Arial"/>
                <w:spacing w:val="-2"/>
                <w:sz w:val="16"/>
                <w:szCs w:val="16"/>
              </w:rPr>
              <w:t>22/02/2001</w:t>
            </w:r>
          </w:p>
        </w:tc>
        <w:tc>
          <w:tcPr>
            <w:tcW w:w="992" w:type="dxa"/>
            <w:shd w:val="clear" w:color="auto" w:fill="auto"/>
            <w:vAlign w:val="center"/>
          </w:tcPr>
          <w:p w:rsidR="00B66E22" w:rsidRPr="009B3B9F" w:rsidRDefault="00B66E22" w:rsidP="00712A63">
            <w:pPr>
              <w:tabs>
                <w:tab w:val="left" w:pos="-720"/>
              </w:tabs>
              <w:suppressAutoHyphens/>
              <w:spacing w:before="90" w:after="54"/>
              <w:jc w:val="center"/>
              <w:rPr>
                <w:rFonts w:ascii="Arial" w:hAnsi="Arial" w:cs="Arial"/>
                <w:spacing w:val="-2"/>
                <w:sz w:val="16"/>
                <w:szCs w:val="16"/>
                <w:lang w:val="nl-NL"/>
              </w:rPr>
            </w:pPr>
            <w:r w:rsidRPr="009B3B9F">
              <w:rPr>
                <w:rFonts w:ascii="Arial" w:hAnsi="Arial" w:cs="Arial"/>
                <w:spacing w:val="-2"/>
                <w:sz w:val="16"/>
                <w:szCs w:val="16"/>
                <w:lang w:val="nl-NL"/>
              </w:rPr>
              <w:t>08/01/2018</w:t>
            </w:r>
          </w:p>
        </w:tc>
        <w:tc>
          <w:tcPr>
            <w:tcW w:w="3544" w:type="dxa"/>
            <w:shd w:val="clear" w:color="auto" w:fill="auto"/>
          </w:tcPr>
          <w:p w:rsidR="00B66E22" w:rsidRPr="009B3B9F" w:rsidRDefault="00B66E22" w:rsidP="00712A63">
            <w:pPr>
              <w:tabs>
                <w:tab w:val="left" w:pos="-720"/>
              </w:tabs>
              <w:suppressAutoHyphens/>
              <w:spacing w:before="90" w:after="54"/>
              <w:rPr>
                <w:rFonts w:ascii="Arial" w:hAnsi="Arial" w:cs="Arial"/>
                <w:spacing w:val="-2"/>
                <w:sz w:val="16"/>
                <w:szCs w:val="16"/>
                <w:lang w:val="nl-NL"/>
              </w:rPr>
            </w:pPr>
            <w:r w:rsidRPr="009B3B9F">
              <w:rPr>
                <w:rFonts w:ascii="Arial" w:hAnsi="Arial" w:cs="Arial"/>
                <w:spacing w:val="-2"/>
                <w:sz w:val="16"/>
                <w:szCs w:val="16"/>
                <w:lang w:val="nl-NL"/>
              </w:rPr>
              <w:t>Melding overname milieu- en bouwvergunningen door VCLB van QO Chemicals</w:t>
            </w:r>
          </w:p>
        </w:tc>
      </w:tr>
      <w:tr w:rsidR="00B66E22" w:rsidRPr="00E40767" w:rsidTr="00B66E22">
        <w:tblPrEx>
          <w:tblLook w:val="00B7"/>
        </w:tblPrEx>
        <w:trPr>
          <w:cantSplit/>
        </w:trPr>
        <w:tc>
          <w:tcPr>
            <w:tcW w:w="701" w:type="dxa"/>
            <w:shd w:val="clear" w:color="auto" w:fill="auto"/>
            <w:vAlign w:val="center"/>
          </w:tcPr>
          <w:p w:rsidR="00B66E22" w:rsidRPr="009B3B9F" w:rsidRDefault="00B66E22" w:rsidP="00712A63">
            <w:pPr>
              <w:tabs>
                <w:tab w:val="left" w:pos="-720"/>
              </w:tabs>
              <w:suppressAutoHyphens/>
              <w:spacing w:before="90" w:after="54"/>
              <w:jc w:val="left"/>
              <w:rPr>
                <w:rFonts w:ascii="Arial" w:hAnsi="Arial" w:cs="Arial"/>
                <w:spacing w:val="-2"/>
                <w:sz w:val="16"/>
                <w:szCs w:val="16"/>
                <w:lang w:val="nl-NL"/>
              </w:rPr>
            </w:pPr>
            <w:r>
              <w:t>BD</w:t>
            </w:r>
          </w:p>
        </w:tc>
        <w:tc>
          <w:tcPr>
            <w:tcW w:w="1843" w:type="dxa"/>
            <w:shd w:val="clear" w:color="auto" w:fill="auto"/>
            <w:vAlign w:val="center"/>
          </w:tcPr>
          <w:p w:rsidR="00B66E22" w:rsidRPr="00712A63" w:rsidRDefault="00B66E22" w:rsidP="00712A63">
            <w:pPr>
              <w:tabs>
                <w:tab w:val="left" w:pos="-720"/>
              </w:tabs>
              <w:suppressAutoHyphens/>
              <w:spacing w:before="90" w:after="54"/>
              <w:jc w:val="center"/>
              <w:rPr>
                <w:rFonts w:ascii="Arial" w:hAnsi="Arial" w:cs="Arial"/>
                <w:spacing w:val="-2"/>
                <w:sz w:val="12"/>
                <w:szCs w:val="12"/>
                <w:lang w:val="nl-NL"/>
              </w:rPr>
            </w:pPr>
            <w:r w:rsidRPr="00712A63">
              <w:rPr>
                <w:rFonts w:ascii="Arial" w:hAnsi="Arial" w:cs="Arial"/>
                <w:spacing w:val="-2"/>
                <w:sz w:val="12"/>
                <w:szCs w:val="12"/>
                <w:lang w:val="nl-NL"/>
              </w:rPr>
              <w:t>2/MV/MLVER/0200000139/MV/DL</w:t>
            </w:r>
          </w:p>
        </w:tc>
        <w:tc>
          <w:tcPr>
            <w:tcW w:w="709" w:type="dxa"/>
            <w:vAlign w:val="center"/>
          </w:tcPr>
          <w:p w:rsidR="00B66E22" w:rsidRPr="009B3B9F" w:rsidRDefault="00B66E22" w:rsidP="00B66E22">
            <w:pPr>
              <w:pStyle w:val="normaltabel0"/>
              <w:jc w:val="center"/>
              <w:rPr>
                <w:rFonts w:ascii="Arial" w:hAnsi="Arial" w:cs="Arial"/>
                <w:spacing w:val="-2"/>
                <w:sz w:val="16"/>
                <w:szCs w:val="16"/>
              </w:rPr>
            </w:pPr>
          </w:p>
        </w:tc>
        <w:tc>
          <w:tcPr>
            <w:tcW w:w="1275" w:type="dxa"/>
            <w:shd w:val="clear" w:color="auto" w:fill="auto"/>
            <w:vAlign w:val="center"/>
          </w:tcPr>
          <w:p w:rsidR="00B66E22" w:rsidRPr="00F32B6E" w:rsidRDefault="00B66E22" w:rsidP="00712A63">
            <w:pPr>
              <w:pStyle w:val="normaltabel0"/>
              <w:jc w:val="center"/>
              <w:rPr>
                <w:highlight w:val="yellow"/>
              </w:rPr>
            </w:pPr>
            <w:r w:rsidRPr="009B3B9F">
              <w:rPr>
                <w:rFonts w:ascii="Arial" w:hAnsi="Arial" w:cs="Arial"/>
                <w:spacing w:val="-2"/>
                <w:sz w:val="16"/>
                <w:szCs w:val="16"/>
              </w:rPr>
              <w:t>03/10/2002</w:t>
            </w:r>
          </w:p>
        </w:tc>
        <w:tc>
          <w:tcPr>
            <w:tcW w:w="992" w:type="dxa"/>
            <w:shd w:val="clear" w:color="auto" w:fill="auto"/>
            <w:vAlign w:val="center"/>
          </w:tcPr>
          <w:p w:rsidR="00B66E22" w:rsidRPr="009B3B9F" w:rsidRDefault="00B66E22" w:rsidP="00712A63">
            <w:pPr>
              <w:tabs>
                <w:tab w:val="left" w:pos="-720"/>
              </w:tabs>
              <w:suppressAutoHyphens/>
              <w:spacing w:before="90" w:after="54"/>
              <w:jc w:val="center"/>
              <w:rPr>
                <w:rFonts w:ascii="Arial" w:hAnsi="Arial" w:cs="Arial"/>
                <w:spacing w:val="-2"/>
                <w:sz w:val="16"/>
                <w:szCs w:val="16"/>
                <w:lang w:val="nl-NL"/>
              </w:rPr>
            </w:pPr>
            <w:r w:rsidRPr="009B3B9F">
              <w:rPr>
                <w:rFonts w:ascii="Arial" w:hAnsi="Arial" w:cs="Arial"/>
                <w:spacing w:val="-2"/>
                <w:sz w:val="16"/>
                <w:szCs w:val="16"/>
                <w:lang w:val="nl-NL"/>
              </w:rPr>
              <w:t>08/01/2018</w:t>
            </w:r>
          </w:p>
        </w:tc>
        <w:tc>
          <w:tcPr>
            <w:tcW w:w="3544" w:type="dxa"/>
            <w:shd w:val="clear" w:color="auto" w:fill="auto"/>
          </w:tcPr>
          <w:p w:rsidR="00B66E22" w:rsidRPr="009B3B9F" w:rsidRDefault="00B66E22" w:rsidP="00712A63">
            <w:pPr>
              <w:tabs>
                <w:tab w:val="left" w:pos="-720"/>
              </w:tabs>
              <w:suppressAutoHyphens/>
              <w:spacing w:before="90" w:after="54"/>
              <w:rPr>
                <w:rFonts w:ascii="Arial" w:hAnsi="Arial" w:cs="Arial"/>
                <w:spacing w:val="-2"/>
                <w:sz w:val="16"/>
                <w:szCs w:val="16"/>
                <w:lang w:val="nl-NL"/>
              </w:rPr>
            </w:pPr>
            <w:r w:rsidRPr="009B3B9F">
              <w:rPr>
                <w:rFonts w:ascii="Arial" w:hAnsi="Arial" w:cs="Arial"/>
                <w:spacing w:val="-2"/>
                <w:sz w:val="16"/>
                <w:szCs w:val="16"/>
                <w:lang w:val="nl-NL"/>
              </w:rPr>
              <w:t>Uitbreiding vergunde opslag in tankpark 810 (ex-QO Chemicals)</w:t>
            </w:r>
          </w:p>
        </w:tc>
      </w:tr>
      <w:tr w:rsidR="00B66E22" w:rsidRPr="00E40767" w:rsidTr="00B66E22">
        <w:tblPrEx>
          <w:tblLook w:val="00B7"/>
        </w:tblPrEx>
        <w:trPr>
          <w:cantSplit/>
        </w:trPr>
        <w:tc>
          <w:tcPr>
            <w:tcW w:w="701" w:type="dxa"/>
            <w:shd w:val="clear" w:color="auto" w:fill="auto"/>
            <w:vAlign w:val="center"/>
          </w:tcPr>
          <w:p w:rsidR="00B66E22" w:rsidRDefault="00B66E22" w:rsidP="00712A63">
            <w:pPr>
              <w:tabs>
                <w:tab w:val="left" w:pos="-720"/>
              </w:tabs>
              <w:suppressAutoHyphens/>
              <w:spacing w:before="90" w:after="54"/>
              <w:jc w:val="left"/>
            </w:pPr>
            <w:r>
              <w:t>BD</w:t>
            </w:r>
          </w:p>
        </w:tc>
        <w:tc>
          <w:tcPr>
            <w:tcW w:w="1843" w:type="dxa"/>
            <w:shd w:val="clear" w:color="auto" w:fill="auto"/>
            <w:vAlign w:val="center"/>
          </w:tcPr>
          <w:p w:rsidR="00B66E22" w:rsidRPr="00712A63" w:rsidRDefault="00B66E22" w:rsidP="00712A63">
            <w:pPr>
              <w:tabs>
                <w:tab w:val="left" w:pos="-720"/>
              </w:tabs>
              <w:suppressAutoHyphens/>
              <w:spacing w:before="90" w:after="54"/>
              <w:jc w:val="center"/>
              <w:rPr>
                <w:rFonts w:ascii="Arial" w:hAnsi="Arial" w:cs="Arial"/>
                <w:spacing w:val="-2"/>
                <w:sz w:val="12"/>
                <w:szCs w:val="12"/>
                <w:lang w:val="nl-NL"/>
              </w:rPr>
            </w:pPr>
            <w:r>
              <w:rPr>
                <w:rFonts w:ascii="Arial" w:hAnsi="Arial" w:cs="Arial"/>
                <w:spacing w:val="-2"/>
                <w:sz w:val="12"/>
                <w:szCs w:val="12"/>
                <w:lang w:val="nl-NL"/>
              </w:rPr>
              <w:t>MLDIV/04-1/MV</w:t>
            </w:r>
          </w:p>
        </w:tc>
        <w:tc>
          <w:tcPr>
            <w:tcW w:w="709" w:type="dxa"/>
            <w:vAlign w:val="center"/>
          </w:tcPr>
          <w:p w:rsidR="00B66E22" w:rsidRDefault="00B66E22" w:rsidP="00B66E22">
            <w:pPr>
              <w:pStyle w:val="normaltabel0"/>
              <w:jc w:val="center"/>
              <w:rPr>
                <w:rFonts w:ascii="Arial" w:hAnsi="Arial" w:cs="Arial"/>
                <w:spacing w:val="-2"/>
                <w:sz w:val="16"/>
                <w:szCs w:val="16"/>
              </w:rPr>
            </w:pPr>
          </w:p>
        </w:tc>
        <w:tc>
          <w:tcPr>
            <w:tcW w:w="1275" w:type="dxa"/>
            <w:shd w:val="clear" w:color="auto" w:fill="auto"/>
            <w:vAlign w:val="center"/>
          </w:tcPr>
          <w:p w:rsidR="00B66E22" w:rsidRPr="009B3B9F" w:rsidRDefault="00B66E22" w:rsidP="00712A63">
            <w:pPr>
              <w:pStyle w:val="normaltabel0"/>
              <w:jc w:val="center"/>
              <w:rPr>
                <w:rFonts w:ascii="Arial" w:hAnsi="Arial" w:cs="Arial"/>
                <w:spacing w:val="-2"/>
                <w:sz w:val="16"/>
                <w:szCs w:val="16"/>
              </w:rPr>
            </w:pPr>
            <w:r>
              <w:rPr>
                <w:rFonts w:ascii="Arial" w:hAnsi="Arial" w:cs="Arial"/>
                <w:spacing w:val="-2"/>
                <w:sz w:val="16"/>
                <w:szCs w:val="16"/>
              </w:rPr>
              <w:t>06/01/2004</w:t>
            </w:r>
          </w:p>
        </w:tc>
        <w:tc>
          <w:tcPr>
            <w:tcW w:w="992" w:type="dxa"/>
            <w:shd w:val="clear" w:color="auto" w:fill="auto"/>
            <w:vAlign w:val="center"/>
          </w:tcPr>
          <w:p w:rsidR="00B66E22" w:rsidRPr="009B3B9F" w:rsidRDefault="00B66E22" w:rsidP="00712A63">
            <w:pPr>
              <w:tabs>
                <w:tab w:val="left" w:pos="-720"/>
              </w:tabs>
              <w:suppressAutoHyphens/>
              <w:spacing w:before="90" w:after="54"/>
              <w:jc w:val="center"/>
              <w:rPr>
                <w:rFonts w:ascii="Arial" w:hAnsi="Arial" w:cs="Arial"/>
                <w:spacing w:val="-2"/>
                <w:sz w:val="16"/>
                <w:szCs w:val="16"/>
                <w:lang w:val="nl-NL"/>
              </w:rPr>
            </w:pPr>
            <w:r>
              <w:rPr>
                <w:rFonts w:ascii="Arial" w:hAnsi="Arial" w:cs="Arial"/>
                <w:spacing w:val="-2"/>
                <w:sz w:val="16"/>
                <w:szCs w:val="16"/>
                <w:lang w:val="nl-NL"/>
              </w:rPr>
              <w:t>11/05/2015</w:t>
            </w:r>
          </w:p>
        </w:tc>
        <w:tc>
          <w:tcPr>
            <w:tcW w:w="3544" w:type="dxa"/>
            <w:shd w:val="clear" w:color="auto" w:fill="auto"/>
          </w:tcPr>
          <w:p w:rsidR="00B66E22" w:rsidRPr="009B3B9F" w:rsidRDefault="00B66E22" w:rsidP="00712A63">
            <w:pPr>
              <w:tabs>
                <w:tab w:val="left" w:pos="-720"/>
              </w:tabs>
              <w:suppressAutoHyphens/>
              <w:spacing w:before="90" w:after="54"/>
              <w:rPr>
                <w:rFonts w:ascii="Arial" w:hAnsi="Arial" w:cs="Arial"/>
                <w:spacing w:val="-2"/>
                <w:sz w:val="16"/>
                <w:szCs w:val="16"/>
                <w:lang w:val="nl-NL"/>
              </w:rPr>
            </w:pPr>
            <w:r>
              <w:rPr>
                <w:rFonts w:ascii="Arial" w:hAnsi="Arial" w:cs="Arial"/>
                <w:spacing w:val="-2"/>
                <w:sz w:val="16"/>
                <w:szCs w:val="16"/>
                <w:lang w:val="nl-NL"/>
              </w:rPr>
              <w:t>Actualisatie opslag TP810 en o.m. parkeerplaats voor tankwagens/containers</w:t>
            </w:r>
          </w:p>
        </w:tc>
      </w:tr>
      <w:tr w:rsidR="00B66E22" w:rsidRPr="00E40767" w:rsidTr="00B66E22">
        <w:tblPrEx>
          <w:tblLook w:val="00B7"/>
        </w:tblPrEx>
        <w:trPr>
          <w:cantSplit/>
        </w:trPr>
        <w:tc>
          <w:tcPr>
            <w:tcW w:w="701" w:type="dxa"/>
            <w:shd w:val="clear" w:color="auto" w:fill="auto"/>
            <w:vAlign w:val="center"/>
          </w:tcPr>
          <w:p w:rsidR="00B66E22" w:rsidRDefault="00B66E22" w:rsidP="00712A63">
            <w:pPr>
              <w:tabs>
                <w:tab w:val="left" w:pos="-720"/>
              </w:tabs>
              <w:suppressAutoHyphens/>
              <w:spacing w:before="90" w:after="54"/>
              <w:jc w:val="left"/>
            </w:pPr>
            <w:r>
              <w:t>BD</w:t>
            </w:r>
          </w:p>
        </w:tc>
        <w:tc>
          <w:tcPr>
            <w:tcW w:w="1843" w:type="dxa"/>
            <w:shd w:val="clear" w:color="auto" w:fill="auto"/>
            <w:vAlign w:val="center"/>
          </w:tcPr>
          <w:p w:rsidR="00B66E22" w:rsidRPr="00712A63" w:rsidRDefault="00B66E22" w:rsidP="00712A63">
            <w:pPr>
              <w:tabs>
                <w:tab w:val="left" w:pos="-720"/>
              </w:tabs>
              <w:suppressAutoHyphens/>
              <w:spacing w:before="90" w:after="54"/>
              <w:jc w:val="center"/>
              <w:rPr>
                <w:rFonts w:ascii="Arial" w:hAnsi="Arial" w:cs="Arial"/>
                <w:spacing w:val="-2"/>
                <w:sz w:val="12"/>
                <w:szCs w:val="12"/>
                <w:lang w:val="nl-NL"/>
              </w:rPr>
            </w:pPr>
            <w:r>
              <w:rPr>
                <w:rFonts w:ascii="Arial" w:hAnsi="Arial" w:cs="Arial"/>
                <w:spacing w:val="-2"/>
                <w:sz w:val="12"/>
                <w:szCs w:val="12"/>
                <w:lang w:val="nl-NL"/>
              </w:rPr>
              <w:t>MLVER/10-51/JDN/fs</w:t>
            </w:r>
          </w:p>
        </w:tc>
        <w:tc>
          <w:tcPr>
            <w:tcW w:w="709" w:type="dxa"/>
            <w:vAlign w:val="center"/>
          </w:tcPr>
          <w:p w:rsidR="00B66E22" w:rsidRDefault="00B66E22" w:rsidP="00B66E22">
            <w:pPr>
              <w:pStyle w:val="normaltabel0"/>
              <w:jc w:val="center"/>
              <w:rPr>
                <w:rFonts w:ascii="Arial" w:hAnsi="Arial" w:cs="Arial"/>
                <w:spacing w:val="-2"/>
                <w:sz w:val="16"/>
                <w:szCs w:val="16"/>
              </w:rPr>
            </w:pPr>
          </w:p>
        </w:tc>
        <w:tc>
          <w:tcPr>
            <w:tcW w:w="1275" w:type="dxa"/>
            <w:shd w:val="clear" w:color="auto" w:fill="auto"/>
            <w:vAlign w:val="center"/>
          </w:tcPr>
          <w:p w:rsidR="00B66E22" w:rsidRPr="009B3B9F" w:rsidRDefault="00B66E22" w:rsidP="00712A63">
            <w:pPr>
              <w:pStyle w:val="normaltabel0"/>
              <w:jc w:val="center"/>
              <w:rPr>
                <w:rFonts w:ascii="Arial" w:hAnsi="Arial" w:cs="Arial"/>
                <w:spacing w:val="-2"/>
                <w:sz w:val="16"/>
                <w:szCs w:val="16"/>
              </w:rPr>
            </w:pPr>
            <w:r>
              <w:rPr>
                <w:rFonts w:ascii="Arial" w:hAnsi="Arial" w:cs="Arial"/>
                <w:spacing w:val="-2"/>
                <w:sz w:val="16"/>
                <w:szCs w:val="16"/>
              </w:rPr>
              <w:t>22/09/2010</w:t>
            </w:r>
          </w:p>
        </w:tc>
        <w:tc>
          <w:tcPr>
            <w:tcW w:w="992" w:type="dxa"/>
            <w:shd w:val="clear" w:color="auto" w:fill="auto"/>
            <w:vAlign w:val="center"/>
          </w:tcPr>
          <w:p w:rsidR="00B66E22" w:rsidRPr="009B3B9F" w:rsidRDefault="00B66E22" w:rsidP="00712A63">
            <w:pPr>
              <w:tabs>
                <w:tab w:val="left" w:pos="-720"/>
              </w:tabs>
              <w:suppressAutoHyphens/>
              <w:spacing w:before="90" w:after="54"/>
              <w:jc w:val="center"/>
              <w:rPr>
                <w:rFonts w:ascii="Arial" w:hAnsi="Arial" w:cs="Arial"/>
                <w:spacing w:val="-2"/>
                <w:sz w:val="16"/>
                <w:szCs w:val="16"/>
                <w:lang w:val="nl-NL"/>
              </w:rPr>
            </w:pPr>
            <w:r>
              <w:rPr>
                <w:rFonts w:ascii="Arial" w:hAnsi="Arial" w:cs="Arial"/>
                <w:spacing w:val="-2"/>
                <w:sz w:val="16"/>
                <w:szCs w:val="16"/>
                <w:lang w:val="nl-NL"/>
              </w:rPr>
              <w:t>11/05/2015</w:t>
            </w:r>
          </w:p>
        </w:tc>
        <w:tc>
          <w:tcPr>
            <w:tcW w:w="3544" w:type="dxa"/>
            <w:shd w:val="clear" w:color="auto" w:fill="auto"/>
          </w:tcPr>
          <w:p w:rsidR="00B66E22" w:rsidRPr="009B3B9F" w:rsidRDefault="00B66E22" w:rsidP="00712A63">
            <w:pPr>
              <w:tabs>
                <w:tab w:val="left" w:pos="-720"/>
              </w:tabs>
              <w:suppressAutoHyphens/>
              <w:spacing w:before="90" w:after="54"/>
              <w:rPr>
                <w:rFonts w:ascii="Arial" w:hAnsi="Arial" w:cs="Arial"/>
                <w:spacing w:val="-2"/>
                <w:sz w:val="16"/>
                <w:szCs w:val="16"/>
                <w:lang w:val="nl-NL"/>
              </w:rPr>
            </w:pPr>
            <w:r>
              <w:rPr>
                <w:rFonts w:ascii="Arial" w:hAnsi="Arial" w:cs="Arial"/>
                <w:spacing w:val="-2"/>
                <w:sz w:val="16"/>
                <w:szCs w:val="16"/>
                <w:lang w:val="nl-NL"/>
              </w:rPr>
              <w:t>DVI-eenheid om overschot aan dampen bij opslag en overslag te verbranden</w:t>
            </w:r>
          </w:p>
        </w:tc>
      </w:tr>
      <w:tr w:rsidR="00B66E22" w:rsidRPr="00E40767" w:rsidTr="00B66E22">
        <w:tblPrEx>
          <w:tblLook w:val="00B7"/>
        </w:tblPrEx>
        <w:trPr>
          <w:cantSplit/>
        </w:trPr>
        <w:tc>
          <w:tcPr>
            <w:tcW w:w="9064" w:type="dxa"/>
            <w:gridSpan w:val="6"/>
            <w:tcBorders>
              <w:top w:val="single" w:sz="4" w:space="0" w:color="auto"/>
              <w:bottom w:val="single" w:sz="4" w:space="0" w:color="auto"/>
            </w:tcBorders>
          </w:tcPr>
          <w:p w:rsidR="00B66E22" w:rsidRDefault="00B66E22" w:rsidP="00712A63">
            <w:pPr>
              <w:pStyle w:val="normaltabel0"/>
              <w:jc w:val="left"/>
            </w:pPr>
            <w:r w:rsidRPr="00E40767">
              <w:t xml:space="preserve">BD = Bestendige Deputatie van de Provincie </w:t>
            </w:r>
            <w:r>
              <w:t>Antwerpen</w:t>
            </w:r>
          </w:p>
          <w:p w:rsidR="00B66E22" w:rsidRDefault="00B66E22" w:rsidP="00712A63">
            <w:pPr>
              <w:pStyle w:val="normaltabel0"/>
              <w:jc w:val="left"/>
            </w:pPr>
            <w:r>
              <w:t>SA = Stad Antwerpen</w:t>
            </w:r>
          </w:p>
          <w:p w:rsidR="00B66E22" w:rsidRPr="00E40767" w:rsidRDefault="00B66E22" w:rsidP="00712A63">
            <w:pPr>
              <w:pStyle w:val="normaltabel0"/>
              <w:jc w:val="left"/>
            </w:pPr>
            <w:r>
              <w:t>VML = Vlaams minister bevoegd voor leefmilieu</w:t>
            </w:r>
          </w:p>
        </w:tc>
      </w:tr>
    </w:tbl>
    <w:p w:rsidR="00F077DA" w:rsidRDefault="00EF6C76" w:rsidP="00F077DA">
      <w:bookmarkStart w:id="171" w:name="_Toc244407724"/>
      <w:bookmarkStart w:id="172" w:name="_Ref291150615"/>
      <w:r>
        <w:t>Bijzondere voorwaarden:</w:t>
      </w:r>
    </w:p>
    <w:tbl>
      <w:tblPr>
        <w:tblStyle w:val="TableGrid"/>
        <w:tblW w:w="0" w:type="auto"/>
        <w:tblLook w:val="04A0"/>
      </w:tblPr>
      <w:tblGrid>
        <w:gridCol w:w="959"/>
        <w:gridCol w:w="1134"/>
        <w:gridCol w:w="7076"/>
      </w:tblGrid>
      <w:tr w:rsidR="00EF6C76" w:rsidTr="00EF6C76">
        <w:trPr>
          <w:cantSplit/>
        </w:trPr>
        <w:tc>
          <w:tcPr>
            <w:tcW w:w="959" w:type="dxa"/>
            <w:tcBorders>
              <w:top w:val="nil"/>
              <w:left w:val="nil"/>
              <w:bottom w:val="nil"/>
              <w:right w:val="nil"/>
            </w:tcBorders>
          </w:tcPr>
          <w:p w:rsidR="00EF6C76" w:rsidRPr="001171BB" w:rsidRDefault="00EF6C76" w:rsidP="000B68D9">
            <w:pPr>
              <w:rPr>
                <w:sz w:val="16"/>
                <w:szCs w:val="16"/>
              </w:rPr>
            </w:pPr>
            <w:r w:rsidRPr="001171BB">
              <w:rPr>
                <w:sz w:val="16"/>
                <w:szCs w:val="16"/>
              </w:rPr>
              <w:t>(1)</w:t>
            </w:r>
          </w:p>
        </w:tc>
        <w:tc>
          <w:tcPr>
            <w:tcW w:w="1134" w:type="dxa"/>
            <w:tcBorders>
              <w:top w:val="nil"/>
              <w:left w:val="nil"/>
              <w:bottom w:val="nil"/>
              <w:right w:val="nil"/>
            </w:tcBorders>
          </w:tcPr>
          <w:p w:rsidR="00EF6C76" w:rsidRPr="00F26146" w:rsidRDefault="00007C7D" w:rsidP="000B68D9">
            <w:pPr>
              <w:rPr>
                <w:sz w:val="16"/>
                <w:szCs w:val="16"/>
              </w:rPr>
            </w:pPr>
            <w:r>
              <w:rPr>
                <w:sz w:val="16"/>
                <w:szCs w:val="16"/>
              </w:rPr>
              <w:t>Gevaarlijke stoffen</w:t>
            </w:r>
          </w:p>
        </w:tc>
        <w:tc>
          <w:tcPr>
            <w:tcW w:w="7076" w:type="dxa"/>
            <w:tcBorders>
              <w:top w:val="nil"/>
              <w:left w:val="nil"/>
              <w:bottom w:val="nil"/>
              <w:right w:val="nil"/>
            </w:tcBorders>
          </w:tcPr>
          <w:p w:rsidR="00EF6C76" w:rsidRPr="001171BB" w:rsidRDefault="00EF6C76" w:rsidP="000B68D9">
            <w:pPr>
              <w:rPr>
                <w:sz w:val="16"/>
                <w:szCs w:val="16"/>
              </w:rPr>
            </w:pPr>
            <w:r w:rsidRPr="001171BB">
              <w:rPr>
                <w:sz w:val="16"/>
                <w:szCs w:val="16"/>
              </w:rPr>
              <w:t>Gehalogeneerde stoffen mogen niet worden opgeslagen in het bedrijf tenzij ze een vlampunt hebben dat hoger is dan 55° C. In dit geval mogen ze enkel worden opgeslagen in de tankparken 10/50/100 en 200</w:t>
            </w:r>
          </w:p>
        </w:tc>
      </w:tr>
      <w:tr w:rsidR="00EF6C76" w:rsidTr="00EF6C76">
        <w:trPr>
          <w:cantSplit/>
        </w:trPr>
        <w:tc>
          <w:tcPr>
            <w:tcW w:w="959" w:type="dxa"/>
            <w:tcBorders>
              <w:top w:val="nil"/>
              <w:left w:val="nil"/>
              <w:bottom w:val="nil"/>
              <w:right w:val="nil"/>
            </w:tcBorders>
          </w:tcPr>
          <w:p w:rsidR="00EF6C76" w:rsidRPr="001171BB" w:rsidRDefault="00EF6C76" w:rsidP="000B68D9">
            <w:pPr>
              <w:rPr>
                <w:sz w:val="16"/>
                <w:szCs w:val="16"/>
              </w:rPr>
            </w:pPr>
          </w:p>
        </w:tc>
        <w:tc>
          <w:tcPr>
            <w:tcW w:w="1134" w:type="dxa"/>
            <w:tcBorders>
              <w:top w:val="nil"/>
              <w:left w:val="nil"/>
              <w:bottom w:val="nil"/>
              <w:right w:val="nil"/>
            </w:tcBorders>
          </w:tcPr>
          <w:p w:rsidR="00EF6C76" w:rsidRPr="00F26146" w:rsidRDefault="00EF6C76" w:rsidP="000B68D9">
            <w:pPr>
              <w:rPr>
                <w:sz w:val="16"/>
                <w:szCs w:val="16"/>
              </w:rPr>
            </w:pPr>
          </w:p>
        </w:tc>
        <w:tc>
          <w:tcPr>
            <w:tcW w:w="7076" w:type="dxa"/>
            <w:tcBorders>
              <w:top w:val="nil"/>
              <w:left w:val="nil"/>
              <w:bottom w:val="nil"/>
              <w:right w:val="nil"/>
            </w:tcBorders>
          </w:tcPr>
          <w:p w:rsidR="00EF6C76" w:rsidRPr="001171BB" w:rsidRDefault="00EF6C76" w:rsidP="000B68D9">
            <w:pPr>
              <w:rPr>
                <w:sz w:val="16"/>
                <w:szCs w:val="16"/>
              </w:rPr>
            </w:pPr>
            <w:r w:rsidRPr="001171BB">
              <w:rPr>
                <w:sz w:val="16"/>
                <w:szCs w:val="16"/>
              </w:rPr>
              <w:t>De bijzondere voorwaarden van het besluit nr. BMV/00002092/606 van de minister vice-president van de Vlaamse regering  en Vlaamse minister van leefmilieu en huisvesting houdende uitspraak over een aanvraag tot afwijking van titel II van Vlarem</w:t>
            </w:r>
            <w:r w:rsidRPr="001171BB">
              <w:rPr>
                <w:rStyle w:val="FootnoteReference"/>
                <w:sz w:val="16"/>
                <w:szCs w:val="16"/>
              </w:rPr>
              <w:footnoteReference w:id="6"/>
            </w:r>
            <w:r w:rsidRPr="001171BB">
              <w:rPr>
                <w:sz w:val="16"/>
                <w:szCs w:val="16"/>
              </w:rPr>
              <w:t>.</w:t>
            </w:r>
            <w:r w:rsidR="000B12B2">
              <w:rPr>
                <w:sz w:val="16"/>
                <w:szCs w:val="16"/>
              </w:rPr>
              <w:t xml:space="preserve"> Besluit </w:t>
            </w:r>
            <w:r w:rsidR="000B12B2" w:rsidRPr="001171BB">
              <w:rPr>
                <w:sz w:val="16"/>
                <w:szCs w:val="16"/>
              </w:rPr>
              <w:t>BMV/00002092/606</w:t>
            </w:r>
            <w:r w:rsidR="000B12B2">
              <w:rPr>
                <w:sz w:val="16"/>
                <w:szCs w:val="16"/>
              </w:rPr>
              <w:t xml:space="preserve"> wordt toegevoegd in bijlage </w:t>
            </w:r>
            <w:fldSimple w:instr=" REF b_bijz_voorw \h  \* MERGEFORMAT ">
              <w:r w:rsidR="00F077DA" w:rsidRPr="00F077DA">
                <w:rPr>
                  <w:sz w:val="16"/>
                  <w:szCs w:val="16"/>
                </w:rPr>
                <w:t>1</w:t>
              </w:r>
            </w:fldSimple>
            <w:r w:rsidR="00F26146">
              <w:rPr>
                <w:sz w:val="16"/>
                <w:szCs w:val="16"/>
              </w:rPr>
              <w:t>.</w:t>
            </w:r>
          </w:p>
        </w:tc>
      </w:tr>
      <w:tr w:rsidR="00EF6C76" w:rsidTr="00EF6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9" w:type="dxa"/>
          </w:tcPr>
          <w:p w:rsidR="00EF6C76" w:rsidRDefault="00EF6C76" w:rsidP="000B68D9"/>
        </w:tc>
        <w:tc>
          <w:tcPr>
            <w:tcW w:w="1134" w:type="dxa"/>
          </w:tcPr>
          <w:p w:rsidR="00EF6C76" w:rsidRPr="00F26146" w:rsidRDefault="00F077DA" w:rsidP="000B68D9">
            <w:pPr>
              <w:rPr>
                <w:sz w:val="16"/>
                <w:szCs w:val="16"/>
              </w:rPr>
            </w:pPr>
            <w:r w:rsidRPr="00F077DA">
              <w:rPr>
                <w:sz w:val="16"/>
                <w:szCs w:val="16"/>
              </w:rPr>
              <w:t>Afvalwater</w:t>
            </w:r>
          </w:p>
        </w:tc>
        <w:tc>
          <w:tcPr>
            <w:tcW w:w="7076" w:type="dxa"/>
          </w:tcPr>
          <w:p w:rsidR="00EF6C76" w:rsidRPr="001171BB" w:rsidRDefault="00EF6C76" w:rsidP="000B68D9">
            <w:pPr>
              <w:rPr>
                <w:sz w:val="16"/>
                <w:szCs w:val="16"/>
              </w:rPr>
            </w:pPr>
            <w:r w:rsidRPr="001171BB">
              <w:rPr>
                <w:sz w:val="16"/>
                <w:szCs w:val="16"/>
              </w:rPr>
              <w:t>In functie van de kwaliteitsdoelstellingen van het ontvangede oppervlaktewater aangepaste sectoriële lozingsvoorwaarden voor de sector vloeibare producten: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1"/>
              <w:gridCol w:w="2282"/>
              <w:gridCol w:w="2282"/>
            </w:tblGrid>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Ondergrens pH</w:t>
                  </w:r>
                </w:p>
              </w:tc>
              <w:tc>
                <w:tcPr>
                  <w:tcW w:w="2282" w:type="dxa"/>
                </w:tcPr>
                <w:p w:rsidR="00EF6C76" w:rsidRPr="002921DD" w:rsidRDefault="00EF6C76" w:rsidP="000B68D9">
                  <w:pPr>
                    <w:spacing w:line="120" w:lineRule="exact"/>
                    <w:jc w:val="right"/>
                    <w:rPr>
                      <w:sz w:val="16"/>
                      <w:szCs w:val="16"/>
                    </w:rPr>
                  </w:pPr>
                  <w:r>
                    <w:rPr>
                      <w:sz w:val="16"/>
                      <w:szCs w:val="16"/>
                    </w:rPr>
                    <w:t>6,5</w:t>
                  </w:r>
                </w:p>
              </w:tc>
              <w:tc>
                <w:tcPr>
                  <w:tcW w:w="2282" w:type="dxa"/>
                </w:tcPr>
                <w:p w:rsidR="00EF6C76" w:rsidRPr="002921DD" w:rsidRDefault="00EF6C76" w:rsidP="000B68D9">
                  <w:pPr>
                    <w:spacing w:line="120" w:lineRule="exact"/>
                    <w:rPr>
                      <w:sz w:val="16"/>
                      <w:szCs w:val="16"/>
                    </w:rPr>
                  </w:pPr>
                  <w:r>
                    <w:rPr>
                      <w:sz w:val="16"/>
                      <w:szCs w:val="16"/>
                    </w:rPr>
                    <w:t>Sörensen</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Bovengrens pH</w:t>
                  </w:r>
                </w:p>
              </w:tc>
              <w:tc>
                <w:tcPr>
                  <w:tcW w:w="2282" w:type="dxa"/>
                </w:tcPr>
                <w:p w:rsidR="00EF6C76" w:rsidRPr="002921DD" w:rsidRDefault="00EF6C76" w:rsidP="000B68D9">
                  <w:pPr>
                    <w:spacing w:line="120" w:lineRule="exact"/>
                    <w:jc w:val="right"/>
                    <w:rPr>
                      <w:sz w:val="16"/>
                      <w:szCs w:val="16"/>
                    </w:rPr>
                  </w:pPr>
                  <w:r>
                    <w:rPr>
                      <w:sz w:val="16"/>
                      <w:szCs w:val="16"/>
                    </w:rPr>
                    <w:t>9,0</w:t>
                  </w:r>
                </w:p>
              </w:tc>
              <w:tc>
                <w:tcPr>
                  <w:tcW w:w="2282" w:type="dxa"/>
                </w:tcPr>
                <w:p w:rsidR="00EF6C76" w:rsidRPr="002921DD" w:rsidRDefault="00EF6C76" w:rsidP="000B68D9">
                  <w:pPr>
                    <w:spacing w:line="120" w:lineRule="exact"/>
                    <w:rPr>
                      <w:sz w:val="16"/>
                      <w:szCs w:val="16"/>
                    </w:rPr>
                  </w:pPr>
                  <w:r>
                    <w:rPr>
                      <w:sz w:val="16"/>
                      <w:szCs w:val="16"/>
                    </w:rPr>
                    <w:t>Sörensen</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Temperatuur</w:t>
                  </w:r>
                </w:p>
              </w:tc>
              <w:tc>
                <w:tcPr>
                  <w:tcW w:w="2282" w:type="dxa"/>
                </w:tcPr>
                <w:p w:rsidR="00EF6C76" w:rsidRPr="002921DD" w:rsidRDefault="00EF6C76" w:rsidP="000B68D9">
                  <w:pPr>
                    <w:spacing w:line="120" w:lineRule="exact"/>
                    <w:jc w:val="right"/>
                    <w:rPr>
                      <w:sz w:val="16"/>
                      <w:szCs w:val="16"/>
                    </w:rPr>
                  </w:pPr>
                  <w:r>
                    <w:rPr>
                      <w:sz w:val="16"/>
                      <w:szCs w:val="16"/>
                    </w:rPr>
                    <w:t>30,0</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Zwevende stoffen</w:t>
                  </w:r>
                </w:p>
              </w:tc>
              <w:tc>
                <w:tcPr>
                  <w:tcW w:w="2282" w:type="dxa"/>
                </w:tcPr>
                <w:p w:rsidR="00EF6C76" w:rsidRPr="002921DD" w:rsidRDefault="00EF6C76" w:rsidP="000B68D9">
                  <w:pPr>
                    <w:spacing w:line="120" w:lineRule="exact"/>
                    <w:jc w:val="right"/>
                    <w:rPr>
                      <w:sz w:val="16"/>
                      <w:szCs w:val="16"/>
                    </w:rPr>
                  </w:pPr>
                  <w:r>
                    <w:rPr>
                      <w:sz w:val="16"/>
                      <w:szCs w:val="16"/>
                    </w:rPr>
                    <w:t>120,0</w:t>
                  </w:r>
                </w:p>
              </w:tc>
              <w:tc>
                <w:tcPr>
                  <w:tcW w:w="2282" w:type="dxa"/>
                </w:tcPr>
                <w:p w:rsidR="00EF6C76" w:rsidRPr="002921DD" w:rsidRDefault="00EF6C76" w:rsidP="000B68D9">
                  <w:pPr>
                    <w:spacing w:line="120" w:lineRule="exact"/>
                    <w:rPr>
                      <w:sz w:val="16"/>
                      <w:szCs w:val="16"/>
                    </w:rPr>
                  </w:pPr>
                  <w:r>
                    <w:rPr>
                      <w:sz w:val="16"/>
                      <w:szCs w:val="16"/>
                    </w:rPr>
                    <w:t>ml/l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Bezinkbare stoffen</w:t>
                  </w:r>
                </w:p>
              </w:tc>
              <w:tc>
                <w:tcPr>
                  <w:tcW w:w="2282" w:type="dxa"/>
                </w:tcPr>
                <w:p w:rsidR="00EF6C76" w:rsidRPr="002921DD" w:rsidRDefault="00EF6C76" w:rsidP="000B68D9">
                  <w:pPr>
                    <w:spacing w:line="120" w:lineRule="exact"/>
                    <w:jc w:val="right"/>
                    <w:rPr>
                      <w:sz w:val="16"/>
                      <w:szCs w:val="16"/>
                    </w:rPr>
                  </w:pPr>
                  <w:r>
                    <w:rPr>
                      <w:sz w:val="16"/>
                      <w:szCs w:val="16"/>
                    </w:rPr>
                    <w:t>0,50</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CCl4 extraheerbare stoffen</w:t>
                  </w:r>
                </w:p>
              </w:tc>
              <w:tc>
                <w:tcPr>
                  <w:tcW w:w="2282" w:type="dxa"/>
                </w:tcPr>
                <w:p w:rsidR="00EF6C76" w:rsidRPr="002921DD" w:rsidRDefault="00EF6C76" w:rsidP="000B68D9">
                  <w:pPr>
                    <w:spacing w:line="120" w:lineRule="exact"/>
                    <w:jc w:val="right"/>
                    <w:rPr>
                      <w:sz w:val="16"/>
                      <w:szCs w:val="16"/>
                    </w:rPr>
                  </w:pPr>
                  <w:r>
                    <w:rPr>
                      <w:sz w:val="16"/>
                      <w:szCs w:val="16"/>
                    </w:rPr>
                    <w:t>20,0</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Detergent</w:t>
                  </w:r>
                </w:p>
              </w:tc>
              <w:tc>
                <w:tcPr>
                  <w:tcW w:w="2282" w:type="dxa"/>
                </w:tcPr>
                <w:p w:rsidR="00EF6C76" w:rsidRPr="002921DD" w:rsidRDefault="00EF6C76" w:rsidP="000B68D9">
                  <w:pPr>
                    <w:spacing w:line="120" w:lineRule="exact"/>
                    <w:jc w:val="right"/>
                    <w:rPr>
                      <w:sz w:val="16"/>
                      <w:szCs w:val="16"/>
                    </w:rPr>
                  </w:pPr>
                  <w:r>
                    <w:rPr>
                      <w:sz w:val="16"/>
                      <w:szCs w:val="16"/>
                    </w:rPr>
                    <w:t>3,0</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Fenolen (totaal)</w:t>
                  </w:r>
                </w:p>
              </w:tc>
              <w:tc>
                <w:tcPr>
                  <w:tcW w:w="2282" w:type="dxa"/>
                </w:tcPr>
                <w:p w:rsidR="00EF6C76" w:rsidRPr="002921DD" w:rsidRDefault="00EF6C76" w:rsidP="000B68D9">
                  <w:pPr>
                    <w:spacing w:line="120" w:lineRule="exact"/>
                    <w:jc w:val="right"/>
                    <w:rPr>
                      <w:sz w:val="16"/>
                      <w:szCs w:val="16"/>
                    </w:rPr>
                  </w:pPr>
                  <w:r>
                    <w:rPr>
                      <w:sz w:val="16"/>
                      <w:szCs w:val="16"/>
                    </w:rPr>
                    <w:t>0,4</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Stikstof (totaal)</w:t>
                  </w:r>
                </w:p>
              </w:tc>
              <w:tc>
                <w:tcPr>
                  <w:tcW w:w="2282" w:type="dxa"/>
                </w:tcPr>
                <w:p w:rsidR="00EF6C76" w:rsidRPr="002921DD" w:rsidRDefault="00EF6C76" w:rsidP="000B68D9">
                  <w:pPr>
                    <w:spacing w:line="120" w:lineRule="exact"/>
                    <w:jc w:val="right"/>
                    <w:rPr>
                      <w:sz w:val="16"/>
                      <w:szCs w:val="16"/>
                    </w:rPr>
                  </w:pPr>
                  <w:r>
                    <w:rPr>
                      <w:sz w:val="16"/>
                      <w:szCs w:val="16"/>
                    </w:rPr>
                    <w:t>60,0</w:t>
                  </w:r>
                </w:p>
              </w:tc>
              <w:tc>
                <w:tcPr>
                  <w:tcW w:w="2282" w:type="dxa"/>
                </w:tcPr>
                <w:p w:rsidR="00EF6C76" w:rsidRPr="002921DD" w:rsidRDefault="00EF6C76" w:rsidP="000B68D9">
                  <w:pPr>
                    <w:spacing w:line="120" w:lineRule="exact"/>
                    <w:rPr>
                      <w:sz w:val="16"/>
                      <w:szCs w:val="16"/>
                    </w:rPr>
                  </w:pPr>
                  <w:r>
                    <w:rPr>
                      <w:sz w:val="16"/>
                      <w:szCs w:val="16"/>
                    </w:rPr>
                    <w:t>mg N/l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Fosfor (totaal)</w:t>
                  </w:r>
                </w:p>
              </w:tc>
              <w:tc>
                <w:tcPr>
                  <w:tcW w:w="2282" w:type="dxa"/>
                </w:tcPr>
                <w:p w:rsidR="00EF6C76" w:rsidRPr="002921DD" w:rsidRDefault="00EF6C76" w:rsidP="000B68D9">
                  <w:pPr>
                    <w:spacing w:line="120" w:lineRule="exact"/>
                    <w:jc w:val="right"/>
                    <w:rPr>
                      <w:sz w:val="16"/>
                      <w:szCs w:val="16"/>
                    </w:rPr>
                  </w:pPr>
                  <w:r>
                    <w:rPr>
                      <w:sz w:val="16"/>
                      <w:szCs w:val="16"/>
                    </w:rPr>
                    <w:t>1,0</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Sulfaat</w:t>
                  </w:r>
                </w:p>
              </w:tc>
              <w:tc>
                <w:tcPr>
                  <w:tcW w:w="2282" w:type="dxa"/>
                </w:tcPr>
                <w:p w:rsidR="00EF6C76" w:rsidRPr="002921DD" w:rsidRDefault="00EF6C76" w:rsidP="000B68D9">
                  <w:pPr>
                    <w:spacing w:line="120" w:lineRule="exact"/>
                    <w:jc w:val="right"/>
                    <w:rPr>
                      <w:sz w:val="16"/>
                      <w:szCs w:val="16"/>
                    </w:rPr>
                  </w:pPr>
                  <w:r>
                    <w:rPr>
                      <w:sz w:val="16"/>
                      <w:szCs w:val="16"/>
                    </w:rPr>
                    <w:t>500</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Chloriden</w:t>
                  </w:r>
                </w:p>
              </w:tc>
              <w:tc>
                <w:tcPr>
                  <w:tcW w:w="2282" w:type="dxa"/>
                </w:tcPr>
                <w:p w:rsidR="00EF6C76" w:rsidRPr="002921DD" w:rsidRDefault="00EF6C76" w:rsidP="000B68D9">
                  <w:pPr>
                    <w:spacing w:line="120" w:lineRule="exact"/>
                    <w:jc w:val="right"/>
                    <w:rPr>
                      <w:sz w:val="16"/>
                      <w:szCs w:val="16"/>
                    </w:rPr>
                  </w:pPr>
                  <w:r>
                    <w:rPr>
                      <w:sz w:val="16"/>
                      <w:szCs w:val="16"/>
                    </w:rPr>
                    <w:t>3.500</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Opgelost ijzer</w:t>
                  </w:r>
                </w:p>
              </w:tc>
              <w:tc>
                <w:tcPr>
                  <w:tcW w:w="2282" w:type="dxa"/>
                </w:tcPr>
                <w:p w:rsidR="00EF6C76" w:rsidRPr="002921DD" w:rsidRDefault="00EF6C76" w:rsidP="000B68D9">
                  <w:pPr>
                    <w:spacing w:line="120" w:lineRule="exact"/>
                    <w:jc w:val="right"/>
                    <w:rPr>
                      <w:sz w:val="16"/>
                      <w:szCs w:val="16"/>
                    </w:rPr>
                  </w:pPr>
                  <w:r>
                    <w:rPr>
                      <w:sz w:val="16"/>
                      <w:szCs w:val="16"/>
                    </w:rPr>
                    <w:t>2,0</w:t>
                  </w:r>
                </w:p>
              </w:tc>
              <w:tc>
                <w:tcPr>
                  <w:tcW w:w="2282" w:type="dxa"/>
                </w:tcPr>
                <w:p w:rsidR="00EF6C76" w:rsidRPr="002921DD" w:rsidRDefault="00EF6C76" w:rsidP="000B68D9">
                  <w:pPr>
                    <w:spacing w:line="120" w:lineRule="exact"/>
                    <w:rPr>
                      <w:sz w:val="16"/>
                      <w:szCs w:val="16"/>
                    </w:rPr>
                  </w:pPr>
                  <w:r>
                    <w:rPr>
                      <w:sz w:val="16"/>
                      <w:szCs w:val="16"/>
                    </w:rPr>
                    <w:t>mg Fe/l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Totaal chroom</w:t>
                  </w:r>
                </w:p>
              </w:tc>
              <w:tc>
                <w:tcPr>
                  <w:tcW w:w="2282" w:type="dxa"/>
                </w:tcPr>
                <w:p w:rsidR="00EF6C76" w:rsidRPr="002921DD" w:rsidRDefault="00EF6C76" w:rsidP="000B68D9">
                  <w:pPr>
                    <w:spacing w:line="120" w:lineRule="exact"/>
                    <w:jc w:val="right"/>
                    <w:rPr>
                      <w:sz w:val="16"/>
                      <w:szCs w:val="16"/>
                    </w:rPr>
                  </w:pPr>
                  <w:r>
                    <w:rPr>
                      <w:sz w:val="16"/>
                      <w:szCs w:val="16"/>
                    </w:rPr>
                    <w:t>0,5</w:t>
                  </w:r>
                </w:p>
              </w:tc>
              <w:tc>
                <w:tcPr>
                  <w:tcW w:w="2282" w:type="dxa"/>
                </w:tcPr>
                <w:p w:rsidR="00EF6C76" w:rsidRPr="002921DD" w:rsidRDefault="00EF6C76" w:rsidP="000B68D9">
                  <w:pPr>
                    <w:spacing w:line="120" w:lineRule="exact"/>
                    <w:rPr>
                      <w:sz w:val="16"/>
                      <w:szCs w:val="16"/>
                    </w:rPr>
                  </w:pPr>
                  <w:r>
                    <w:rPr>
                      <w:sz w:val="16"/>
                      <w:szCs w:val="16"/>
                    </w:rPr>
                    <w:t>mg Cr/l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Totaal zink</w:t>
                  </w:r>
                </w:p>
              </w:tc>
              <w:tc>
                <w:tcPr>
                  <w:tcW w:w="2282" w:type="dxa"/>
                </w:tcPr>
                <w:p w:rsidR="00EF6C76" w:rsidRPr="002921DD" w:rsidRDefault="00EF6C76" w:rsidP="000B68D9">
                  <w:pPr>
                    <w:spacing w:line="120" w:lineRule="exact"/>
                    <w:jc w:val="right"/>
                    <w:rPr>
                      <w:sz w:val="16"/>
                      <w:szCs w:val="16"/>
                    </w:rPr>
                  </w:pPr>
                  <w:r>
                    <w:rPr>
                      <w:sz w:val="16"/>
                      <w:szCs w:val="16"/>
                    </w:rPr>
                    <w:t>2,0</w:t>
                  </w:r>
                </w:p>
              </w:tc>
              <w:tc>
                <w:tcPr>
                  <w:tcW w:w="2282" w:type="dxa"/>
                </w:tcPr>
                <w:p w:rsidR="00EF6C76" w:rsidRPr="002921DD" w:rsidRDefault="00EF6C76" w:rsidP="000B68D9">
                  <w:pPr>
                    <w:spacing w:line="120" w:lineRule="exact"/>
                    <w:rPr>
                      <w:sz w:val="16"/>
                      <w:szCs w:val="16"/>
                    </w:rPr>
                  </w:pPr>
                  <w:r>
                    <w:rPr>
                      <w:sz w:val="16"/>
                      <w:szCs w:val="16"/>
                    </w:rPr>
                    <w:t>mg Zn/l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Totaal lood</w:t>
                  </w:r>
                </w:p>
              </w:tc>
              <w:tc>
                <w:tcPr>
                  <w:tcW w:w="2282" w:type="dxa"/>
                </w:tcPr>
                <w:p w:rsidR="00EF6C76" w:rsidRPr="002921DD" w:rsidRDefault="00EF6C76" w:rsidP="000B68D9">
                  <w:pPr>
                    <w:spacing w:line="120" w:lineRule="exact"/>
                    <w:jc w:val="right"/>
                    <w:rPr>
                      <w:sz w:val="16"/>
                      <w:szCs w:val="16"/>
                    </w:rPr>
                  </w:pPr>
                  <w:r>
                    <w:rPr>
                      <w:sz w:val="16"/>
                      <w:szCs w:val="16"/>
                    </w:rPr>
                    <w:t>0,5</w:t>
                  </w:r>
                </w:p>
              </w:tc>
              <w:tc>
                <w:tcPr>
                  <w:tcW w:w="2282" w:type="dxa"/>
                </w:tcPr>
                <w:p w:rsidR="00EF6C76" w:rsidRPr="002921DD" w:rsidRDefault="00EF6C76" w:rsidP="000B68D9">
                  <w:pPr>
                    <w:spacing w:line="120" w:lineRule="exact"/>
                    <w:rPr>
                      <w:sz w:val="16"/>
                      <w:szCs w:val="16"/>
                    </w:rPr>
                  </w:pPr>
                  <w:r>
                    <w:rPr>
                      <w:sz w:val="16"/>
                      <w:szCs w:val="16"/>
                    </w:rPr>
                    <w:t>mg Pb/l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Totaal nikkel</w:t>
                  </w:r>
                </w:p>
              </w:tc>
              <w:tc>
                <w:tcPr>
                  <w:tcW w:w="2282" w:type="dxa"/>
                </w:tcPr>
                <w:p w:rsidR="00EF6C76" w:rsidRPr="002921DD" w:rsidRDefault="00EF6C76" w:rsidP="000B68D9">
                  <w:pPr>
                    <w:spacing w:line="120" w:lineRule="exact"/>
                    <w:jc w:val="right"/>
                    <w:rPr>
                      <w:sz w:val="16"/>
                      <w:szCs w:val="16"/>
                    </w:rPr>
                  </w:pPr>
                  <w:r>
                    <w:rPr>
                      <w:sz w:val="16"/>
                      <w:szCs w:val="16"/>
                    </w:rPr>
                    <w:t>0,5</w:t>
                  </w:r>
                </w:p>
              </w:tc>
              <w:tc>
                <w:tcPr>
                  <w:tcW w:w="2282" w:type="dxa"/>
                </w:tcPr>
                <w:p w:rsidR="00EF6C76" w:rsidRPr="002921DD" w:rsidRDefault="00EF6C76" w:rsidP="000B68D9">
                  <w:pPr>
                    <w:spacing w:line="120" w:lineRule="exact"/>
                    <w:rPr>
                      <w:sz w:val="16"/>
                      <w:szCs w:val="16"/>
                    </w:rPr>
                  </w:pPr>
                  <w:r>
                    <w:rPr>
                      <w:sz w:val="16"/>
                      <w:szCs w:val="16"/>
                    </w:rPr>
                    <w:t>mg Ni/l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BZV</w:t>
                  </w:r>
                </w:p>
              </w:tc>
              <w:tc>
                <w:tcPr>
                  <w:tcW w:w="2282" w:type="dxa"/>
                </w:tcPr>
                <w:p w:rsidR="00EF6C76" w:rsidRPr="002921DD" w:rsidRDefault="00EF6C76" w:rsidP="000B68D9">
                  <w:pPr>
                    <w:spacing w:line="120" w:lineRule="exact"/>
                    <w:jc w:val="right"/>
                    <w:rPr>
                      <w:sz w:val="16"/>
                      <w:szCs w:val="16"/>
                    </w:rPr>
                  </w:pPr>
                  <w:r>
                    <w:rPr>
                      <w:sz w:val="16"/>
                      <w:szCs w:val="16"/>
                    </w:rPr>
                    <w:t>30,0</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CZV</w:t>
                  </w:r>
                </w:p>
              </w:tc>
              <w:tc>
                <w:tcPr>
                  <w:tcW w:w="2282" w:type="dxa"/>
                </w:tcPr>
                <w:p w:rsidR="00EF6C76" w:rsidRPr="002921DD" w:rsidRDefault="00EF6C76" w:rsidP="000B68D9">
                  <w:pPr>
                    <w:spacing w:line="120" w:lineRule="exact"/>
                    <w:jc w:val="right"/>
                    <w:rPr>
                      <w:sz w:val="16"/>
                      <w:szCs w:val="16"/>
                    </w:rPr>
                  </w:pPr>
                  <w:r>
                    <w:rPr>
                      <w:sz w:val="16"/>
                      <w:szCs w:val="16"/>
                    </w:rPr>
                    <w:t>200,0</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TOX</w:t>
                  </w:r>
                </w:p>
              </w:tc>
              <w:tc>
                <w:tcPr>
                  <w:tcW w:w="2282" w:type="dxa"/>
                </w:tcPr>
                <w:p w:rsidR="00EF6C76" w:rsidRPr="002921DD" w:rsidRDefault="00EF6C76" w:rsidP="000B68D9">
                  <w:pPr>
                    <w:spacing w:line="120" w:lineRule="exact"/>
                    <w:jc w:val="right"/>
                    <w:rPr>
                      <w:sz w:val="16"/>
                      <w:szCs w:val="16"/>
                    </w:rPr>
                  </w:pPr>
                  <w:r>
                    <w:rPr>
                      <w:sz w:val="16"/>
                      <w:szCs w:val="16"/>
                    </w:rPr>
                    <w:t>0,5</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Persistente KWS</w:t>
                  </w:r>
                </w:p>
              </w:tc>
              <w:tc>
                <w:tcPr>
                  <w:tcW w:w="2282" w:type="dxa"/>
                </w:tcPr>
                <w:p w:rsidR="00EF6C76" w:rsidRPr="002921DD" w:rsidRDefault="00EF6C76" w:rsidP="000B68D9">
                  <w:pPr>
                    <w:spacing w:line="120" w:lineRule="exact"/>
                    <w:jc w:val="right"/>
                    <w:rPr>
                      <w:sz w:val="16"/>
                      <w:szCs w:val="16"/>
                    </w:rPr>
                  </w:pPr>
                  <w:r>
                    <w:rPr>
                      <w:sz w:val="16"/>
                      <w:szCs w:val="16"/>
                    </w:rPr>
                    <w:t>10,0</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Cyaniden (totaal)</w:t>
                  </w:r>
                </w:p>
              </w:tc>
              <w:tc>
                <w:tcPr>
                  <w:tcW w:w="2282" w:type="dxa"/>
                </w:tcPr>
                <w:p w:rsidR="00EF6C76" w:rsidRPr="002921DD" w:rsidRDefault="00EF6C76" w:rsidP="000B68D9">
                  <w:pPr>
                    <w:spacing w:line="120" w:lineRule="exact"/>
                    <w:jc w:val="right"/>
                    <w:rPr>
                      <w:sz w:val="16"/>
                      <w:szCs w:val="16"/>
                    </w:rPr>
                  </w:pPr>
                  <w:r>
                    <w:rPr>
                      <w:sz w:val="16"/>
                      <w:szCs w:val="16"/>
                    </w:rPr>
                    <w:t>0,1</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MAK’s</w:t>
                  </w:r>
                </w:p>
              </w:tc>
              <w:tc>
                <w:tcPr>
                  <w:tcW w:w="2282" w:type="dxa"/>
                </w:tcPr>
                <w:p w:rsidR="00EF6C76" w:rsidRPr="002921DD" w:rsidRDefault="00EF6C76" w:rsidP="000B68D9">
                  <w:pPr>
                    <w:spacing w:line="120" w:lineRule="exact"/>
                    <w:jc w:val="right"/>
                    <w:rPr>
                      <w:sz w:val="16"/>
                      <w:szCs w:val="16"/>
                    </w:rPr>
                  </w:pPr>
                  <w:r>
                    <w:rPr>
                      <w:sz w:val="16"/>
                      <w:szCs w:val="16"/>
                    </w:rPr>
                    <w:t>0,03</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PAK’s</w:t>
                  </w:r>
                </w:p>
              </w:tc>
              <w:tc>
                <w:tcPr>
                  <w:tcW w:w="2282" w:type="dxa"/>
                </w:tcPr>
                <w:p w:rsidR="00EF6C76" w:rsidRPr="002921DD" w:rsidRDefault="00EF6C76" w:rsidP="000B68D9">
                  <w:pPr>
                    <w:spacing w:line="120" w:lineRule="exact"/>
                    <w:jc w:val="right"/>
                    <w:rPr>
                      <w:sz w:val="16"/>
                      <w:szCs w:val="16"/>
                    </w:rPr>
                  </w:pPr>
                  <w:r>
                    <w:rPr>
                      <w:sz w:val="16"/>
                      <w:szCs w:val="16"/>
                    </w:rPr>
                    <w:t>0,00</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Organochloorpesticiden</w:t>
                  </w:r>
                </w:p>
              </w:tc>
              <w:tc>
                <w:tcPr>
                  <w:tcW w:w="2282" w:type="dxa"/>
                </w:tcPr>
                <w:p w:rsidR="00EF6C76" w:rsidRPr="002921DD" w:rsidRDefault="00EF6C76" w:rsidP="000B68D9">
                  <w:pPr>
                    <w:spacing w:line="120" w:lineRule="exact"/>
                    <w:jc w:val="right"/>
                    <w:rPr>
                      <w:sz w:val="16"/>
                      <w:szCs w:val="16"/>
                    </w:rPr>
                  </w:pPr>
                  <w:r>
                    <w:rPr>
                      <w:sz w:val="16"/>
                      <w:szCs w:val="16"/>
                    </w:rPr>
                    <w:t>0,0002</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Gechloreerde bifenylen</w:t>
                  </w:r>
                </w:p>
              </w:tc>
              <w:tc>
                <w:tcPr>
                  <w:tcW w:w="2282" w:type="dxa"/>
                </w:tcPr>
                <w:p w:rsidR="00EF6C76" w:rsidRPr="002921DD" w:rsidRDefault="00EF6C76" w:rsidP="000B68D9">
                  <w:pPr>
                    <w:spacing w:line="120" w:lineRule="exact"/>
                    <w:jc w:val="right"/>
                    <w:rPr>
                      <w:sz w:val="16"/>
                      <w:szCs w:val="16"/>
                    </w:rPr>
                  </w:pPr>
                  <w:r>
                    <w:rPr>
                      <w:sz w:val="16"/>
                      <w:szCs w:val="16"/>
                    </w:rPr>
                    <w:t>0,00007</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Gechloreerde aromatische amines</w:t>
                  </w:r>
                </w:p>
              </w:tc>
              <w:tc>
                <w:tcPr>
                  <w:tcW w:w="2282" w:type="dxa"/>
                </w:tcPr>
                <w:p w:rsidR="00EF6C76" w:rsidRPr="002921DD" w:rsidRDefault="00EF6C76" w:rsidP="000B68D9">
                  <w:pPr>
                    <w:spacing w:line="120" w:lineRule="exact"/>
                    <w:jc w:val="right"/>
                    <w:rPr>
                      <w:sz w:val="16"/>
                      <w:szCs w:val="16"/>
                    </w:rPr>
                  </w:pPr>
                  <w:r>
                    <w:rPr>
                      <w:sz w:val="16"/>
                      <w:szCs w:val="16"/>
                    </w:rPr>
                    <w:t>0,01</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Gechloreerde fenolen</w:t>
                  </w:r>
                </w:p>
              </w:tc>
              <w:tc>
                <w:tcPr>
                  <w:tcW w:w="2282" w:type="dxa"/>
                </w:tcPr>
                <w:p w:rsidR="00EF6C76" w:rsidRPr="002921DD" w:rsidRDefault="00EF6C76" w:rsidP="000B68D9">
                  <w:pPr>
                    <w:spacing w:line="120" w:lineRule="exact"/>
                    <w:jc w:val="right"/>
                    <w:rPr>
                      <w:sz w:val="16"/>
                      <w:szCs w:val="16"/>
                    </w:rPr>
                  </w:pPr>
                  <w:r>
                    <w:rPr>
                      <w:sz w:val="16"/>
                      <w:szCs w:val="16"/>
                    </w:rPr>
                    <w:t>0,0005</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Vrije chloor</w:t>
                  </w:r>
                </w:p>
              </w:tc>
              <w:tc>
                <w:tcPr>
                  <w:tcW w:w="2282" w:type="dxa"/>
                </w:tcPr>
                <w:p w:rsidR="00EF6C76" w:rsidRPr="002921DD" w:rsidRDefault="00EF6C76" w:rsidP="000B68D9">
                  <w:pPr>
                    <w:spacing w:line="120" w:lineRule="exact"/>
                    <w:jc w:val="right"/>
                    <w:rPr>
                      <w:sz w:val="16"/>
                      <w:szCs w:val="16"/>
                    </w:rPr>
                  </w:pPr>
                  <w:r>
                    <w:rPr>
                      <w:sz w:val="16"/>
                      <w:szCs w:val="16"/>
                    </w:rPr>
                    <w:t>0,04</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EF6C76">
              <w:trPr>
                <w:trHeight w:val="170"/>
              </w:trPr>
              <w:tc>
                <w:tcPr>
                  <w:tcW w:w="2281" w:type="dxa"/>
                </w:tcPr>
                <w:p w:rsidR="00EF6C76" w:rsidRPr="002921DD" w:rsidRDefault="00EF6C76" w:rsidP="000B68D9">
                  <w:pPr>
                    <w:spacing w:line="120" w:lineRule="exact"/>
                    <w:rPr>
                      <w:sz w:val="16"/>
                      <w:szCs w:val="16"/>
                    </w:rPr>
                  </w:pPr>
                  <w:r w:rsidRPr="002921DD">
                    <w:rPr>
                      <w:sz w:val="16"/>
                      <w:szCs w:val="16"/>
                    </w:rPr>
                    <w:t>Fluoriden</w:t>
                  </w:r>
                </w:p>
              </w:tc>
              <w:tc>
                <w:tcPr>
                  <w:tcW w:w="2282" w:type="dxa"/>
                </w:tcPr>
                <w:p w:rsidR="00EF6C76" w:rsidRPr="002921DD" w:rsidRDefault="00EF6C76" w:rsidP="000B68D9">
                  <w:pPr>
                    <w:spacing w:line="120" w:lineRule="exact"/>
                    <w:jc w:val="right"/>
                    <w:rPr>
                      <w:sz w:val="16"/>
                      <w:szCs w:val="16"/>
                    </w:rPr>
                  </w:pPr>
                  <w:r>
                    <w:rPr>
                      <w:sz w:val="16"/>
                      <w:szCs w:val="16"/>
                    </w:rPr>
                    <w:t>2</w:t>
                  </w:r>
                </w:p>
              </w:tc>
              <w:tc>
                <w:tcPr>
                  <w:tcW w:w="2282" w:type="dxa"/>
                </w:tcPr>
                <w:p w:rsidR="00EF6C76" w:rsidRPr="002921DD" w:rsidRDefault="00EF6C76" w:rsidP="000B68D9">
                  <w:pPr>
                    <w:spacing w:line="120" w:lineRule="exact"/>
                    <w:rPr>
                      <w:sz w:val="16"/>
                      <w:szCs w:val="16"/>
                    </w:rPr>
                  </w:pPr>
                  <w:r>
                    <w:rPr>
                      <w:sz w:val="16"/>
                      <w:szCs w:val="16"/>
                    </w:rPr>
                    <w:t>mg/l</w:t>
                  </w:r>
                </w:p>
              </w:tc>
            </w:tr>
            <w:tr w:rsidR="00EF6C76" w:rsidRPr="002921DD" w:rsidTr="000B68D9">
              <w:trPr>
                <w:trHeight w:val="170"/>
              </w:trPr>
              <w:tc>
                <w:tcPr>
                  <w:tcW w:w="2281" w:type="dxa"/>
                </w:tcPr>
                <w:p w:rsidR="00EF6C76" w:rsidRPr="002921DD" w:rsidRDefault="00EF6C76" w:rsidP="000B68D9">
                  <w:pPr>
                    <w:spacing w:line="120" w:lineRule="exact"/>
                    <w:rPr>
                      <w:sz w:val="16"/>
                      <w:szCs w:val="16"/>
                    </w:rPr>
                  </w:pPr>
                  <w:r w:rsidRPr="002921DD">
                    <w:rPr>
                      <w:sz w:val="16"/>
                      <w:szCs w:val="16"/>
                    </w:rPr>
                    <w:t>Niet hiervoor genoemde zware metalen</w:t>
                  </w:r>
                  <w:r w:rsidRPr="002921DD" w:rsidDel="00EF6C76">
                    <w:rPr>
                      <w:sz w:val="16"/>
                      <w:szCs w:val="16"/>
                    </w:rPr>
                    <w:t xml:space="preserve"> </w:t>
                  </w:r>
                </w:p>
              </w:tc>
              <w:tc>
                <w:tcPr>
                  <w:tcW w:w="4564" w:type="dxa"/>
                  <w:gridSpan w:val="2"/>
                </w:tcPr>
                <w:p w:rsidR="00EF6C76" w:rsidRPr="002921DD" w:rsidRDefault="00EF6C76" w:rsidP="000B68D9">
                  <w:pPr>
                    <w:spacing w:line="120" w:lineRule="exact"/>
                    <w:rPr>
                      <w:sz w:val="16"/>
                      <w:szCs w:val="16"/>
                    </w:rPr>
                  </w:pPr>
                  <w:r>
                    <w:rPr>
                      <w:sz w:val="16"/>
                      <w:szCs w:val="16"/>
                    </w:rPr>
                    <w:t>&lt; basismilieukwaliteits-doelstelling</w:t>
                  </w:r>
                  <w:r w:rsidDel="00EF6C76">
                    <w:rPr>
                      <w:sz w:val="16"/>
                      <w:szCs w:val="16"/>
                    </w:rPr>
                    <w:t xml:space="preserve"> </w:t>
                  </w:r>
                </w:p>
              </w:tc>
            </w:tr>
          </w:tbl>
          <w:p w:rsidR="00EF6C76" w:rsidRDefault="00EF6C76" w:rsidP="000B68D9"/>
        </w:tc>
      </w:tr>
      <w:tr w:rsidR="00EF6C76" w:rsidTr="000B68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9" w:type="dxa"/>
          </w:tcPr>
          <w:p w:rsidR="00EF6C76" w:rsidRPr="001171BB" w:rsidRDefault="00EF6C76" w:rsidP="000B68D9">
            <w:pPr>
              <w:rPr>
                <w:sz w:val="16"/>
                <w:szCs w:val="16"/>
              </w:rPr>
            </w:pPr>
          </w:p>
        </w:tc>
        <w:tc>
          <w:tcPr>
            <w:tcW w:w="1134" w:type="dxa"/>
          </w:tcPr>
          <w:p w:rsidR="00EF6C76" w:rsidRPr="00F26146" w:rsidRDefault="00EF6C76" w:rsidP="000B68D9">
            <w:pPr>
              <w:rPr>
                <w:sz w:val="16"/>
                <w:szCs w:val="16"/>
              </w:rPr>
            </w:pPr>
          </w:p>
        </w:tc>
        <w:tc>
          <w:tcPr>
            <w:tcW w:w="7076" w:type="dxa"/>
          </w:tcPr>
          <w:p w:rsidR="00EF6C76" w:rsidRPr="001171BB" w:rsidRDefault="00EF6C76" w:rsidP="000B68D9">
            <w:pPr>
              <w:rPr>
                <w:sz w:val="16"/>
                <w:szCs w:val="16"/>
              </w:rPr>
            </w:pPr>
            <w:r w:rsidRPr="001171BB">
              <w:rPr>
                <w:sz w:val="16"/>
                <w:szCs w:val="16"/>
              </w:rPr>
              <w:t>Tenzij anders bepaald in het besluit van BMV/00002092/606 over de aanvraag tot afwijking van titel II van Vlarem dienen:</w:t>
            </w:r>
          </w:p>
          <w:p w:rsidR="00EF6C76" w:rsidRPr="001171BB" w:rsidRDefault="00EF6C76" w:rsidP="00EF6C76">
            <w:pPr>
              <w:pStyle w:val="ListParagraph"/>
              <w:keepLines/>
              <w:numPr>
                <w:ilvl w:val="0"/>
                <w:numId w:val="123"/>
              </w:numPr>
              <w:contextualSpacing/>
              <w:rPr>
                <w:sz w:val="16"/>
                <w:szCs w:val="16"/>
              </w:rPr>
            </w:pPr>
            <w:r w:rsidRPr="001171BB">
              <w:rPr>
                <w:sz w:val="16"/>
                <w:szCs w:val="16"/>
              </w:rPr>
              <w:t>Alle door koolwaterstoffen verontreinigde afvalwaters moeten, vooraleer zij geloosd worden, verzameld en afgevoerd worden naar een bezink-  en koolwaterstofverwijderingsinstallatie</w:t>
            </w:r>
          </w:p>
          <w:p w:rsidR="00EF6C76" w:rsidRPr="001171BB" w:rsidRDefault="00EF6C76" w:rsidP="00EF6C76">
            <w:pPr>
              <w:pStyle w:val="ListParagraph"/>
              <w:keepLines/>
              <w:numPr>
                <w:ilvl w:val="0"/>
                <w:numId w:val="123"/>
              </w:numPr>
              <w:contextualSpacing/>
              <w:rPr>
                <w:sz w:val="16"/>
                <w:szCs w:val="16"/>
              </w:rPr>
            </w:pPr>
            <w:r w:rsidRPr="001171BB">
              <w:rPr>
                <w:sz w:val="16"/>
                <w:szCs w:val="16"/>
              </w:rPr>
              <w:t>Het systeem voor het afvoeren van de met koolwaterstoffen verontreinigde afvalwaters moet duidelijk gescheiden zijn van het afvoersysteem voor het normaal huisafvalwater; met het oog op het verminderen van de hydraulische belasting en de dimensionering van het systeem voor het afzonderlijk verwijderen van de koolwaterstoffen moet het niet met koolwaterstoffen verontreinigde regenwater afzonderlijk of met het normaal huisafvalwater afgevoerd worden</w:t>
            </w:r>
          </w:p>
          <w:p w:rsidR="00EF6C76" w:rsidRPr="001171BB" w:rsidRDefault="00EF6C76" w:rsidP="00EF6C76">
            <w:pPr>
              <w:pStyle w:val="ListParagraph"/>
              <w:keepLines/>
              <w:numPr>
                <w:ilvl w:val="0"/>
                <w:numId w:val="123"/>
              </w:numPr>
              <w:contextualSpacing/>
              <w:rPr>
                <w:sz w:val="16"/>
                <w:szCs w:val="16"/>
              </w:rPr>
            </w:pPr>
            <w:r w:rsidRPr="001171BB">
              <w:rPr>
                <w:sz w:val="16"/>
                <w:szCs w:val="16"/>
              </w:rPr>
              <w:t>De opvang en afvoer van de door koolwaterstoffen verontreinigde afvalwaters dient als volgt te geschieden:</w:t>
            </w:r>
          </w:p>
          <w:p w:rsidR="00EF6C76" w:rsidRPr="001171BB" w:rsidRDefault="00EF6C76" w:rsidP="00EF6C76">
            <w:pPr>
              <w:pStyle w:val="ListParagraph"/>
              <w:keepLines/>
              <w:numPr>
                <w:ilvl w:val="1"/>
                <w:numId w:val="123"/>
              </w:numPr>
              <w:contextualSpacing/>
              <w:rPr>
                <w:sz w:val="16"/>
                <w:szCs w:val="16"/>
              </w:rPr>
            </w:pPr>
            <w:r w:rsidRPr="001171BB">
              <w:rPr>
                <w:sz w:val="16"/>
                <w:szCs w:val="16"/>
              </w:rPr>
              <w:t>Het regenwater en het spuiwater, afkomstig van de ingekuipte zones van tankparken en bovengrondse houders voor vloeibare koolwaterstoffen, dient afgevoerd te worden via een afzonderlijke controleklep in de afvoerleiding vóór de bezink- en koolwaterstofverwijderingsinstallatie. Deze controleklep is normaal gesloten om voormelde ingekuipte zones af te sluiten in het geval dat een lek optreedt in een tank en/of een bovengrondse houder voor vloeibare koolwaterstoffen. Voormelde controleklep wordt uitsluitend geopend om het regenwater te laten afvloeien</w:t>
            </w:r>
          </w:p>
          <w:p w:rsidR="00EF6C76" w:rsidRPr="001171BB" w:rsidRDefault="00EF6C76" w:rsidP="00EF6C76">
            <w:pPr>
              <w:pStyle w:val="ListParagraph"/>
              <w:keepLines/>
              <w:numPr>
                <w:ilvl w:val="1"/>
                <w:numId w:val="123"/>
              </w:numPr>
              <w:contextualSpacing/>
              <w:rPr>
                <w:sz w:val="16"/>
                <w:szCs w:val="16"/>
              </w:rPr>
            </w:pPr>
            <w:r w:rsidRPr="001171BB">
              <w:rPr>
                <w:sz w:val="16"/>
                <w:szCs w:val="16"/>
              </w:rPr>
              <w:t>Het afvalwater afkomstig van de laad- en losplaatsen moet verzameld worden in één of meer wachtbekkens, telkens voorzien van een controleklep waarmee het voormelde wachtbekken van de afvoerleiding naar de bezink- en koolwaterstofverwijderingsinstallatie kan afgezonderd worden</w:t>
            </w:r>
          </w:p>
          <w:p w:rsidR="00EF6C76" w:rsidRPr="001171BB" w:rsidRDefault="00EF6C76" w:rsidP="00EF6C76">
            <w:pPr>
              <w:pStyle w:val="ListParagraph"/>
              <w:keepLines/>
              <w:numPr>
                <w:ilvl w:val="1"/>
                <w:numId w:val="123"/>
              </w:numPr>
              <w:contextualSpacing/>
              <w:rPr>
                <w:sz w:val="16"/>
                <w:szCs w:val="16"/>
              </w:rPr>
            </w:pPr>
            <w:r w:rsidRPr="001171BB">
              <w:rPr>
                <w:sz w:val="16"/>
                <w:szCs w:val="16"/>
              </w:rPr>
              <w:t>Het drainagewater van de doorlatende zones dient afgevoerd naar de bezink- en koolwaterstofverwijderingsinstallatie</w:t>
            </w:r>
          </w:p>
        </w:tc>
      </w:tr>
      <w:tr w:rsidR="00EF6C76" w:rsidTr="000B68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9" w:type="dxa"/>
          </w:tcPr>
          <w:p w:rsidR="00EF6C76" w:rsidRPr="001171BB" w:rsidRDefault="00EF6C76" w:rsidP="000B68D9">
            <w:pPr>
              <w:rPr>
                <w:sz w:val="16"/>
                <w:szCs w:val="16"/>
              </w:rPr>
            </w:pPr>
          </w:p>
        </w:tc>
        <w:tc>
          <w:tcPr>
            <w:tcW w:w="1134" w:type="dxa"/>
          </w:tcPr>
          <w:p w:rsidR="00EF6C76" w:rsidRPr="00F26146" w:rsidRDefault="00EF6C76" w:rsidP="000B68D9">
            <w:pPr>
              <w:rPr>
                <w:sz w:val="16"/>
                <w:szCs w:val="16"/>
              </w:rPr>
            </w:pPr>
          </w:p>
        </w:tc>
        <w:tc>
          <w:tcPr>
            <w:tcW w:w="7076" w:type="dxa"/>
          </w:tcPr>
          <w:p w:rsidR="00EF6C76" w:rsidRPr="001171BB" w:rsidRDefault="00EF6C76" w:rsidP="000B68D9">
            <w:pPr>
              <w:rPr>
                <w:sz w:val="16"/>
                <w:szCs w:val="16"/>
              </w:rPr>
            </w:pPr>
            <w:r w:rsidRPr="001171BB">
              <w:rPr>
                <w:sz w:val="16"/>
                <w:szCs w:val="16"/>
              </w:rPr>
              <w:t>Het maximum toegelaten uur-, dag-, maand- en jaardebiet bedraagt respectievelijk: 45m</w:t>
            </w:r>
            <w:r w:rsidRPr="001171BB">
              <w:rPr>
                <w:sz w:val="16"/>
                <w:szCs w:val="16"/>
                <w:vertAlign w:val="superscript"/>
              </w:rPr>
              <w:t>3</w:t>
            </w:r>
            <w:r w:rsidRPr="001171BB">
              <w:rPr>
                <w:sz w:val="16"/>
                <w:szCs w:val="16"/>
              </w:rPr>
              <w:t>/u, 1.000 m</w:t>
            </w:r>
            <w:r w:rsidRPr="001171BB">
              <w:rPr>
                <w:sz w:val="16"/>
                <w:szCs w:val="16"/>
                <w:vertAlign w:val="superscript"/>
              </w:rPr>
              <w:t>3</w:t>
            </w:r>
            <w:r w:rsidRPr="001171BB">
              <w:rPr>
                <w:sz w:val="16"/>
                <w:szCs w:val="16"/>
              </w:rPr>
              <w:t>/d, 130.000 m</w:t>
            </w:r>
            <w:r w:rsidRPr="001171BB">
              <w:rPr>
                <w:sz w:val="16"/>
                <w:szCs w:val="16"/>
                <w:vertAlign w:val="superscript"/>
              </w:rPr>
              <w:t>3</w:t>
            </w:r>
            <w:r w:rsidRPr="001171BB">
              <w:rPr>
                <w:sz w:val="16"/>
                <w:szCs w:val="16"/>
              </w:rPr>
              <w:t>/j.</w:t>
            </w:r>
          </w:p>
          <w:p w:rsidR="00EF6C76" w:rsidRPr="001171BB" w:rsidRDefault="00EF6C76" w:rsidP="000B68D9">
            <w:pPr>
              <w:rPr>
                <w:sz w:val="16"/>
                <w:szCs w:val="16"/>
              </w:rPr>
            </w:pPr>
            <w:r w:rsidRPr="001171BB">
              <w:rPr>
                <w:sz w:val="16"/>
                <w:szCs w:val="16"/>
              </w:rPr>
              <w:t>Met het oog op de verlaging van de geloosde debieten zal de exploitant een onderzoek verrichten naar de mogelijkheid van het gebruik van het effluent van de zuiveringsinstallatie binnen het bedrijf. In afwachting van het voorleggen van deze studie dient de exploitant de controle van het afvalwater uit te voeren zoals bepaald in art. 56,</w:t>
            </w:r>
            <w:r w:rsidR="00F26146">
              <w:rPr>
                <w:sz w:val="16"/>
                <w:szCs w:val="16"/>
              </w:rPr>
              <w:t xml:space="preserve"> </w:t>
            </w:r>
            <w:r w:rsidRPr="001171BB">
              <w:rPr>
                <w:sz w:val="16"/>
                <w:szCs w:val="16"/>
              </w:rPr>
              <w:t>55 en 61 t/m 66</w:t>
            </w:r>
          </w:p>
        </w:tc>
      </w:tr>
      <w:tr w:rsidR="00EF6C76" w:rsidTr="000B68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9" w:type="dxa"/>
          </w:tcPr>
          <w:p w:rsidR="00EF6C76" w:rsidRPr="001171BB" w:rsidRDefault="00EF6C76" w:rsidP="000B68D9">
            <w:pPr>
              <w:rPr>
                <w:sz w:val="16"/>
                <w:szCs w:val="16"/>
              </w:rPr>
            </w:pPr>
            <w:r w:rsidRPr="001171BB">
              <w:rPr>
                <w:sz w:val="16"/>
                <w:szCs w:val="16"/>
              </w:rPr>
              <w:t>(2)</w:t>
            </w:r>
          </w:p>
        </w:tc>
        <w:tc>
          <w:tcPr>
            <w:tcW w:w="1134" w:type="dxa"/>
          </w:tcPr>
          <w:p w:rsidR="00EF6C76" w:rsidRPr="00F26146" w:rsidRDefault="00EF6C76" w:rsidP="000B68D9">
            <w:pPr>
              <w:rPr>
                <w:sz w:val="16"/>
                <w:szCs w:val="16"/>
              </w:rPr>
            </w:pPr>
          </w:p>
        </w:tc>
        <w:tc>
          <w:tcPr>
            <w:tcW w:w="7076" w:type="dxa"/>
          </w:tcPr>
          <w:p w:rsidR="00EF6C76" w:rsidRPr="001171BB" w:rsidRDefault="00EF6C76" w:rsidP="000B68D9">
            <w:pPr>
              <w:rPr>
                <w:sz w:val="16"/>
                <w:szCs w:val="16"/>
              </w:rPr>
            </w:pPr>
            <w:r w:rsidRPr="001171BB">
              <w:rPr>
                <w:sz w:val="16"/>
                <w:szCs w:val="16"/>
              </w:rPr>
              <w:t>Voor de opslag van 90.000 ton milieugevaarlijke stoffen gelden, rekening houdend met de overgangsbepalingen voor bestaande inrichtingen, de voorwaarden zoals opgelegd in het besluit van de bestendige deputatie van 11/05/1995 (zie (1))</w:t>
            </w:r>
          </w:p>
        </w:tc>
      </w:tr>
      <w:tr w:rsidR="00EF6C76" w:rsidTr="000B68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9" w:type="dxa"/>
          </w:tcPr>
          <w:p w:rsidR="00EF6C76" w:rsidRPr="001171BB" w:rsidRDefault="00EF6C76" w:rsidP="000B68D9">
            <w:pPr>
              <w:rPr>
                <w:sz w:val="16"/>
                <w:szCs w:val="16"/>
              </w:rPr>
            </w:pPr>
            <w:r w:rsidRPr="001171BB">
              <w:rPr>
                <w:sz w:val="16"/>
                <w:szCs w:val="16"/>
              </w:rPr>
              <w:t>(3)</w:t>
            </w:r>
          </w:p>
        </w:tc>
        <w:tc>
          <w:tcPr>
            <w:tcW w:w="1134" w:type="dxa"/>
          </w:tcPr>
          <w:p w:rsidR="00EF6C76" w:rsidRPr="00F26146" w:rsidRDefault="00EF6C76" w:rsidP="000B68D9">
            <w:pPr>
              <w:rPr>
                <w:sz w:val="16"/>
                <w:szCs w:val="16"/>
              </w:rPr>
            </w:pPr>
          </w:p>
        </w:tc>
        <w:tc>
          <w:tcPr>
            <w:tcW w:w="7076" w:type="dxa"/>
          </w:tcPr>
          <w:p w:rsidR="00EF6C76" w:rsidRPr="001171BB" w:rsidRDefault="00EF6C76" w:rsidP="000B68D9">
            <w:pPr>
              <w:rPr>
                <w:sz w:val="16"/>
                <w:szCs w:val="16"/>
              </w:rPr>
            </w:pPr>
            <w:r w:rsidRPr="001171BB">
              <w:rPr>
                <w:sz w:val="16"/>
                <w:szCs w:val="16"/>
              </w:rPr>
              <w:t>In artikel 3. E. 10° wordt in “tabel productindeling” bij tankenpark 800 in de indelingsvoorwaarden volgens vlampunt P1 toegevoegd. In de Vlarem I rubriek wordt 17.2 en 17.3.4 toegevoegd.</w:t>
            </w:r>
          </w:p>
          <w:p w:rsidR="00EF6C76" w:rsidRPr="001171BB" w:rsidRDefault="00EF6C76" w:rsidP="000B68D9">
            <w:pPr>
              <w:rPr>
                <w:sz w:val="16"/>
                <w:szCs w:val="16"/>
              </w:rPr>
            </w:pPr>
            <w:r w:rsidRPr="001171BB">
              <w:rPr>
                <w:sz w:val="16"/>
                <w:szCs w:val="16"/>
              </w:rPr>
              <w:t>In artikel 3. E. 10° wordt vanaf “in elk geval dient de maximaal aanwezige hoeveelheid…” de vermelding P1 producten 111.150 m</w:t>
            </w:r>
            <w:r w:rsidRPr="001171BB">
              <w:rPr>
                <w:sz w:val="16"/>
                <w:szCs w:val="16"/>
                <w:vertAlign w:val="superscript"/>
              </w:rPr>
              <w:t>3</w:t>
            </w:r>
            <w:r w:rsidRPr="001171BB">
              <w:rPr>
                <w:sz w:val="16"/>
                <w:szCs w:val="16"/>
              </w:rPr>
              <w:t>, vervangen door P1-producten 211.150 m</w:t>
            </w:r>
            <w:r w:rsidRPr="001171BB">
              <w:rPr>
                <w:sz w:val="16"/>
                <w:szCs w:val="16"/>
                <w:vertAlign w:val="superscript"/>
              </w:rPr>
              <w:t>3</w:t>
            </w:r>
            <w:r w:rsidRPr="001171BB">
              <w:rPr>
                <w:sz w:val="16"/>
                <w:szCs w:val="16"/>
              </w:rPr>
              <w:t>. Volgende vermelding wordt toegevoegd: som P1- en P2-producten: 261.150 m</w:t>
            </w:r>
            <w:r w:rsidRPr="001171BB">
              <w:rPr>
                <w:sz w:val="16"/>
                <w:szCs w:val="16"/>
                <w:vertAlign w:val="superscript"/>
              </w:rPr>
              <w:t>3</w:t>
            </w:r>
            <w:r w:rsidRPr="001171BB">
              <w:rPr>
                <w:sz w:val="16"/>
                <w:szCs w:val="16"/>
              </w:rPr>
              <w:t>.</w:t>
            </w:r>
          </w:p>
          <w:p w:rsidR="00EF6C76" w:rsidRPr="001171BB" w:rsidRDefault="00EF6C76" w:rsidP="000B68D9">
            <w:pPr>
              <w:rPr>
                <w:sz w:val="16"/>
                <w:szCs w:val="16"/>
              </w:rPr>
            </w:pPr>
            <w:r w:rsidRPr="001171BB">
              <w:rPr>
                <w:sz w:val="16"/>
                <w:szCs w:val="16"/>
              </w:rPr>
              <w:t>In artikel 3. E. 11°.2 wordt het volgende toegevoegd: deze bepaling geldt niet voor de tanks 801 en 802 in tankenpark 800.</w:t>
            </w:r>
          </w:p>
        </w:tc>
      </w:tr>
    </w:tbl>
    <w:p w:rsidR="00EF6C76" w:rsidRDefault="00EF6C76" w:rsidP="00842F7F"/>
    <w:p w:rsidR="00EF6C76" w:rsidRDefault="00EF6C76" w:rsidP="00842F7F"/>
    <w:p w:rsidR="00842F7F" w:rsidRDefault="00842F7F" w:rsidP="00842F7F">
      <w:pPr>
        <w:rPr>
          <w:spacing w:val="20"/>
          <w:sz w:val="24"/>
          <w:lang w:val="nl-NL"/>
        </w:rPr>
      </w:pPr>
      <w:r>
        <w:br w:type="page"/>
      </w:r>
    </w:p>
    <w:p w:rsidR="00EE4586" w:rsidRDefault="00EE4586" w:rsidP="00AF3F9E">
      <w:pPr>
        <w:pStyle w:val="Heading2"/>
      </w:pPr>
      <w:bookmarkStart w:id="173" w:name="_Ref312053680"/>
      <w:bookmarkStart w:id="174" w:name="_Ref312053725"/>
      <w:bookmarkStart w:id="175" w:name="_Toc312069197"/>
      <w:r>
        <w:lastRenderedPageBreak/>
        <w:t>Het voorgenomen project</w:t>
      </w:r>
      <w:bookmarkEnd w:id="171"/>
      <w:bookmarkEnd w:id="172"/>
      <w:bookmarkEnd w:id="173"/>
      <w:bookmarkEnd w:id="174"/>
      <w:bookmarkEnd w:id="175"/>
    </w:p>
    <w:p w:rsidR="009F79FD" w:rsidRDefault="00DF7803" w:rsidP="00AF3F9E">
      <w:r w:rsidRPr="00C57E6A">
        <w:t xml:space="preserve">De maximale opslagcapaciteit van de terminal bedraagt momenteel ± </w:t>
      </w:r>
      <w:r>
        <w:t>477.855</w:t>
      </w:r>
      <w:r w:rsidRPr="00C57E6A">
        <w:t xml:space="preserve"> ton chemische vloeistoffen in bulk</w:t>
      </w:r>
      <w:r>
        <w:t xml:space="preserve"> verdeeld over 18</w:t>
      </w:r>
      <w:r w:rsidR="00212CD6">
        <w:t>7</w:t>
      </w:r>
      <w:r>
        <w:t xml:space="preserve"> opslagtanks. </w:t>
      </w:r>
    </w:p>
    <w:p w:rsidR="00CA6548" w:rsidRDefault="00CA6548" w:rsidP="00AF3F9E">
      <w:r>
        <w:t>VTE wenst in de toekomst de aard en de hoeveelheid aan chemische vloeistoffen die maximaal aanwezig kunnen zijn in de terminal, in 2 fases uit te breiden.</w:t>
      </w:r>
      <w:r w:rsidR="00F12DA2">
        <w:t xml:space="preserve"> Fase 1  zal gerealiseerd worden na het </w:t>
      </w:r>
      <w:r w:rsidR="00AD4864">
        <w:t>verkrijgen</w:t>
      </w:r>
      <w:r w:rsidR="00F12DA2">
        <w:t xml:space="preserve"> van de nodige vergunningen. De uitvoering van fase 2 is gepland </w:t>
      </w:r>
      <w:r w:rsidR="00AD4864">
        <w:t xml:space="preserve">na </w:t>
      </w:r>
      <w:r w:rsidR="00F12DA2">
        <w:t xml:space="preserve">2015. </w:t>
      </w:r>
      <w:r w:rsidR="000729E8">
        <w:t xml:space="preserve">De onderstaande </w:t>
      </w:r>
      <w:r>
        <w:t xml:space="preserve">gedetaileerde beschrijving van </w:t>
      </w:r>
      <w:r w:rsidR="00BD51FE">
        <w:t xml:space="preserve">de wijzigingen die in het kader hiervan concreet op terrein zullen doorgevoerd worden is </w:t>
      </w:r>
      <w:r w:rsidR="000729E8">
        <w:t xml:space="preserve">eveneens </w:t>
      </w:r>
      <w:r w:rsidR="00BD51FE">
        <w:t>opgenomen in</w:t>
      </w:r>
      <w:r>
        <w:t xml:space="preserve"> </w:t>
      </w:r>
      <w:r w:rsidR="00BD51FE">
        <w:t xml:space="preserve">deel </w:t>
      </w:r>
      <w:r w:rsidR="00C325A0">
        <w:rPr>
          <w:highlight w:val="yellow"/>
        </w:rPr>
        <w:fldChar w:fldCharType="begin"/>
      </w:r>
      <w:r w:rsidR="00BD51FE">
        <w:instrText xml:space="preserve"> REF _Ref291151495 \n \h </w:instrText>
      </w:r>
      <w:r w:rsidR="00C325A0">
        <w:rPr>
          <w:highlight w:val="yellow"/>
        </w:rPr>
      </w:r>
      <w:r w:rsidR="00C325A0">
        <w:rPr>
          <w:highlight w:val="yellow"/>
        </w:rPr>
        <w:fldChar w:fldCharType="separate"/>
      </w:r>
      <w:r w:rsidR="008102D8">
        <w:t>V</w:t>
      </w:r>
      <w:r w:rsidR="00C325A0">
        <w:rPr>
          <w:highlight w:val="yellow"/>
        </w:rPr>
        <w:fldChar w:fldCharType="end"/>
      </w:r>
      <w:r w:rsidR="00BD51FE">
        <w:t>.</w:t>
      </w:r>
    </w:p>
    <w:p w:rsidR="000729E8" w:rsidRDefault="000729E8" w:rsidP="000729E8">
      <w:pPr>
        <w:pStyle w:val="tit-5"/>
        <w:outlineLvl w:val="0"/>
      </w:pPr>
      <w:r>
        <w:t>fase 1</w:t>
      </w:r>
    </w:p>
    <w:p w:rsidR="000729E8" w:rsidRDefault="000729E8" w:rsidP="000729E8">
      <w:r>
        <w:t xml:space="preserve">Ten aanzien van de vergunde situatie (zie figuur </w:t>
      </w:r>
      <w:r w:rsidR="00C325A0">
        <w:fldChar w:fldCharType="begin"/>
      </w:r>
      <w:r>
        <w:instrText xml:space="preserve"> REF f_project_plattegrond \h </w:instrText>
      </w:r>
      <w:r w:rsidR="00C325A0">
        <w:fldChar w:fldCharType="separate"/>
      </w:r>
      <w:r w:rsidR="008102D8">
        <w:t>IV.</w:t>
      </w:r>
      <w:r w:rsidR="008102D8">
        <w:rPr>
          <w:noProof/>
        </w:rPr>
        <w:t>2</w:t>
      </w:r>
      <w:r w:rsidR="00C325A0">
        <w:fldChar w:fldCharType="end"/>
      </w:r>
      <w:r>
        <w:t xml:space="preserve">) zijn op het bestaande bedrijfsterrein volgende wijzigingen gepland die verder ‘fase 1’ genoemd worden (zie figuur </w:t>
      </w:r>
      <w:r w:rsidR="00C325A0">
        <w:fldChar w:fldCharType="begin"/>
      </w:r>
      <w:r>
        <w:instrText xml:space="preserve"> REF f_project_plattegrond_f1 \h </w:instrText>
      </w:r>
      <w:r w:rsidR="00C325A0">
        <w:fldChar w:fldCharType="separate"/>
      </w:r>
      <w:r w:rsidR="008102D8">
        <w:t>V.</w:t>
      </w:r>
      <w:r w:rsidR="008102D8">
        <w:rPr>
          <w:noProof/>
        </w:rPr>
        <w:t>1</w:t>
      </w:r>
      <w:r w:rsidR="00C325A0">
        <w:fldChar w:fldCharType="end"/>
      </w:r>
      <w:r>
        <w:t>):</w:t>
      </w:r>
    </w:p>
    <w:p w:rsidR="000729E8" w:rsidRDefault="000729E8" w:rsidP="000729E8">
      <w:pPr>
        <w:pStyle w:val="ListParagraph"/>
        <w:numPr>
          <w:ilvl w:val="0"/>
          <w:numId w:val="89"/>
        </w:numPr>
      </w:pPr>
      <w:r>
        <w:t>Bouwen van tankenpark 850 voor 12 extra tanks uitgerust voor de opslag van zowel (zeer) licht ontvlambare als van (zeer) toxische producten. Deze nieuwe opslagtanks zijn allen tanks met ademventielen (insteldruk 100 mbar) en de inkuiping van tankenpark 850 zal vloeistofdicht worden uitgevoerd.</w:t>
      </w:r>
    </w:p>
    <w:p w:rsidR="000729E8" w:rsidRDefault="000729E8" w:rsidP="000729E8">
      <w:pPr>
        <w:pStyle w:val="ListParagraph"/>
        <w:numPr>
          <w:ilvl w:val="0"/>
          <w:numId w:val="89"/>
        </w:numPr>
      </w:pPr>
      <w:r>
        <w:t>Bouwen van tankenpark 900 voor 8 extra tanks uitgerust voor de opslag van zowel (zeer) licht ontvlambare als van (zeer) toxische producten. Deze nieuwe opslagtanks zijn allen tanks met ademventielen (insteldruk 100 mbar) en de inkuiping van tankenpark 900 zal vloeistofdicht worden uitgevoerd.</w:t>
      </w:r>
    </w:p>
    <w:p w:rsidR="000729E8" w:rsidRDefault="000729E8" w:rsidP="000729E8">
      <w:pPr>
        <w:pStyle w:val="ListParagraph"/>
        <w:numPr>
          <w:ilvl w:val="0"/>
          <w:numId w:val="89"/>
        </w:numPr>
      </w:pPr>
      <w:r>
        <w:t>Verplaatsen van tankenpark 810 bestaande uit drie buffertanks die specifiek</w:t>
      </w:r>
      <w:r>
        <w:rPr>
          <w:rStyle w:val="FootnoteReference"/>
        </w:rPr>
        <w:footnoteReference w:id="7"/>
      </w:r>
      <w:r>
        <w:t xml:space="preserve"> bestemd worden voor de waterzuivering.</w:t>
      </w:r>
    </w:p>
    <w:p w:rsidR="000729E8" w:rsidRDefault="000729E8" w:rsidP="000729E8">
      <w:pPr>
        <w:pStyle w:val="ListParagraph"/>
        <w:numPr>
          <w:ilvl w:val="0"/>
          <w:numId w:val="89"/>
        </w:numPr>
      </w:pPr>
      <w:r>
        <w:t>Bijbehorende vloeistofdichte verlaadplaatsen voor tankenpark 850 en 900.</w:t>
      </w:r>
    </w:p>
    <w:p w:rsidR="000729E8" w:rsidRDefault="000729E8" w:rsidP="000729E8">
      <w:pPr>
        <w:pStyle w:val="ListParagraph"/>
        <w:numPr>
          <w:ilvl w:val="0"/>
          <w:numId w:val="89"/>
        </w:numPr>
      </w:pPr>
      <w:r>
        <w:t xml:space="preserve">Bouwen van twee tanks (TK54 en TK55) in tankenpark 10/50/100/200 voor de opslag van o.m. (zeer) toxische producten alsook van milieugevaarlijke producten. </w:t>
      </w:r>
    </w:p>
    <w:p w:rsidR="000729E8" w:rsidRDefault="000729E8" w:rsidP="000729E8">
      <w:pPr>
        <w:pStyle w:val="ListParagraph"/>
        <w:numPr>
          <w:ilvl w:val="0"/>
          <w:numId w:val="89"/>
        </w:numPr>
      </w:pPr>
      <w:r>
        <w:t>Afbraak van 18</w:t>
      </w:r>
      <w:r>
        <w:rPr>
          <w:rStyle w:val="FootnoteReference"/>
        </w:rPr>
        <w:footnoteReference w:id="8"/>
      </w:r>
      <w:r>
        <w:t xml:space="preserve"> tanks in tankenpark 10/50/100/200 incl. bijbehorende aanpassing van de kuipmuur en afbraak van 4 tanks uit tankenpark 300/400 incl. bijbehorende aanpassing van de kuipmuur. De hiervoor aangegeven geplande bouw van tanks moet de afbraak van deze tanks compenseren.</w:t>
      </w:r>
    </w:p>
    <w:p w:rsidR="000729E8" w:rsidRDefault="000729E8" w:rsidP="000729E8">
      <w:pPr>
        <w:pStyle w:val="ListParagraph"/>
      </w:pPr>
      <w:r>
        <w:t>Voor 13 van de vergunde tanks is de opslag van producten met een gewijzigd vlampunt gepland :</w:t>
      </w:r>
    </w:p>
    <w:p w:rsidR="000729E8" w:rsidRDefault="000729E8" w:rsidP="000729E8">
      <w:pPr>
        <w:pStyle w:val="ListParagraph"/>
        <w:numPr>
          <w:ilvl w:val="0"/>
          <w:numId w:val="90"/>
        </w:numPr>
      </w:pPr>
      <w:r>
        <w:t>10 tanks (TK306, TK309, TK312, TK315, TK318, TK321, TK324, TK327, TK330, TK333) worden bestemd voor producten met een vlampunt &gt; 55°C</w:t>
      </w:r>
      <w:r w:rsidR="000F265C">
        <w:t xml:space="preserve"> (P3)</w:t>
      </w:r>
      <w:r>
        <w:t xml:space="preserve"> waar in de vergunde situatie P2-producten in opslag kunnen zijn</w:t>
      </w:r>
    </w:p>
    <w:p w:rsidR="000729E8" w:rsidRDefault="000729E8" w:rsidP="000729E8">
      <w:pPr>
        <w:pStyle w:val="ListParagraph"/>
        <w:numPr>
          <w:ilvl w:val="0"/>
          <w:numId w:val="90"/>
        </w:numPr>
      </w:pPr>
      <w:r>
        <w:t>2 tanks (TK500 en TK502) worden bestemd voor P2-producten waar het in de vergunde situatie producten met een vlampunt &gt; 55°C betreft</w:t>
      </w:r>
    </w:p>
    <w:p w:rsidR="000729E8" w:rsidRPr="008A128C" w:rsidRDefault="000729E8" w:rsidP="000729E8">
      <w:pPr>
        <w:pStyle w:val="ListParagraph"/>
        <w:numPr>
          <w:ilvl w:val="0"/>
          <w:numId w:val="90"/>
        </w:numPr>
      </w:pPr>
      <w:r>
        <w:t>tank TK501 wordt bestemd voor P1-producten waar het in de vergunde situatie producten met een vlampunt &gt; 55°C betreft</w:t>
      </w:r>
    </w:p>
    <w:p w:rsidR="000729E8" w:rsidRDefault="000729E8" w:rsidP="000729E8">
      <w:pPr>
        <w:pStyle w:val="ListParagraph"/>
        <w:rPr>
          <w:lang w:val="nl-NL"/>
        </w:rPr>
      </w:pPr>
      <w:r w:rsidRPr="007552BB">
        <w:rPr>
          <w:lang w:val="nl-NL"/>
        </w:rPr>
        <w:t>In de tanks van tankenpark 500/550/600/650/660/700/750/850/900 die voor P1-producten zijn voorzien, wordt ook voorzien om hier methanol te kunnen opslaan.</w:t>
      </w:r>
    </w:p>
    <w:p w:rsidR="000729E8" w:rsidRDefault="000729E8" w:rsidP="00842F7F">
      <w:pPr>
        <w:pStyle w:val="ListParagraph"/>
        <w:keepNext/>
        <w:keepLines/>
        <w:rPr>
          <w:lang w:val="nl-NL"/>
        </w:rPr>
      </w:pPr>
      <w:r w:rsidRPr="007552BB">
        <w:rPr>
          <w:lang w:val="nl-NL"/>
        </w:rPr>
        <w:lastRenderedPageBreak/>
        <w:t xml:space="preserve">De steigers ST3 en ST4 worden vervangen door een nieuwe steiger ST3 die in de richting van het dok verruimd wordt zodat schepen met grotere diepgang hier kunnen aanmeren. </w:t>
      </w:r>
      <w:r w:rsidRPr="007552BB">
        <w:rPr>
          <w:lang w:val="nl-NL"/>
        </w:rPr>
        <w:br/>
        <w:t>Tegelijkertijd is voorzien om het dok ter hoogte van de kade met steiger ST2 te verdiepen. Dit levert dan minder beperkingen op ten aanzien van verladingen omdat in de huidige toestand in een aantal gevallen schepen eerst op een andere locatie (deels) moeten lossen alvorens naar Vopak Terminal Eurotank te kunnen komen en dit vanwege de beperkte diepte van het dok ter hoogte van steiger ST2.</w:t>
      </w:r>
      <w:r w:rsidR="000F265C">
        <w:rPr>
          <w:lang w:val="nl-NL"/>
        </w:rPr>
        <w:t xml:space="preserve"> </w:t>
      </w:r>
      <w:r w:rsidR="00F00AB3">
        <w:rPr>
          <w:lang w:val="nl-NL"/>
        </w:rPr>
        <w:t>Tenslotte wordt ook een pijpenrek voorzien van ST2 naar ST3.</w:t>
      </w:r>
    </w:p>
    <w:p w:rsidR="000729E8" w:rsidRDefault="000729E8" w:rsidP="000729E8">
      <w:pPr>
        <w:pStyle w:val="ListParagraph"/>
        <w:rPr>
          <w:lang w:val="nl-NL"/>
        </w:rPr>
      </w:pPr>
      <w:r w:rsidRPr="007552BB">
        <w:rPr>
          <w:lang w:val="nl-NL"/>
        </w:rPr>
        <w:t>Naast het plaatsen van bijkomende verlaadplaatsen voor tankwagens en spoorwagons voor de nieuwe tankenparken, is ook het centraliseren van de verlaadplaatsen voor tankwagens en spoorwagons voor de vergunde tankenparken voorzien. Hieraan verbonden zijn een aantal wijzigingen van het spoortraject om meer bepaald de wagons ter hoogte van de verlaadplaatsen te brengen. Voorts wordt een bijkomende toegang voor de vrachtwagens in de noordwestelijke hoek van het bedrijfsterrein voorzien waardoor de mogelijkheid geboden wordt voor een verbeterde toegang van de vrachtwagens. Mede in dit verband zal het te vergunnen bedrijfsterrein uitbreiden tot aan de rand van de Industrieweg.</w:t>
      </w:r>
    </w:p>
    <w:p w:rsidR="000729E8" w:rsidRPr="007552BB" w:rsidRDefault="000729E8" w:rsidP="000729E8">
      <w:pPr>
        <w:pStyle w:val="ListParagraph"/>
        <w:rPr>
          <w:lang w:val="nl-NL"/>
        </w:rPr>
      </w:pPr>
      <w:r w:rsidRPr="007552BB">
        <w:rPr>
          <w:lang w:val="nl-NL"/>
        </w:rPr>
        <w:t>Bouwen van een nieuwe brandkelder waarin de bluswaterpompen opgesteld</w:t>
      </w:r>
      <w:r w:rsidR="000F265C">
        <w:rPr>
          <w:lang w:val="nl-NL"/>
        </w:rPr>
        <w:t xml:space="preserve"> </w:t>
      </w:r>
      <w:r w:rsidRPr="007552BB">
        <w:rPr>
          <w:lang w:val="nl-NL"/>
        </w:rPr>
        <w:t>staan</w:t>
      </w:r>
      <w:r w:rsidR="000F265C">
        <w:rPr>
          <w:lang w:val="nl-NL"/>
        </w:rPr>
        <w:t xml:space="preserve">. </w:t>
      </w:r>
      <w:r w:rsidRPr="007552BB">
        <w:rPr>
          <w:lang w:val="nl-NL"/>
        </w:rPr>
        <w:t xml:space="preserve">Deze brandkelder komt </w:t>
      </w:r>
      <w:r w:rsidR="000F265C">
        <w:rPr>
          <w:lang w:val="nl-NL"/>
        </w:rPr>
        <w:t>waarschijnlijk op</w:t>
      </w:r>
      <w:r w:rsidRPr="007552BB">
        <w:rPr>
          <w:lang w:val="nl-NL"/>
        </w:rPr>
        <w:t xml:space="preserve"> de plaats van de bestaande brandkelder die ter hoogte van de waterzuiveringsinstallatie aanwezig is.</w:t>
      </w:r>
    </w:p>
    <w:p w:rsidR="000729E8" w:rsidRDefault="000729E8" w:rsidP="00842F7F">
      <w:pPr>
        <w:pStyle w:val="tit-5"/>
        <w:outlineLvl w:val="0"/>
        <w:rPr>
          <w:lang w:val="nl-NL"/>
        </w:rPr>
      </w:pPr>
      <w:r>
        <w:rPr>
          <w:lang w:val="nl-NL"/>
        </w:rPr>
        <w:lastRenderedPageBreak/>
        <w:t>fase 2</w:t>
      </w:r>
    </w:p>
    <w:p w:rsidR="000729E8" w:rsidRPr="00C808B3" w:rsidRDefault="000729E8" w:rsidP="00842F7F">
      <w:pPr>
        <w:keepNext/>
        <w:rPr>
          <w:lang w:val="nl-NL"/>
        </w:rPr>
      </w:pPr>
      <w:r w:rsidRPr="00C808B3">
        <w:rPr>
          <w:lang w:val="nl-NL"/>
        </w:rPr>
        <w:t xml:space="preserve">Omdat </w:t>
      </w:r>
      <w:r>
        <w:rPr>
          <w:lang w:val="nl-NL"/>
        </w:rPr>
        <w:t>VTE</w:t>
      </w:r>
      <w:r w:rsidRPr="00C808B3">
        <w:rPr>
          <w:lang w:val="nl-NL"/>
        </w:rPr>
        <w:t xml:space="preserve"> met de opmaak van het </w:t>
      </w:r>
      <w:r>
        <w:rPr>
          <w:lang w:val="nl-NL"/>
        </w:rPr>
        <w:t>MER</w:t>
      </w:r>
      <w:r w:rsidRPr="00C808B3">
        <w:rPr>
          <w:lang w:val="nl-NL"/>
        </w:rPr>
        <w:t xml:space="preserve"> op een</w:t>
      </w:r>
      <w:r>
        <w:rPr>
          <w:lang w:val="nl-NL"/>
        </w:rPr>
        <w:t xml:space="preserve"> </w:t>
      </w:r>
      <w:r w:rsidRPr="00C808B3">
        <w:rPr>
          <w:lang w:val="nl-NL"/>
        </w:rPr>
        <w:t xml:space="preserve">iets langere termijn wenst te kijken, zal er in het </w:t>
      </w:r>
      <w:r>
        <w:rPr>
          <w:lang w:val="nl-NL"/>
        </w:rPr>
        <w:t>MER</w:t>
      </w:r>
      <w:r w:rsidRPr="00C808B3">
        <w:rPr>
          <w:lang w:val="nl-NL"/>
        </w:rPr>
        <w:t xml:space="preserve"> ook een zgn. ‘fase 2’ onderzocht</w:t>
      </w:r>
      <w:r>
        <w:rPr>
          <w:lang w:val="nl-NL"/>
        </w:rPr>
        <w:t xml:space="preserve"> </w:t>
      </w:r>
      <w:r w:rsidRPr="00C808B3">
        <w:rPr>
          <w:lang w:val="nl-NL"/>
        </w:rPr>
        <w:t>worden die in de tijd na fase 1 komt, en die naast de geplande wijzigingen van fase 1 bijkomend</w:t>
      </w:r>
      <w:r>
        <w:rPr>
          <w:lang w:val="nl-NL"/>
        </w:rPr>
        <w:t xml:space="preserve"> </w:t>
      </w:r>
      <w:r w:rsidRPr="00C808B3">
        <w:rPr>
          <w:lang w:val="nl-NL"/>
        </w:rPr>
        <w:t xml:space="preserve">nog volgende wijzigingen omvat </w:t>
      </w:r>
      <w:r>
        <w:rPr>
          <w:lang w:val="nl-NL"/>
        </w:rPr>
        <w:t xml:space="preserve">(zie ook figuur </w:t>
      </w:r>
      <w:r w:rsidR="00C325A0">
        <w:rPr>
          <w:lang w:val="nl-NL"/>
        </w:rPr>
        <w:fldChar w:fldCharType="begin"/>
      </w:r>
      <w:r>
        <w:rPr>
          <w:lang w:val="nl-NL"/>
        </w:rPr>
        <w:instrText xml:space="preserve"> REF f_project_plattegrond_f1 \h </w:instrText>
      </w:r>
      <w:r w:rsidR="00C325A0">
        <w:rPr>
          <w:lang w:val="nl-NL"/>
        </w:rPr>
      </w:r>
      <w:r w:rsidR="00C325A0">
        <w:rPr>
          <w:lang w:val="nl-NL"/>
        </w:rPr>
        <w:fldChar w:fldCharType="separate"/>
      </w:r>
      <w:r w:rsidR="008102D8">
        <w:t>V.</w:t>
      </w:r>
      <w:r w:rsidR="008102D8">
        <w:rPr>
          <w:noProof/>
        </w:rPr>
        <w:t>1</w:t>
      </w:r>
      <w:r w:rsidR="00C325A0">
        <w:rPr>
          <w:lang w:val="nl-NL"/>
        </w:rPr>
        <w:fldChar w:fldCharType="end"/>
      </w:r>
      <w:r>
        <w:rPr>
          <w:lang w:val="nl-NL"/>
        </w:rPr>
        <w:t>)</w:t>
      </w:r>
      <w:r w:rsidRPr="00C808B3">
        <w:rPr>
          <w:lang w:val="nl-NL"/>
        </w:rPr>
        <w:t>:</w:t>
      </w:r>
    </w:p>
    <w:p w:rsidR="000729E8" w:rsidRDefault="000729E8" w:rsidP="00842F7F">
      <w:pPr>
        <w:pStyle w:val="ListParagraph"/>
        <w:keepNext/>
        <w:keepLines/>
        <w:rPr>
          <w:lang w:val="nl-NL"/>
        </w:rPr>
      </w:pPr>
      <w:r w:rsidRPr="00C808B3">
        <w:rPr>
          <w:lang w:val="nl-NL"/>
        </w:rPr>
        <w:t>Bouwen van 4 extra tanks met bijbehorende verlaadplaats verlaadplaats LP E voor tankenpark 650 uitgerust voor de opslag van zowel (zeer) licht ontvlambare als van (zeer) toxische producten.</w:t>
      </w:r>
    </w:p>
    <w:p w:rsidR="000729E8" w:rsidRDefault="000729E8" w:rsidP="00842F7F">
      <w:pPr>
        <w:pStyle w:val="ListParagraph"/>
        <w:keepNext/>
        <w:keepLines/>
        <w:rPr>
          <w:lang w:val="nl-NL"/>
        </w:rPr>
      </w:pPr>
      <w:r w:rsidRPr="00C808B3">
        <w:rPr>
          <w:lang w:val="nl-NL"/>
        </w:rPr>
        <w:t>Met de bouw van de bijkomende tanks voor tankenpark 650 zal een deel van de bestaande vatenloods komen te vervallen waarbij nog één afvullijn behouden blijft. Deze wijziging heeft echter geen invloed op de totaal aanwezige hoeveelheden aan gevaarlijke producten in de terminal.</w:t>
      </w:r>
    </w:p>
    <w:p w:rsidR="000729E8" w:rsidRDefault="000729E8" w:rsidP="00842F7F">
      <w:pPr>
        <w:pStyle w:val="ListParagraph"/>
        <w:keepNext/>
        <w:keepLines/>
        <w:rPr>
          <w:lang w:val="nl-NL"/>
        </w:rPr>
      </w:pPr>
      <w:r w:rsidRPr="00C808B3">
        <w:rPr>
          <w:lang w:val="nl-NL"/>
        </w:rPr>
        <w:t>De bestaande tanks in tankenpark 650 en tankenpark 660 worden bijkomend ook voorzien voor de opslag van (zeer) toxische producten.</w:t>
      </w:r>
    </w:p>
    <w:p w:rsidR="00F077DA" w:rsidRDefault="00F077DA" w:rsidP="00F077DA">
      <w:pPr>
        <w:pStyle w:val="tit-5"/>
        <w:outlineLvl w:val="0"/>
        <w:rPr>
          <w:lang w:val="nl-NL"/>
        </w:rPr>
      </w:pPr>
    </w:p>
    <w:p w:rsidR="00324ECC" w:rsidRDefault="0038234F">
      <w:pPr>
        <w:pStyle w:val="tit-5"/>
        <w:outlineLvl w:val="0"/>
        <w:rPr>
          <w:lang w:val="nl"/>
        </w:rPr>
      </w:pPr>
      <w:r>
        <w:rPr>
          <w:lang w:val="nl"/>
        </w:rPr>
        <w:t>Wijzigingen</w:t>
      </w:r>
    </w:p>
    <w:p w:rsidR="00F077DA" w:rsidRPr="00F077DA" w:rsidRDefault="00863B7A" w:rsidP="00F077DA">
      <w:pPr>
        <w:keepNext/>
        <w:rPr>
          <w:lang w:val="nl-NL"/>
        </w:rPr>
      </w:pPr>
      <w:r>
        <w:t xml:space="preserve">Na het indienen van het gecombineerde kennisgevingdossier/ontwerp-MER werden door </w:t>
      </w:r>
      <w:fldSimple w:instr=" REF klant \h  \* MERGEFORMAT ">
        <w:r w:rsidR="008102D8">
          <w:t xml:space="preserve">Vopak Terminal Eurotank NV </w:t>
        </w:r>
      </w:fldSimple>
      <w:r>
        <w:t>nog volgende beperkte wijzigingen vooropgesteld voor fase 1 ten opzichte van de beschouwde situatie:</w:t>
      </w:r>
    </w:p>
    <w:p w:rsidR="00324ECC" w:rsidRDefault="00863B7A">
      <w:pPr>
        <w:pStyle w:val="ListParagraph"/>
        <w:keepNext/>
        <w:keepLines/>
        <w:numPr>
          <w:ilvl w:val="0"/>
          <w:numId w:val="119"/>
        </w:numPr>
        <w:spacing w:before="0" w:after="0" w:line="240" w:lineRule="auto"/>
      </w:pPr>
      <w:r>
        <w:t>vervanging van TK105 (500 m</w:t>
      </w:r>
      <w:r w:rsidRPr="00007C7D">
        <w:rPr>
          <w:vertAlign w:val="superscript"/>
        </w:rPr>
        <w:t>3</w:t>
      </w:r>
      <w:r>
        <w:t>) door TK101 (750 m</w:t>
      </w:r>
      <w:r w:rsidRPr="00007C7D">
        <w:rPr>
          <w:vertAlign w:val="superscript"/>
        </w:rPr>
        <w:t>3</w:t>
      </w:r>
      <w:r>
        <w:t>) die moet wijken naar aanleiding van de aanpassing van de inkuipingsmuur van tankenpark 10/50/100/200.  Gezien  de bijkomende capaciteit t.o.v. de beschouwde situatie in de effectenbeoordelingen slechts ca. 0,05% van de totale opslagcapaciteit</w:t>
      </w:r>
      <w:r>
        <w:rPr>
          <w:rStyle w:val="FootnoteReference"/>
        </w:rPr>
        <w:footnoteReference w:id="9"/>
      </w:r>
      <w:r>
        <w:t xml:space="preserve"> (500.640 m</w:t>
      </w:r>
      <w:r w:rsidRPr="00007C7D">
        <w:rPr>
          <w:vertAlign w:val="superscript"/>
        </w:rPr>
        <w:t>3</w:t>
      </w:r>
      <w:r>
        <w:t xml:space="preserve">) bedraagt wordt geen invloed verwacht op de resultaten van de impactberekeningen. </w:t>
      </w:r>
    </w:p>
    <w:p w:rsidR="00324ECC" w:rsidRDefault="00863B7A">
      <w:pPr>
        <w:pStyle w:val="ListParagraph"/>
        <w:keepNext/>
        <w:keepLines/>
        <w:numPr>
          <w:ilvl w:val="0"/>
          <w:numId w:val="119"/>
        </w:numPr>
        <w:spacing w:before="0" w:after="0" w:line="240" w:lineRule="auto"/>
      </w:pPr>
      <w:r>
        <w:t>Er wordt een nieuwe kademuur voorzien (over de volledige lengte van de grens van het bedrijfsterrein met de dokken en met een breedte ca. 3 m) alsook gepland het dok te verdiepen  in samenwerking met het Gemeentelijk Havenbedrijf Antwerpen. In dit verband is tevens een nieuwe steiger ST8 voorzien specifiek voor overslag van en naar TP800. Voor aan- en afvoer via de steiger ST8 zal het inzake brandbaarheid gaan om P3-producten terwijl via de pijpleiding het P1-producten betreft. De aard van de opgeslagen producten zal dus mee bepalen welk alternatief in werkelijkheid zal gebruikt worden. In dit verband wenst Vopak Terminal Eurotank NV over beide mogelijkheden te beschikken.</w:t>
      </w:r>
    </w:p>
    <w:p w:rsidR="00324ECC" w:rsidRDefault="00863B7A">
      <w:pPr>
        <w:pStyle w:val="ListParagraph"/>
        <w:keepNext/>
        <w:keepLines/>
        <w:numPr>
          <w:ilvl w:val="1"/>
          <w:numId w:val="119"/>
        </w:numPr>
        <w:spacing w:before="0" w:after="0" w:line="240" w:lineRule="auto"/>
      </w:pPr>
      <w:r>
        <w:t xml:space="preserve">Het extra transport dat wordt gegenereerd door scheepsverkeer is beperkt. Gezien het scheepsverkeer van </w:t>
      </w:r>
      <w:r w:rsidR="00C325A0">
        <w:fldChar w:fldCharType="begin"/>
      </w:r>
      <w:r>
        <w:instrText xml:space="preserve"> REF klant \h </w:instrText>
      </w:r>
      <w:r w:rsidR="00C325A0">
        <w:fldChar w:fldCharType="separate"/>
      </w:r>
      <w:r w:rsidR="008102D8">
        <w:t xml:space="preserve">Vopak Terminal Eurotank NV </w:t>
      </w:r>
      <w:r w:rsidR="00C325A0">
        <w:fldChar w:fldCharType="end"/>
      </w:r>
      <w:r w:rsidRPr="00E325E1">
        <w:t xml:space="preserve"> </w:t>
      </w:r>
      <w:r>
        <w:t xml:space="preserve">slechts een beperkt aandeel uitmaakt van het scheepsverkeer in de Antwerpse haven (zie ook § </w:t>
      </w:r>
      <w:r w:rsidR="00C325A0">
        <w:fldChar w:fldCharType="begin"/>
      </w:r>
      <w:r>
        <w:instrText xml:space="preserve"> REF _Ref311457229 \w \h </w:instrText>
      </w:r>
      <w:r w:rsidR="00C325A0">
        <w:fldChar w:fldCharType="separate"/>
      </w:r>
      <w:r w:rsidR="008102D8">
        <w:t>VIII2.5.2.3</w:t>
      </w:r>
      <w:r w:rsidR="00C325A0">
        <w:fldChar w:fldCharType="end"/>
      </w:r>
      <w:r>
        <w:t xml:space="preserve"> en </w:t>
      </w:r>
      <w:r w:rsidR="00C325A0">
        <w:fldChar w:fldCharType="begin"/>
      </w:r>
      <w:r>
        <w:instrText xml:space="preserve"> REF _Ref311457236 \w \h </w:instrText>
      </w:r>
      <w:r w:rsidR="00C325A0">
        <w:fldChar w:fldCharType="separate"/>
      </w:r>
      <w:r w:rsidR="008102D8">
        <w:t>VIII2.6.2.5</w:t>
      </w:r>
      <w:r w:rsidR="00C325A0">
        <w:fldChar w:fldCharType="end"/>
      </w:r>
      <w:r>
        <w:t>) is geen significante bijkomende impact te verwachten. Tevens wordt verwacht dat m.b.t. de NOx emissie in de toekomst een aanzienlijke aanscherping van de emissienormen wordt voorzien, zodat de impact van de scheepvaart zal afnemen.</w:t>
      </w:r>
    </w:p>
    <w:p w:rsidR="00324ECC" w:rsidRDefault="00863B7A">
      <w:pPr>
        <w:pStyle w:val="ListParagraph"/>
        <w:keepNext/>
        <w:keepLines/>
        <w:numPr>
          <w:ilvl w:val="1"/>
          <w:numId w:val="119"/>
        </w:numPr>
        <w:spacing w:before="0" w:after="0" w:line="240" w:lineRule="auto"/>
      </w:pPr>
      <w:r>
        <w:t>De luchtemissies gerelateerd aan de opslag en doorzet van P3-producten zijn kleiner dan de luchtemissies gekoppeld aan de opslag van P1-producten in TP800. De opslag van P1-producten werd onrechtstreeks</w:t>
      </w:r>
      <w:r>
        <w:rPr>
          <w:rStyle w:val="FootnoteReference"/>
        </w:rPr>
        <w:footnoteReference w:id="10"/>
      </w:r>
      <w:r>
        <w:t xml:space="preserve"> reeds opgenomen in de impactberekeningen van de discipline lucht. Er is dus geen significante toename van de luchtemissies te verwachten bij opslag en doorzet van P3-producten. </w:t>
      </w:r>
    </w:p>
    <w:p w:rsidR="00324ECC" w:rsidRDefault="00863B7A">
      <w:pPr>
        <w:pStyle w:val="ListParagraph"/>
        <w:keepNext/>
        <w:keepLines/>
        <w:numPr>
          <w:ilvl w:val="0"/>
          <w:numId w:val="119"/>
        </w:numPr>
        <w:spacing w:before="0" w:after="0" w:line="240" w:lineRule="auto"/>
      </w:pPr>
      <w:r>
        <w:lastRenderedPageBreak/>
        <w:t xml:space="preserve">De zone voor standplaats en reinigen van eigen tankwagens wordt </w:t>
      </w:r>
      <w:r w:rsidR="00324ECC">
        <w:t>gecentraliseerd</w:t>
      </w:r>
      <w:r>
        <w:t>. Deze wijziging heeft geen invloed op milieu-effecten.</w:t>
      </w:r>
    </w:p>
    <w:p w:rsidR="00863B7A" w:rsidRPr="00C808B3" w:rsidRDefault="00863B7A" w:rsidP="00842F7F">
      <w:pPr>
        <w:pStyle w:val="ListParagraph"/>
        <w:keepNext/>
        <w:keepLines/>
        <w:rPr>
          <w:lang w:val="nl-NL"/>
        </w:rPr>
      </w:pPr>
    </w:p>
    <w:p w:rsidR="000729E8" w:rsidRDefault="000729E8" w:rsidP="000729E8">
      <w:pPr>
        <w:pStyle w:val="tit-5"/>
        <w:outlineLvl w:val="0"/>
        <w:rPr>
          <w:lang w:val="nl"/>
        </w:rPr>
      </w:pPr>
      <w:r>
        <w:rPr>
          <w:lang w:val="nl"/>
        </w:rPr>
        <w:t>globaal overzicht</w:t>
      </w:r>
    </w:p>
    <w:p w:rsidR="000729E8" w:rsidRDefault="000729E8" w:rsidP="000729E8">
      <w:pPr>
        <w:rPr>
          <w:lang w:val="nl"/>
        </w:rPr>
      </w:pPr>
      <w:r>
        <w:rPr>
          <w:lang w:val="nl"/>
        </w:rPr>
        <w:t xml:space="preserve">Een globaal overzicht van de wijzigingen m.b.t. de opslagfaciliteiten is – naast op de vermelde figuren – ook opgenomen in </w:t>
      </w:r>
      <w:r w:rsidR="006E338B">
        <w:rPr>
          <w:lang w:val="nl"/>
        </w:rPr>
        <w:t xml:space="preserve">tabel </w:t>
      </w:r>
      <w:r w:rsidR="00C325A0">
        <w:rPr>
          <w:lang w:val="nl"/>
        </w:rPr>
        <w:fldChar w:fldCharType="begin"/>
      </w:r>
      <w:r w:rsidR="006E338B">
        <w:rPr>
          <w:lang w:val="nl"/>
        </w:rPr>
        <w:instrText xml:space="preserve"> REF t_project_opslagtanks \h </w:instrText>
      </w:r>
      <w:r w:rsidR="00C325A0">
        <w:rPr>
          <w:lang w:val="nl"/>
        </w:rPr>
      </w:r>
      <w:r w:rsidR="00C325A0">
        <w:rPr>
          <w:lang w:val="nl"/>
        </w:rPr>
        <w:fldChar w:fldCharType="separate"/>
      </w:r>
      <w:r w:rsidR="008102D8">
        <w:t>IV.</w:t>
      </w:r>
      <w:r w:rsidR="008102D8">
        <w:rPr>
          <w:noProof/>
        </w:rPr>
        <w:t>2</w:t>
      </w:r>
      <w:r w:rsidR="00C325A0">
        <w:rPr>
          <w:lang w:val="nl"/>
        </w:rPr>
        <w:fldChar w:fldCharType="end"/>
      </w:r>
      <w:r w:rsidRPr="00C808B3">
        <w:rPr>
          <w:lang w:val="nl"/>
        </w:rPr>
        <w:t xml:space="preserve"> met het overzicht van</w:t>
      </w:r>
      <w:r>
        <w:rPr>
          <w:lang w:val="nl"/>
        </w:rPr>
        <w:t xml:space="preserve"> </w:t>
      </w:r>
      <w:r w:rsidRPr="00C808B3">
        <w:rPr>
          <w:lang w:val="nl"/>
        </w:rPr>
        <w:t>de tanks in de fase 1 en de fase 2. In de tabel worden de wijzigingen aangeduid in het</w:t>
      </w:r>
      <w:r>
        <w:rPr>
          <w:lang w:val="nl"/>
        </w:rPr>
        <w:t xml:space="preserve"> </w:t>
      </w:r>
      <w:r w:rsidRPr="00C808B3">
        <w:rPr>
          <w:lang w:val="nl"/>
        </w:rPr>
        <w:t>rood.</w:t>
      </w:r>
    </w:p>
    <w:p w:rsidR="000729E8" w:rsidRDefault="000729E8" w:rsidP="000729E8">
      <w:pPr>
        <w:rPr>
          <w:lang w:val="nl"/>
        </w:rPr>
      </w:pPr>
      <w:r>
        <w:rPr>
          <w:lang w:val="nl"/>
        </w:rPr>
        <w:t>Finaal</w:t>
      </w:r>
      <w:r w:rsidRPr="00C808B3">
        <w:rPr>
          <w:lang w:val="nl"/>
        </w:rPr>
        <w:t xml:space="preserve"> wordt nog opgemerkt dat globaal voor de wijzigingen waar het om een</w:t>
      </w:r>
      <w:r>
        <w:rPr>
          <w:lang w:val="nl"/>
        </w:rPr>
        <w:t xml:space="preserve"> </w:t>
      </w:r>
      <w:r w:rsidRPr="00C808B3">
        <w:rPr>
          <w:lang w:val="nl"/>
        </w:rPr>
        <w:t>vernieuwing/vervanging gaat zoals van o.m. verlaadplaatsen, de vergunde installaties in</w:t>
      </w:r>
      <w:r>
        <w:rPr>
          <w:lang w:val="nl"/>
        </w:rPr>
        <w:t xml:space="preserve"> </w:t>
      </w:r>
      <w:r w:rsidRPr="00C808B3">
        <w:rPr>
          <w:lang w:val="nl"/>
        </w:rPr>
        <w:t>dienst zullen blijven totdat de nieuwe die ze vervangen, in dienst zijn.</w:t>
      </w:r>
    </w:p>
    <w:p w:rsidR="00777DFD" w:rsidRDefault="00CA6548" w:rsidP="00AF3F9E">
      <w:r>
        <w:t xml:space="preserve">In tabel </w:t>
      </w:r>
      <w:r w:rsidR="00C325A0">
        <w:fldChar w:fldCharType="begin"/>
      </w:r>
      <w:r w:rsidR="00BD51FE">
        <w:instrText xml:space="preserve"> REF t_project_wijzigingenopslag \h </w:instrText>
      </w:r>
      <w:r w:rsidR="00C325A0">
        <w:fldChar w:fldCharType="separate"/>
      </w:r>
      <w:r w:rsidR="008102D8">
        <w:t>I.</w:t>
      </w:r>
      <w:r w:rsidR="008102D8">
        <w:rPr>
          <w:noProof/>
        </w:rPr>
        <w:t>2</w:t>
      </w:r>
      <w:r w:rsidR="00C325A0">
        <w:fldChar w:fldCharType="end"/>
      </w:r>
      <w:r>
        <w:t xml:space="preserve"> wordt een overzicht gegeven van de vergunde vs. de geplande bulkopslag van chemische vloeistoffen en dit per gevareneigenschap van de opgeslagen chemische vloeistoffen. Er dient hierbij opgemerkt te worden dat de vermelde hoeveelheden telkens gelden per gevareneigenschap. </w:t>
      </w:r>
      <w:r w:rsidR="00777DFD">
        <w:t>De vermelde hoeveelheden zijn gebaseerd op een inschatting van maximale aandeel va</w:t>
      </w:r>
      <w:r w:rsidR="00F3295D">
        <w:t>n de totale opslagcapaciteit die</w:t>
      </w:r>
      <w:r w:rsidR="00777DFD">
        <w:t xml:space="preserve"> vloeistoffen van één bepaald type </w:t>
      </w:r>
      <w:r w:rsidR="00F3295D">
        <w:t>ku</w:t>
      </w:r>
      <w:r w:rsidR="00777DFD">
        <w:t>n</w:t>
      </w:r>
      <w:r w:rsidR="00F3295D">
        <w:t>nen</w:t>
      </w:r>
      <w:r w:rsidR="00777DFD">
        <w:t xml:space="preserve"> innemen. </w:t>
      </w:r>
    </w:p>
    <w:p w:rsidR="00CA6548" w:rsidRDefault="00CA6548" w:rsidP="00AF3F9E">
      <w:r>
        <w:t>De totale hoeveelheid chemische vloeistoffen die – ongeacht de gevaarseigenschappen van de stof – in de terminal aanwezig kan zijn, is uiteraard beperkt tot de totale capaciteit van de terminal.</w:t>
      </w:r>
    </w:p>
    <w:p w:rsidR="00CA6548" w:rsidRDefault="00CA6548" w:rsidP="00712A63">
      <w:pPr>
        <w:pStyle w:val="tabel0"/>
      </w:pPr>
      <w:r>
        <w:lastRenderedPageBreak/>
        <w:t xml:space="preserve">Tabel </w:t>
      </w:r>
      <w:r w:rsidR="00C325A0">
        <w:fldChar w:fldCharType="begin"/>
      </w:r>
      <w:r w:rsidR="00BD51FE">
        <w:instrText xml:space="preserve"> REF t_project_wijzigingenopslag \h </w:instrText>
      </w:r>
      <w:r w:rsidR="00C325A0">
        <w:fldChar w:fldCharType="separate"/>
      </w:r>
      <w:r w:rsidR="008102D8">
        <w:t>I.</w:t>
      </w:r>
      <w:r w:rsidR="008102D8">
        <w:rPr>
          <w:noProof/>
        </w:rPr>
        <w:t>2</w:t>
      </w:r>
      <w:r w:rsidR="00C325A0">
        <w:fldChar w:fldCharType="end"/>
      </w:r>
      <w:r>
        <w:tab/>
        <w:t>Overzicht vergunde versus geplande bulkopslag per gevareneigenschap van de chemische vloeistoffen</w:t>
      </w:r>
    </w:p>
    <w:tbl>
      <w:tblPr>
        <w:tblW w:w="8364" w:type="dxa"/>
        <w:tblInd w:w="108" w:type="dxa"/>
        <w:tblLayout w:type="fixed"/>
        <w:tblLook w:val="0000"/>
      </w:tblPr>
      <w:tblGrid>
        <w:gridCol w:w="2835"/>
        <w:gridCol w:w="1843"/>
        <w:gridCol w:w="1843"/>
        <w:gridCol w:w="1843"/>
      </w:tblGrid>
      <w:tr w:rsidR="0011772E" w:rsidRPr="00372A06" w:rsidTr="0011772E">
        <w:trPr>
          <w:cantSplit/>
          <w:trHeight w:val="360"/>
        </w:trPr>
        <w:tc>
          <w:tcPr>
            <w:tcW w:w="2835" w:type="dxa"/>
            <w:tcBorders>
              <w:top w:val="single" w:sz="4" w:space="0" w:color="auto"/>
            </w:tcBorders>
            <w:shd w:val="clear" w:color="auto" w:fill="CCCCCC"/>
          </w:tcPr>
          <w:p w:rsidR="0011772E" w:rsidRPr="00372A06" w:rsidRDefault="0011772E" w:rsidP="00712A63">
            <w:pPr>
              <w:pStyle w:val="normaltabel"/>
              <w:keepNext/>
              <w:widowControl/>
            </w:pPr>
            <w:r w:rsidRPr="00372A06">
              <w:t>EG-gevarenindeling</w:t>
            </w:r>
          </w:p>
        </w:tc>
        <w:tc>
          <w:tcPr>
            <w:tcW w:w="1843" w:type="dxa"/>
            <w:vMerge w:val="restart"/>
            <w:tcBorders>
              <w:top w:val="single" w:sz="4" w:space="0" w:color="auto"/>
            </w:tcBorders>
            <w:shd w:val="clear" w:color="auto" w:fill="CCCCCC"/>
            <w:vAlign w:val="center"/>
          </w:tcPr>
          <w:p w:rsidR="0011772E" w:rsidRPr="00372A06" w:rsidRDefault="0011772E" w:rsidP="00712A63">
            <w:pPr>
              <w:pStyle w:val="normaltabel"/>
              <w:keepNext/>
              <w:widowControl/>
            </w:pPr>
            <w:r w:rsidRPr="00372A06">
              <w:t>maximum hoeveelheid</w:t>
            </w:r>
            <w:r w:rsidRPr="00372A06">
              <w:br/>
              <w:t>in opslag volgens vergunning</w:t>
            </w:r>
          </w:p>
        </w:tc>
        <w:tc>
          <w:tcPr>
            <w:tcW w:w="1843" w:type="dxa"/>
            <w:vMerge w:val="restart"/>
            <w:tcBorders>
              <w:top w:val="single" w:sz="4" w:space="0" w:color="auto"/>
            </w:tcBorders>
            <w:shd w:val="clear" w:color="auto" w:fill="CCCCCC"/>
            <w:vAlign w:val="center"/>
          </w:tcPr>
          <w:p w:rsidR="0011772E" w:rsidRPr="00372A06" w:rsidRDefault="0011772E" w:rsidP="00712A63">
            <w:pPr>
              <w:pStyle w:val="normaltabel"/>
              <w:keepNext/>
              <w:widowControl/>
            </w:pPr>
            <w:r w:rsidRPr="00372A06">
              <w:t>maximum hoeveelheid</w:t>
            </w:r>
            <w:r w:rsidRPr="00372A06">
              <w:br/>
              <w:t>in opslag n</w:t>
            </w:r>
            <w:r>
              <w:t>a realisatie fase 1</w:t>
            </w:r>
          </w:p>
        </w:tc>
        <w:tc>
          <w:tcPr>
            <w:tcW w:w="1843" w:type="dxa"/>
            <w:vMerge w:val="restart"/>
            <w:tcBorders>
              <w:top w:val="single" w:sz="4" w:space="0" w:color="auto"/>
            </w:tcBorders>
            <w:shd w:val="clear" w:color="auto" w:fill="CCCCCC"/>
            <w:vAlign w:val="center"/>
          </w:tcPr>
          <w:p w:rsidR="0011772E" w:rsidRPr="00372A06" w:rsidRDefault="0011772E" w:rsidP="00712A63">
            <w:pPr>
              <w:pStyle w:val="normaltabel"/>
              <w:keepNext/>
              <w:widowControl/>
            </w:pPr>
            <w:r w:rsidRPr="00372A06">
              <w:t>maximum hoeveelheid</w:t>
            </w:r>
            <w:r w:rsidRPr="00372A06">
              <w:br/>
              <w:t>in opslag n</w:t>
            </w:r>
            <w:r>
              <w:t>a realisatie fase 2</w:t>
            </w:r>
          </w:p>
        </w:tc>
      </w:tr>
      <w:tr w:rsidR="0011772E" w:rsidRPr="00372A06" w:rsidTr="0011772E">
        <w:trPr>
          <w:cantSplit/>
          <w:trHeight w:val="360"/>
        </w:trPr>
        <w:tc>
          <w:tcPr>
            <w:tcW w:w="2835" w:type="dxa"/>
            <w:tcBorders>
              <w:bottom w:val="single" w:sz="4" w:space="0" w:color="auto"/>
            </w:tcBorders>
            <w:shd w:val="clear" w:color="auto" w:fill="CCCCCC"/>
          </w:tcPr>
          <w:p w:rsidR="0011772E" w:rsidRPr="00372A06" w:rsidRDefault="0011772E" w:rsidP="00712A63">
            <w:pPr>
              <w:pStyle w:val="normaltabel"/>
              <w:keepNext/>
              <w:widowControl/>
            </w:pPr>
            <w:r w:rsidRPr="00372A06">
              <w:t>Gevareneigenschap</w:t>
            </w:r>
          </w:p>
        </w:tc>
        <w:tc>
          <w:tcPr>
            <w:tcW w:w="1843" w:type="dxa"/>
            <w:vMerge/>
            <w:tcBorders>
              <w:bottom w:val="single" w:sz="4" w:space="0" w:color="auto"/>
            </w:tcBorders>
            <w:shd w:val="clear" w:color="auto" w:fill="CCCCCC"/>
          </w:tcPr>
          <w:p w:rsidR="0011772E" w:rsidRPr="00372A06" w:rsidRDefault="0011772E" w:rsidP="00712A63">
            <w:pPr>
              <w:pStyle w:val="normaltabel"/>
              <w:keepNext/>
              <w:widowControl/>
            </w:pPr>
          </w:p>
        </w:tc>
        <w:tc>
          <w:tcPr>
            <w:tcW w:w="1843" w:type="dxa"/>
            <w:vMerge/>
            <w:tcBorders>
              <w:bottom w:val="single" w:sz="4" w:space="0" w:color="auto"/>
            </w:tcBorders>
            <w:shd w:val="clear" w:color="auto" w:fill="CCCCCC"/>
          </w:tcPr>
          <w:p w:rsidR="0011772E" w:rsidRPr="00372A06" w:rsidRDefault="0011772E" w:rsidP="00712A63">
            <w:pPr>
              <w:pStyle w:val="normaltabel"/>
              <w:keepNext/>
              <w:widowControl/>
            </w:pPr>
          </w:p>
        </w:tc>
        <w:tc>
          <w:tcPr>
            <w:tcW w:w="1843" w:type="dxa"/>
            <w:vMerge/>
            <w:tcBorders>
              <w:bottom w:val="single" w:sz="4" w:space="0" w:color="auto"/>
            </w:tcBorders>
            <w:shd w:val="clear" w:color="auto" w:fill="CCCCCC"/>
          </w:tcPr>
          <w:p w:rsidR="0011772E" w:rsidRPr="00372A06" w:rsidRDefault="0011772E" w:rsidP="00712A63">
            <w:pPr>
              <w:pStyle w:val="normaltabel"/>
              <w:keepNext/>
              <w:widowControl/>
            </w:pPr>
          </w:p>
        </w:tc>
      </w:tr>
      <w:tr w:rsidR="0011772E" w:rsidRPr="00BB552D" w:rsidTr="0011772E">
        <w:tc>
          <w:tcPr>
            <w:tcW w:w="2835" w:type="dxa"/>
            <w:tcBorders>
              <w:top w:val="single" w:sz="4" w:space="0" w:color="auto"/>
              <w:left w:val="dotted" w:sz="4" w:space="0" w:color="auto"/>
              <w:bottom w:val="dotted" w:sz="4" w:space="0" w:color="auto"/>
              <w:right w:val="dotted" w:sz="4" w:space="0" w:color="auto"/>
            </w:tcBorders>
          </w:tcPr>
          <w:p w:rsidR="0011772E" w:rsidRPr="00BB552D" w:rsidRDefault="0011772E" w:rsidP="00712A63">
            <w:pPr>
              <w:pStyle w:val="normaltabel"/>
              <w:keepNext/>
              <w:widowControl/>
            </w:pPr>
            <w:r>
              <w:t>zeer giftige en giftige stoffen</w:t>
            </w:r>
          </w:p>
        </w:tc>
        <w:tc>
          <w:tcPr>
            <w:tcW w:w="1843" w:type="dxa"/>
            <w:tcBorders>
              <w:top w:val="single" w:sz="4" w:space="0" w:color="auto"/>
              <w:left w:val="dotted" w:sz="4" w:space="0" w:color="auto"/>
              <w:bottom w:val="dotted" w:sz="4" w:space="0" w:color="auto"/>
              <w:right w:val="dotted" w:sz="4" w:space="0" w:color="auto"/>
            </w:tcBorders>
          </w:tcPr>
          <w:p w:rsidR="0011772E" w:rsidRDefault="0011772E" w:rsidP="00712A63">
            <w:pPr>
              <w:pStyle w:val="normaltabel"/>
              <w:keepNext/>
              <w:widowControl/>
            </w:pPr>
            <w:r>
              <w:t>37.700 ton</w:t>
            </w:r>
          </w:p>
          <w:p w:rsidR="0011772E" w:rsidRPr="00043EBC" w:rsidRDefault="0011772E" w:rsidP="00712A63">
            <w:pPr>
              <w:pStyle w:val="normaltabel"/>
              <w:keepNext/>
              <w:widowControl/>
            </w:pPr>
            <w:r w:rsidRPr="00043EBC">
              <w:t>(waarvan max. 1</w:t>
            </w:r>
            <w:r>
              <w:t>5</w:t>
            </w:r>
            <w:r w:rsidRPr="00043EBC">
              <w:t xml:space="preserve">.000 ton </w:t>
            </w:r>
            <w:r>
              <w:t>zeer giftige stoffen</w:t>
            </w:r>
            <w:r w:rsidRPr="00043EBC">
              <w:t>)</w:t>
            </w:r>
          </w:p>
        </w:tc>
        <w:tc>
          <w:tcPr>
            <w:tcW w:w="1843" w:type="dxa"/>
            <w:tcBorders>
              <w:top w:val="single" w:sz="4" w:space="0" w:color="auto"/>
              <w:left w:val="dotted" w:sz="4" w:space="0" w:color="auto"/>
              <w:bottom w:val="dotted" w:sz="4" w:space="0" w:color="auto"/>
              <w:right w:val="dotted" w:sz="4" w:space="0" w:color="auto"/>
            </w:tcBorders>
          </w:tcPr>
          <w:p w:rsidR="0011772E" w:rsidRDefault="0011772E" w:rsidP="00712A63">
            <w:pPr>
              <w:pStyle w:val="normaltabel"/>
              <w:keepNext/>
              <w:widowControl/>
            </w:pPr>
            <w:r>
              <w:t>45.000 ton</w:t>
            </w:r>
          </w:p>
          <w:p w:rsidR="0011772E" w:rsidRPr="00043EBC" w:rsidRDefault="0011772E" w:rsidP="00712A63">
            <w:pPr>
              <w:pStyle w:val="normaltabel"/>
              <w:keepNext/>
              <w:widowControl/>
            </w:pPr>
            <w:r w:rsidRPr="00043EBC">
              <w:t xml:space="preserve">(waarvan max. </w:t>
            </w:r>
            <w:r>
              <w:t>2</w:t>
            </w:r>
            <w:r w:rsidRPr="00043EBC">
              <w:t xml:space="preserve">0.000 ton </w:t>
            </w:r>
            <w:r>
              <w:t>zeer giftige stoffen</w:t>
            </w:r>
            <w:r w:rsidRPr="00043EBC">
              <w:t>)</w:t>
            </w:r>
          </w:p>
        </w:tc>
        <w:tc>
          <w:tcPr>
            <w:tcW w:w="1843" w:type="dxa"/>
            <w:tcBorders>
              <w:top w:val="single" w:sz="4" w:space="0" w:color="auto"/>
              <w:left w:val="dotted" w:sz="4" w:space="0" w:color="auto"/>
              <w:bottom w:val="dotted" w:sz="4" w:space="0" w:color="auto"/>
              <w:right w:val="dotted" w:sz="4" w:space="0" w:color="auto"/>
            </w:tcBorders>
          </w:tcPr>
          <w:p w:rsidR="0011772E" w:rsidRDefault="0011772E" w:rsidP="00712A63">
            <w:pPr>
              <w:pStyle w:val="normaltabel"/>
              <w:keepNext/>
              <w:widowControl/>
            </w:pPr>
            <w:r>
              <w:t>50.000 ton</w:t>
            </w:r>
          </w:p>
          <w:p w:rsidR="0011772E" w:rsidRPr="00043EBC" w:rsidRDefault="0011772E" w:rsidP="00712A63">
            <w:pPr>
              <w:pStyle w:val="normaltabel"/>
              <w:keepNext/>
              <w:widowControl/>
            </w:pPr>
            <w:r w:rsidRPr="00043EBC">
              <w:t xml:space="preserve">(waarvan max. </w:t>
            </w:r>
            <w:r>
              <w:t>25</w:t>
            </w:r>
            <w:r w:rsidRPr="00043EBC">
              <w:t xml:space="preserve">.000 ton </w:t>
            </w:r>
            <w:r>
              <w:t>zeer giftige stoffen</w:t>
            </w:r>
            <w:r w:rsidRPr="00043EBC">
              <w:t>)</w:t>
            </w:r>
          </w:p>
        </w:tc>
      </w:tr>
      <w:tr w:rsidR="0011772E" w:rsidRPr="00DA65BD" w:rsidTr="0011772E">
        <w:tc>
          <w:tcPr>
            <w:tcW w:w="2835" w:type="dxa"/>
            <w:tcBorders>
              <w:top w:val="dotted" w:sz="4" w:space="0" w:color="auto"/>
              <w:left w:val="dotted" w:sz="4" w:space="0" w:color="auto"/>
              <w:bottom w:val="dotted" w:sz="4" w:space="0" w:color="auto"/>
              <w:right w:val="dotted" w:sz="4" w:space="0" w:color="auto"/>
            </w:tcBorders>
          </w:tcPr>
          <w:p w:rsidR="0011772E" w:rsidRPr="00DA65BD" w:rsidRDefault="0011772E" w:rsidP="00712A63">
            <w:pPr>
              <w:pStyle w:val="normaltabel"/>
              <w:keepNext/>
              <w:widowControl/>
            </w:pPr>
            <w:r>
              <w:t>zeer licht ontvlambare, licht ontvlambare en ontvlambare vloeistoffen (P1- en P2-producten)</w:t>
            </w:r>
          </w:p>
        </w:tc>
        <w:tc>
          <w:tcPr>
            <w:tcW w:w="1843" w:type="dxa"/>
            <w:tcBorders>
              <w:top w:val="dotted" w:sz="4" w:space="0" w:color="auto"/>
              <w:left w:val="dotted" w:sz="4" w:space="0" w:color="auto"/>
              <w:bottom w:val="dotted" w:sz="4" w:space="0" w:color="auto"/>
              <w:right w:val="dotted" w:sz="4" w:space="0" w:color="auto"/>
            </w:tcBorders>
          </w:tcPr>
          <w:p w:rsidR="0011772E" w:rsidRDefault="0011772E" w:rsidP="00712A63">
            <w:pPr>
              <w:pStyle w:val="normaltabel"/>
              <w:keepNext/>
              <w:widowControl/>
            </w:pPr>
            <w:r>
              <w:t>2</w:t>
            </w:r>
            <w:r w:rsidR="00784284">
              <w:t>61</w:t>
            </w:r>
            <w:r>
              <w:t>.150 ton</w:t>
            </w:r>
            <w:r w:rsidR="00784284">
              <w:t xml:space="preserve"> </w:t>
            </w:r>
          </w:p>
          <w:p w:rsidR="00784284" w:rsidRDefault="0011772E" w:rsidP="00784284">
            <w:pPr>
              <w:pStyle w:val="normaltabel"/>
              <w:keepNext/>
              <w:widowControl/>
            </w:pPr>
            <w:r w:rsidRPr="00043EBC">
              <w:t>(waarvan max.</w:t>
            </w:r>
            <w:r w:rsidR="00784284">
              <w:t xml:space="preserve"> 211.150 ton licht ontvlambare, max</w:t>
            </w:r>
          </w:p>
          <w:p w:rsidR="0011772E" w:rsidRPr="00043EBC" w:rsidRDefault="0011772E" w:rsidP="00712A63">
            <w:pPr>
              <w:pStyle w:val="normaltabel"/>
              <w:keepNext/>
              <w:widowControl/>
            </w:pPr>
            <w:r w:rsidRPr="00043EBC">
              <w:t xml:space="preserve"> </w:t>
            </w:r>
            <w:r>
              <w:t>22</w:t>
            </w:r>
            <w:r w:rsidRPr="00043EBC">
              <w:t xml:space="preserve">.000 ton </w:t>
            </w:r>
            <w:r>
              <w:t>zeer licht ontvlambare stoffen en max. 150.000 ton ontvlambare vloeistoffen</w:t>
            </w:r>
            <w:r w:rsidRPr="00043EBC">
              <w:t>)</w:t>
            </w:r>
          </w:p>
          <w:p w:rsidR="0011772E" w:rsidRPr="00DA65BD" w:rsidRDefault="0011772E" w:rsidP="00712A63">
            <w:pPr>
              <w:pStyle w:val="normaltabel"/>
              <w:keepNext/>
              <w:widowControl/>
            </w:pPr>
          </w:p>
        </w:tc>
        <w:tc>
          <w:tcPr>
            <w:tcW w:w="1843" w:type="dxa"/>
            <w:tcBorders>
              <w:top w:val="dotted" w:sz="4" w:space="0" w:color="auto"/>
              <w:left w:val="dotted" w:sz="4" w:space="0" w:color="auto"/>
              <w:bottom w:val="dotted" w:sz="4" w:space="0" w:color="auto"/>
              <w:right w:val="dotted" w:sz="4" w:space="0" w:color="auto"/>
            </w:tcBorders>
          </w:tcPr>
          <w:p w:rsidR="0011772E" w:rsidRDefault="0011772E" w:rsidP="00712A63">
            <w:pPr>
              <w:pStyle w:val="normaltabel"/>
              <w:keepNext/>
              <w:widowControl/>
            </w:pPr>
            <w:r>
              <w:t>350.000 ton</w:t>
            </w:r>
          </w:p>
          <w:p w:rsidR="0011772E" w:rsidRPr="00043EBC" w:rsidRDefault="0011772E" w:rsidP="00712A63">
            <w:pPr>
              <w:pStyle w:val="normaltabel"/>
              <w:keepNext/>
              <w:widowControl/>
            </w:pPr>
            <w:r w:rsidRPr="00043EBC">
              <w:t xml:space="preserve">(waarvan max. </w:t>
            </w:r>
            <w:r>
              <w:t>25</w:t>
            </w:r>
            <w:r w:rsidRPr="00043EBC">
              <w:t xml:space="preserve">.000 ton </w:t>
            </w:r>
            <w:r>
              <w:t>zeer licht ontvlambare,</w:t>
            </w:r>
            <w:r w:rsidRPr="00043EBC">
              <w:t xml:space="preserve"> max. </w:t>
            </w:r>
            <w:r>
              <w:t>250</w:t>
            </w:r>
            <w:r w:rsidRPr="00043EBC">
              <w:t xml:space="preserve">.000 ton </w:t>
            </w:r>
            <w:r>
              <w:t>licht ontvlambare stoffen en max. 300.000 ton ontvlambare vloeistoffen</w:t>
            </w:r>
            <w:r w:rsidRPr="00043EBC">
              <w:t>)</w:t>
            </w:r>
          </w:p>
        </w:tc>
        <w:tc>
          <w:tcPr>
            <w:tcW w:w="1843" w:type="dxa"/>
            <w:tcBorders>
              <w:top w:val="dotted" w:sz="4" w:space="0" w:color="auto"/>
              <w:left w:val="dotted" w:sz="4" w:space="0" w:color="auto"/>
              <w:bottom w:val="dotted" w:sz="4" w:space="0" w:color="auto"/>
              <w:right w:val="dotted" w:sz="4" w:space="0" w:color="auto"/>
            </w:tcBorders>
          </w:tcPr>
          <w:p w:rsidR="0011772E" w:rsidRDefault="0011772E" w:rsidP="00712A63">
            <w:pPr>
              <w:pStyle w:val="normaltabel"/>
              <w:keepNext/>
              <w:widowControl/>
            </w:pPr>
            <w:r>
              <w:t>360.000 ton</w:t>
            </w:r>
          </w:p>
          <w:p w:rsidR="0011772E" w:rsidRPr="00043EBC" w:rsidRDefault="0011772E" w:rsidP="00712A63">
            <w:pPr>
              <w:pStyle w:val="normaltabel"/>
              <w:keepNext/>
              <w:widowControl/>
            </w:pPr>
            <w:r w:rsidRPr="00043EBC">
              <w:t xml:space="preserve">(waarvan max. </w:t>
            </w:r>
            <w:r>
              <w:t>30</w:t>
            </w:r>
            <w:r w:rsidRPr="00043EBC">
              <w:t xml:space="preserve">.000 ton </w:t>
            </w:r>
            <w:r>
              <w:t>zeer licht ontvlambare,</w:t>
            </w:r>
            <w:r w:rsidRPr="00043EBC">
              <w:t xml:space="preserve"> max. </w:t>
            </w:r>
            <w:r>
              <w:t>260</w:t>
            </w:r>
            <w:r w:rsidRPr="00043EBC">
              <w:t xml:space="preserve">.000 ton </w:t>
            </w:r>
            <w:r>
              <w:t>licht ontvlambare stoffen en max. 310.000 ton ontvlambare vloeistoffen</w:t>
            </w:r>
            <w:r w:rsidRPr="00043EBC">
              <w:t>)</w:t>
            </w:r>
          </w:p>
        </w:tc>
      </w:tr>
      <w:tr w:rsidR="0011772E" w:rsidRPr="00DA65BD" w:rsidTr="0011772E">
        <w:tc>
          <w:tcPr>
            <w:tcW w:w="2835" w:type="dxa"/>
            <w:tcBorders>
              <w:top w:val="dotted" w:sz="4" w:space="0" w:color="auto"/>
              <w:left w:val="dotted" w:sz="4" w:space="0" w:color="auto"/>
              <w:bottom w:val="dotted" w:sz="4" w:space="0" w:color="auto"/>
              <w:right w:val="dotted" w:sz="4" w:space="0" w:color="auto"/>
            </w:tcBorders>
          </w:tcPr>
          <w:p w:rsidR="0011772E" w:rsidRDefault="0011772E" w:rsidP="00712A63">
            <w:pPr>
              <w:pStyle w:val="normaltabel"/>
              <w:keepNext/>
              <w:widowControl/>
            </w:pPr>
            <w:r>
              <w:t>milieugevaarlijke stoffen</w:t>
            </w:r>
          </w:p>
        </w:tc>
        <w:tc>
          <w:tcPr>
            <w:tcW w:w="1843" w:type="dxa"/>
            <w:tcBorders>
              <w:top w:val="dotted" w:sz="4" w:space="0" w:color="auto"/>
              <w:left w:val="dotted" w:sz="4" w:space="0" w:color="auto"/>
              <w:bottom w:val="dotted" w:sz="4" w:space="0" w:color="auto"/>
              <w:right w:val="dotted" w:sz="4" w:space="0" w:color="auto"/>
            </w:tcBorders>
          </w:tcPr>
          <w:p w:rsidR="0011772E" w:rsidRDefault="0011772E" w:rsidP="00712A63">
            <w:pPr>
              <w:pStyle w:val="normaltabel"/>
              <w:keepNext/>
              <w:widowControl/>
            </w:pPr>
            <w:r>
              <w:t>90.000 ton</w:t>
            </w:r>
          </w:p>
          <w:p w:rsidR="0011772E" w:rsidRPr="00043EBC" w:rsidRDefault="0011772E" w:rsidP="00712A63">
            <w:pPr>
              <w:pStyle w:val="normaltabel"/>
              <w:keepNext/>
              <w:widowControl/>
            </w:pPr>
          </w:p>
        </w:tc>
        <w:tc>
          <w:tcPr>
            <w:tcW w:w="1843" w:type="dxa"/>
            <w:tcBorders>
              <w:top w:val="dotted" w:sz="4" w:space="0" w:color="auto"/>
              <w:left w:val="dotted" w:sz="4" w:space="0" w:color="auto"/>
              <w:bottom w:val="dotted" w:sz="4" w:space="0" w:color="auto"/>
              <w:right w:val="dotted" w:sz="4" w:space="0" w:color="auto"/>
            </w:tcBorders>
          </w:tcPr>
          <w:p w:rsidR="0011772E" w:rsidRDefault="0011772E" w:rsidP="00712A63">
            <w:pPr>
              <w:pStyle w:val="normaltabel"/>
              <w:keepNext/>
              <w:widowControl/>
            </w:pPr>
            <w:r>
              <w:t>300.000 ton</w:t>
            </w:r>
          </w:p>
          <w:p w:rsidR="0011772E" w:rsidRPr="00043EBC" w:rsidRDefault="0011772E" w:rsidP="00712A63">
            <w:pPr>
              <w:pStyle w:val="normaltabel"/>
              <w:keepNext/>
              <w:widowControl/>
            </w:pPr>
            <w:r w:rsidRPr="00043EBC">
              <w:t xml:space="preserve">(waarvan max. </w:t>
            </w:r>
            <w:r>
              <w:t>200.000 ton milieugevaarlijke stoffen die zeer giftig zijn voor aquatische organismen</w:t>
            </w:r>
            <w:r w:rsidRPr="00043EBC">
              <w:t>)</w:t>
            </w:r>
          </w:p>
        </w:tc>
        <w:tc>
          <w:tcPr>
            <w:tcW w:w="1843" w:type="dxa"/>
            <w:tcBorders>
              <w:top w:val="dotted" w:sz="4" w:space="0" w:color="auto"/>
              <w:left w:val="dotted" w:sz="4" w:space="0" w:color="auto"/>
              <w:bottom w:val="dotted" w:sz="4" w:space="0" w:color="auto"/>
              <w:right w:val="dotted" w:sz="4" w:space="0" w:color="auto"/>
            </w:tcBorders>
          </w:tcPr>
          <w:p w:rsidR="0011772E" w:rsidRDefault="0011772E" w:rsidP="00712A63">
            <w:pPr>
              <w:pStyle w:val="normaltabel"/>
              <w:keepNext/>
              <w:widowControl/>
            </w:pPr>
            <w:r>
              <w:t>310.000 ton</w:t>
            </w:r>
          </w:p>
          <w:p w:rsidR="0011772E" w:rsidRPr="00043EBC" w:rsidRDefault="0011772E" w:rsidP="00712A63">
            <w:pPr>
              <w:pStyle w:val="normaltabel"/>
              <w:keepNext/>
              <w:widowControl/>
            </w:pPr>
            <w:r w:rsidRPr="00043EBC">
              <w:t xml:space="preserve">(waarvan max. </w:t>
            </w:r>
            <w:r>
              <w:t>205.000 ton milieugevaarlijke stoffen die zeer giftig zijn voor aquatische organismen</w:t>
            </w:r>
            <w:r w:rsidRPr="00043EBC">
              <w:t>)</w:t>
            </w:r>
          </w:p>
        </w:tc>
      </w:tr>
      <w:tr w:rsidR="0011772E" w:rsidRPr="00DA65BD" w:rsidTr="0011772E">
        <w:trPr>
          <w:cantSplit/>
        </w:trPr>
        <w:tc>
          <w:tcPr>
            <w:tcW w:w="2835" w:type="dxa"/>
            <w:tcBorders>
              <w:top w:val="dotted" w:sz="4" w:space="0" w:color="auto"/>
              <w:left w:val="dotted" w:sz="4" w:space="0" w:color="auto"/>
              <w:bottom w:val="dotted" w:sz="4" w:space="0" w:color="auto"/>
              <w:right w:val="dotted" w:sz="4" w:space="0" w:color="auto"/>
            </w:tcBorders>
          </w:tcPr>
          <w:p w:rsidR="0011772E" w:rsidRPr="00DA65BD" w:rsidRDefault="0011772E" w:rsidP="00712A63">
            <w:pPr>
              <w:pStyle w:val="normaltabel"/>
              <w:keepNext/>
              <w:widowControl/>
            </w:pPr>
            <w:r>
              <w:t>schadelijke, corrosieve en irriterende  stoffen</w:t>
            </w:r>
          </w:p>
        </w:tc>
        <w:tc>
          <w:tcPr>
            <w:tcW w:w="1843" w:type="dxa"/>
            <w:tcBorders>
              <w:top w:val="dotted" w:sz="4" w:space="0" w:color="auto"/>
              <w:left w:val="dotted" w:sz="4" w:space="0" w:color="auto"/>
              <w:bottom w:val="dotted" w:sz="4" w:space="0" w:color="auto"/>
              <w:right w:val="dotted" w:sz="4" w:space="0" w:color="auto"/>
            </w:tcBorders>
          </w:tcPr>
          <w:p w:rsidR="0011772E" w:rsidRPr="00DA65BD" w:rsidRDefault="0011772E" w:rsidP="00712A63">
            <w:pPr>
              <w:pStyle w:val="normaltabel"/>
              <w:keepNext/>
              <w:widowControl/>
            </w:pPr>
            <w:r>
              <w:t>150.000 ton</w:t>
            </w:r>
          </w:p>
        </w:tc>
        <w:tc>
          <w:tcPr>
            <w:tcW w:w="1843" w:type="dxa"/>
            <w:tcBorders>
              <w:top w:val="dotted" w:sz="4" w:space="0" w:color="auto"/>
              <w:left w:val="dotted" w:sz="4" w:space="0" w:color="auto"/>
              <w:bottom w:val="dotted" w:sz="4" w:space="0" w:color="auto"/>
              <w:right w:val="dotted" w:sz="4" w:space="0" w:color="auto"/>
            </w:tcBorders>
          </w:tcPr>
          <w:p w:rsidR="0011772E" w:rsidRPr="00DA65BD" w:rsidRDefault="0011772E" w:rsidP="00712A63">
            <w:pPr>
              <w:pStyle w:val="normaltabel"/>
              <w:keepNext/>
              <w:widowControl/>
            </w:pPr>
            <w:r>
              <w:t>400.000 ton</w:t>
            </w:r>
          </w:p>
        </w:tc>
        <w:tc>
          <w:tcPr>
            <w:tcW w:w="1843" w:type="dxa"/>
            <w:tcBorders>
              <w:top w:val="dotted" w:sz="4" w:space="0" w:color="auto"/>
              <w:left w:val="dotted" w:sz="4" w:space="0" w:color="auto"/>
              <w:bottom w:val="dotted" w:sz="4" w:space="0" w:color="auto"/>
              <w:right w:val="dotted" w:sz="4" w:space="0" w:color="auto"/>
            </w:tcBorders>
          </w:tcPr>
          <w:p w:rsidR="0011772E" w:rsidRDefault="0011772E" w:rsidP="00712A63">
            <w:pPr>
              <w:pStyle w:val="normaltabel"/>
              <w:keepNext/>
              <w:widowControl/>
            </w:pPr>
            <w:r>
              <w:t>410.000 ton</w:t>
            </w:r>
          </w:p>
        </w:tc>
      </w:tr>
      <w:tr w:rsidR="0011772E" w:rsidRPr="00DA65BD" w:rsidTr="0011772E">
        <w:trPr>
          <w:cantSplit/>
        </w:trPr>
        <w:tc>
          <w:tcPr>
            <w:tcW w:w="2835" w:type="dxa"/>
            <w:tcBorders>
              <w:top w:val="dotted" w:sz="4" w:space="0" w:color="auto"/>
              <w:left w:val="dotted" w:sz="4" w:space="0" w:color="auto"/>
              <w:bottom w:val="dotted" w:sz="4" w:space="0" w:color="auto"/>
              <w:right w:val="dotted" w:sz="4" w:space="0" w:color="auto"/>
            </w:tcBorders>
            <w:vAlign w:val="center"/>
          </w:tcPr>
          <w:p w:rsidR="0011772E" w:rsidRPr="00E15DA1" w:rsidRDefault="0011772E" w:rsidP="00712A63">
            <w:pPr>
              <w:pStyle w:val="normaltabel"/>
              <w:keepNext/>
              <w:widowControl/>
              <w:rPr>
                <w:vertAlign w:val="superscript"/>
              </w:rPr>
            </w:pPr>
            <w:r>
              <w:t>P3-vloeistoffen</w:t>
            </w:r>
            <w:r>
              <w:rPr>
                <w:vertAlign w:val="superscript"/>
              </w:rPr>
              <w:t>(</w:t>
            </w:r>
            <w:r w:rsidR="0083077A">
              <w:rPr>
                <w:vertAlign w:val="superscript"/>
              </w:rPr>
              <w:t>1</w:t>
            </w:r>
            <w:r>
              <w:rPr>
                <w:vertAlign w:val="superscript"/>
              </w:rPr>
              <w:t>)</w:t>
            </w:r>
          </w:p>
        </w:tc>
        <w:tc>
          <w:tcPr>
            <w:tcW w:w="1843" w:type="dxa"/>
            <w:tcBorders>
              <w:top w:val="dotted" w:sz="4" w:space="0" w:color="auto"/>
              <w:left w:val="dotted" w:sz="4" w:space="0" w:color="auto"/>
              <w:bottom w:val="dotted" w:sz="4" w:space="0" w:color="auto"/>
              <w:right w:val="dotted" w:sz="4" w:space="0" w:color="auto"/>
            </w:tcBorders>
            <w:vAlign w:val="center"/>
          </w:tcPr>
          <w:p w:rsidR="0011772E" w:rsidRPr="00DA65BD" w:rsidRDefault="0011772E" w:rsidP="00712A63">
            <w:pPr>
              <w:pStyle w:val="normaltabel"/>
              <w:keepNext/>
              <w:widowControl/>
            </w:pPr>
            <w:r>
              <w:t>250.000 m³</w:t>
            </w:r>
          </w:p>
        </w:tc>
        <w:tc>
          <w:tcPr>
            <w:tcW w:w="1843" w:type="dxa"/>
            <w:tcBorders>
              <w:top w:val="dotted" w:sz="4" w:space="0" w:color="auto"/>
              <w:left w:val="dotted" w:sz="4" w:space="0" w:color="auto"/>
              <w:bottom w:val="dotted" w:sz="4" w:space="0" w:color="auto"/>
              <w:right w:val="dotted" w:sz="4" w:space="0" w:color="auto"/>
            </w:tcBorders>
          </w:tcPr>
          <w:p w:rsidR="0011772E" w:rsidRPr="00DA65BD" w:rsidRDefault="0011772E" w:rsidP="00712A63">
            <w:pPr>
              <w:pStyle w:val="normaltabel"/>
              <w:keepNext/>
              <w:widowControl/>
            </w:pPr>
            <w:r>
              <w:t>400.000 m³</w:t>
            </w:r>
          </w:p>
        </w:tc>
        <w:tc>
          <w:tcPr>
            <w:tcW w:w="1843" w:type="dxa"/>
            <w:tcBorders>
              <w:top w:val="dotted" w:sz="4" w:space="0" w:color="auto"/>
              <w:left w:val="dotted" w:sz="4" w:space="0" w:color="auto"/>
              <w:bottom w:val="dotted" w:sz="4" w:space="0" w:color="auto"/>
              <w:right w:val="dotted" w:sz="4" w:space="0" w:color="auto"/>
            </w:tcBorders>
          </w:tcPr>
          <w:p w:rsidR="0011772E" w:rsidRDefault="0011772E" w:rsidP="00712A63">
            <w:pPr>
              <w:pStyle w:val="normaltabel"/>
              <w:keepNext/>
              <w:widowControl/>
            </w:pPr>
            <w:r>
              <w:t>410.000 m³</w:t>
            </w:r>
          </w:p>
        </w:tc>
      </w:tr>
      <w:tr w:rsidR="0011772E" w:rsidRPr="00DA65BD" w:rsidTr="0011772E">
        <w:trPr>
          <w:cantSplit/>
        </w:trPr>
        <w:tc>
          <w:tcPr>
            <w:tcW w:w="2835" w:type="dxa"/>
            <w:tcBorders>
              <w:top w:val="dotted" w:sz="4" w:space="0" w:color="auto"/>
              <w:left w:val="dotted" w:sz="4" w:space="0" w:color="auto"/>
              <w:bottom w:val="single" w:sz="4" w:space="0" w:color="auto"/>
              <w:right w:val="dotted" w:sz="4" w:space="0" w:color="auto"/>
            </w:tcBorders>
            <w:vAlign w:val="center"/>
          </w:tcPr>
          <w:p w:rsidR="0011772E" w:rsidRDefault="0011772E" w:rsidP="00712A63">
            <w:pPr>
              <w:pStyle w:val="normaltabel"/>
              <w:keepNext/>
              <w:widowControl/>
            </w:pPr>
            <w:r>
              <w:t>P4-vloeistoffen</w:t>
            </w:r>
            <w:r>
              <w:rPr>
                <w:vertAlign w:val="superscript"/>
              </w:rPr>
              <w:t>(</w:t>
            </w:r>
            <w:r w:rsidR="0083077A">
              <w:rPr>
                <w:vertAlign w:val="superscript"/>
              </w:rPr>
              <w:t>1</w:t>
            </w:r>
            <w:r>
              <w:rPr>
                <w:vertAlign w:val="superscript"/>
              </w:rPr>
              <w:t>)</w:t>
            </w:r>
          </w:p>
        </w:tc>
        <w:tc>
          <w:tcPr>
            <w:tcW w:w="1843" w:type="dxa"/>
            <w:tcBorders>
              <w:top w:val="dotted" w:sz="4" w:space="0" w:color="auto"/>
              <w:left w:val="dotted" w:sz="4" w:space="0" w:color="auto"/>
              <w:bottom w:val="single" w:sz="4" w:space="0" w:color="auto"/>
              <w:right w:val="dotted" w:sz="4" w:space="0" w:color="auto"/>
            </w:tcBorders>
            <w:vAlign w:val="center"/>
          </w:tcPr>
          <w:p w:rsidR="0011772E" w:rsidRDefault="0011772E" w:rsidP="00712A63">
            <w:pPr>
              <w:pStyle w:val="normaltabel"/>
              <w:keepNext/>
              <w:widowControl/>
            </w:pPr>
            <w:r>
              <w:t>150.000 m³</w:t>
            </w:r>
          </w:p>
        </w:tc>
        <w:tc>
          <w:tcPr>
            <w:tcW w:w="1843" w:type="dxa"/>
            <w:tcBorders>
              <w:top w:val="dotted" w:sz="4" w:space="0" w:color="auto"/>
              <w:left w:val="dotted" w:sz="4" w:space="0" w:color="auto"/>
              <w:bottom w:val="single" w:sz="4" w:space="0" w:color="auto"/>
              <w:right w:val="dotted" w:sz="4" w:space="0" w:color="auto"/>
            </w:tcBorders>
          </w:tcPr>
          <w:p w:rsidR="0011772E" w:rsidRPr="00DA65BD" w:rsidRDefault="0011772E" w:rsidP="00712A63">
            <w:pPr>
              <w:pStyle w:val="normaltabel"/>
              <w:keepNext/>
              <w:widowControl/>
            </w:pPr>
            <w:r>
              <w:t>500.000 m³</w:t>
            </w:r>
          </w:p>
        </w:tc>
        <w:tc>
          <w:tcPr>
            <w:tcW w:w="1843" w:type="dxa"/>
            <w:tcBorders>
              <w:top w:val="dotted" w:sz="4" w:space="0" w:color="auto"/>
              <w:left w:val="dotted" w:sz="4" w:space="0" w:color="auto"/>
              <w:bottom w:val="single" w:sz="4" w:space="0" w:color="auto"/>
              <w:right w:val="dotted" w:sz="4" w:space="0" w:color="auto"/>
            </w:tcBorders>
          </w:tcPr>
          <w:p w:rsidR="0011772E" w:rsidRDefault="0011772E" w:rsidP="00712A63">
            <w:pPr>
              <w:pStyle w:val="normaltabel"/>
              <w:keepNext/>
              <w:widowControl/>
            </w:pPr>
            <w:r>
              <w:t>510.000 m³</w:t>
            </w:r>
          </w:p>
        </w:tc>
      </w:tr>
      <w:tr w:rsidR="0011772E" w:rsidRPr="00DA65BD" w:rsidTr="0011772E">
        <w:trPr>
          <w:cantSplit/>
        </w:trPr>
        <w:tc>
          <w:tcPr>
            <w:tcW w:w="2835" w:type="dxa"/>
            <w:tcBorders>
              <w:top w:val="single" w:sz="4" w:space="0" w:color="auto"/>
              <w:bottom w:val="single" w:sz="4" w:space="0" w:color="auto"/>
            </w:tcBorders>
            <w:vAlign w:val="center"/>
          </w:tcPr>
          <w:p w:rsidR="0011772E" w:rsidRPr="00C57E6A" w:rsidRDefault="0011772E" w:rsidP="00712A63">
            <w:pPr>
              <w:pStyle w:val="normaltabel"/>
              <w:keepNext/>
              <w:widowControl/>
            </w:pPr>
            <w:r w:rsidRPr="00C57E6A">
              <w:t>Totale capaciteit terminal</w:t>
            </w:r>
          </w:p>
        </w:tc>
        <w:tc>
          <w:tcPr>
            <w:tcW w:w="1843" w:type="dxa"/>
            <w:tcBorders>
              <w:top w:val="single" w:sz="4" w:space="0" w:color="auto"/>
              <w:bottom w:val="single" w:sz="4" w:space="0" w:color="auto"/>
            </w:tcBorders>
            <w:vAlign w:val="center"/>
          </w:tcPr>
          <w:p w:rsidR="0011772E" w:rsidRPr="00C57E6A" w:rsidRDefault="0011772E" w:rsidP="00712A63">
            <w:pPr>
              <w:pStyle w:val="normaltabel"/>
              <w:keepNext/>
              <w:widowControl/>
            </w:pPr>
            <w:r>
              <w:t>477.855 ton</w:t>
            </w:r>
          </w:p>
        </w:tc>
        <w:tc>
          <w:tcPr>
            <w:tcW w:w="1843" w:type="dxa"/>
            <w:tcBorders>
              <w:top w:val="single" w:sz="4" w:space="0" w:color="auto"/>
              <w:bottom w:val="single" w:sz="4" w:space="0" w:color="auto"/>
            </w:tcBorders>
          </w:tcPr>
          <w:p w:rsidR="0011772E" w:rsidRPr="00C57E6A" w:rsidRDefault="00863B7A" w:rsidP="00712A63">
            <w:pPr>
              <w:pStyle w:val="normaltabel"/>
              <w:keepNext/>
              <w:widowControl/>
            </w:pPr>
            <w:r w:rsidRPr="00863B7A">
              <w:t>500</w:t>
            </w:r>
            <w:r>
              <w:t>.</w:t>
            </w:r>
            <w:r w:rsidRPr="00863B7A">
              <w:t>890</w:t>
            </w:r>
            <w:r>
              <w:t xml:space="preserve"> </w:t>
            </w:r>
            <w:r w:rsidR="0011772E" w:rsidRPr="00C57E6A">
              <w:t>ton</w:t>
            </w:r>
            <w:r w:rsidR="0011772E">
              <w:t xml:space="preserve"> </w:t>
            </w:r>
          </w:p>
        </w:tc>
        <w:tc>
          <w:tcPr>
            <w:tcW w:w="1843" w:type="dxa"/>
            <w:tcBorders>
              <w:top w:val="single" w:sz="4" w:space="0" w:color="auto"/>
              <w:bottom w:val="single" w:sz="4" w:space="0" w:color="auto"/>
            </w:tcBorders>
          </w:tcPr>
          <w:p w:rsidR="0011772E" w:rsidRPr="00C57E6A" w:rsidRDefault="0011772E" w:rsidP="00712A63">
            <w:pPr>
              <w:pStyle w:val="normaltabel"/>
              <w:keepNext/>
              <w:widowControl/>
            </w:pPr>
            <w:r>
              <w:t>510.</w:t>
            </w:r>
            <w:r w:rsidR="00863B7A">
              <w:t>89</w:t>
            </w:r>
            <w:r>
              <w:t>0 ton</w:t>
            </w:r>
          </w:p>
        </w:tc>
      </w:tr>
    </w:tbl>
    <w:p w:rsidR="00CA6548" w:rsidRPr="00042BDF" w:rsidRDefault="0083077A" w:rsidP="00712A63">
      <w:pPr>
        <w:pStyle w:val="voetnoottabel"/>
        <w:keepNext/>
        <w:widowControl/>
      </w:pPr>
      <w:r>
        <w:t xml:space="preserve"> </w:t>
      </w:r>
      <w:r w:rsidR="00CA6548">
        <w:t>(</w:t>
      </w:r>
      <w:r>
        <w:t>1</w:t>
      </w:r>
      <w:r w:rsidR="00CA6548">
        <w:t>)</w:t>
      </w:r>
      <w:r w:rsidR="00CA6548">
        <w:tab/>
        <w:t>De indeling P3- en P4-vloeistoffen is een indeling die specifiek gehanteerd wordt in de VLAREM-wetgeving. I</w:t>
      </w:r>
      <w:r w:rsidR="00CA6548" w:rsidRPr="00E15DA1">
        <w:t xml:space="preserve">n de Europese regeleving m.b.t. indeling van gevaarlijke stoffen </w:t>
      </w:r>
      <w:r w:rsidR="00CA6548">
        <w:t>zijn de P3- en P4-producten,</w:t>
      </w:r>
      <w:r w:rsidR="00CA6548" w:rsidRPr="00E15DA1">
        <w:t xml:space="preserve"> </w:t>
      </w:r>
      <w:r w:rsidR="00CA6548">
        <w:t xml:space="preserve">louter omwille van hun vlampunt, </w:t>
      </w:r>
      <w:r w:rsidR="00CA6548" w:rsidRPr="00E15DA1">
        <w:t>niet gevaarlijk ingedeeld</w:t>
      </w:r>
      <w:r w:rsidR="00CA6548">
        <w:t>.</w:t>
      </w:r>
    </w:p>
    <w:p w:rsidR="00EE4586" w:rsidRDefault="009F79FD" w:rsidP="00712A63">
      <w:pPr>
        <w:keepNext/>
      </w:pPr>
      <w:r>
        <w:t>Daar z</w:t>
      </w:r>
      <w:r w:rsidR="00EE4586">
        <w:t xml:space="preserve">oals hoger gesteld de milieuvergunning van </w:t>
      </w:r>
      <w:r w:rsidR="00C325A0">
        <w:fldChar w:fldCharType="begin"/>
      </w:r>
      <w:r w:rsidR="00EE4586">
        <w:instrText xml:space="preserve"> REF klant \h </w:instrText>
      </w:r>
      <w:r w:rsidR="00C325A0">
        <w:fldChar w:fldCharType="separate"/>
      </w:r>
      <w:r w:rsidR="008102D8">
        <w:t xml:space="preserve">Vopak Terminal Eurotank NV </w:t>
      </w:r>
      <w:r w:rsidR="00C325A0">
        <w:fldChar w:fldCharType="end"/>
      </w:r>
      <w:r w:rsidR="00EE4586">
        <w:t xml:space="preserve"> </w:t>
      </w:r>
      <w:r>
        <w:t xml:space="preserve">verstrijkt </w:t>
      </w:r>
      <w:r w:rsidR="00EE4586">
        <w:t xml:space="preserve">op </w:t>
      </w:r>
      <w:r w:rsidR="00003D35">
        <w:t>11/05/2015</w:t>
      </w:r>
      <w:r>
        <w:t xml:space="preserve">, wenst VTE parallel met de aanvraag tot uitbreiding </w:t>
      </w:r>
      <w:r w:rsidR="00EE4586">
        <w:t>een nieuwe milieuvergunning voor 20 jaar te verkrijgen.</w:t>
      </w:r>
    </w:p>
    <w:p w:rsidR="00EE4586" w:rsidRDefault="00EE4586" w:rsidP="00712A63">
      <w:pPr>
        <w:keepNext/>
      </w:pPr>
      <w:r>
        <w:t xml:space="preserve">De hervergunning </w:t>
      </w:r>
      <w:r w:rsidR="00372314">
        <w:t>+ ui</w:t>
      </w:r>
      <w:r w:rsidR="009F79FD">
        <w:t xml:space="preserve">tbreiding </w:t>
      </w:r>
      <w:r>
        <w:t xml:space="preserve">van de huidige activiteiten van </w:t>
      </w:r>
      <w:r w:rsidR="00C325A0">
        <w:fldChar w:fldCharType="begin"/>
      </w:r>
      <w:r>
        <w:instrText xml:space="preserve"> REF klant \h </w:instrText>
      </w:r>
      <w:r w:rsidR="00C325A0">
        <w:fldChar w:fldCharType="separate"/>
      </w:r>
      <w:r w:rsidR="008102D8">
        <w:t xml:space="preserve">Vopak Terminal Eurotank NV </w:t>
      </w:r>
      <w:r w:rsidR="00C325A0">
        <w:fldChar w:fldCharType="end"/>
      </w:r>
      <w:r w:rsidR="008D673F">
        <w:t xml:space="preserve"> in combinatie met de geplande uitbreiding </w:t>
      </w:r>
      <w:r>
        <w:t>vormt dan ook “het project” in de zin van art. 4.1.1,§1,5° van titel IV van het DABM.</w:t>
      </w:r>
    </w:p>
    <w:p w:rsidR="00863B7A" w:rsidRDefault="00863B7A" w:rsidP="00863B7A">
      <w:pPr>
        <w:pStyle w:val="voetnoottabel"/>
        <w:tabs>
          <w:tab w:val="left" w:pos="567"/>
        </w:tabs>
        <w:ind w:left="567" w:right="524" w:hanging="567"/>
      </w:pPr>
      <w:bookmarkStart w:id="176" w:name="_Toc244407725"/>
      <w:r>
        <w:t xml:space="preserve">opm. </w:t>
      </w:r>
      <w:r>
        <w:tab/>
        <w:t>Gezien de wijzigingen geschetst in de voorgaande paragraaf – vervanging van TK105 (500 m</w:t>
      </w:r>
      <w:r w:rsidRPr="00007C7D">
        <w:rPr>
          <w:vertAlign w:val="superscript"/>
        </w:rPr>
        <w:t>3</w:t>
      </w:r>
      <w:r>
        <w:t>) door TK101 (750 m</w:t>
      </w:r>
      <w:r w:rsidRPr="00007C7D">
        <w:rPr>
          <w:vertAlign w:val="superscript"/>
        </w:rPr>
        <w:t>3</w:t>
      </w:r>
      <w:r>
        <w:t>) – breidt de totale capaciteit van de terminal met 250 m3 uit t.o.v. de hoeveelheden weergegeven in het ontwerp-MER. Gezien deze hoeveelheid geen invloed heeft op de resultaten van de impactberekeningen wordt in de hierna volgende tekst telkens dezelfde terminalcapaciteit als</w:t>
      </w:r>
      <w:r w:rsidR="0038234F">
        <w:t xml:space="preserve"> in het ontwerp-MER aangehouden</w:t>
      </w:r>
      <w:r>
        <w:t xml:space="preserve"> </w:t>
      </w:r>
      <w:r w:rsidR="0038234F">
        <w:t>(resp. 500.640 t na fase 1 en 510.640 t na fase 2).</w:t>
      </w:r>
    </w:p>
    <w:p w:rsidR="00B8505E" w:rsidRDefault="00EE4586">
      <w:pPr>
        <w:pStyle w:val="Heading2"/>
        <w:widowControl/>
      </w:pPr>
      <w:bookmarkStart w:id="177" w:name="_Toc312069198"/>
      <w:r>
        <w:lastRenderedPageBreak/>
        <w:t>Toetsing MER-plicht van het project</w:t>
      </w:r>
      <w:bookmarkEnd w:id="176"/>
      <w:bookmarkEnd w:id="177"/>
    </w:p>
    <w:p w:rsidR="00B8505E" w:rsidRDefault="009F79FD">
      <w:pPr>
        <w:keepNext/>
      </w:pPr>
      <w:bookmarkStart w:id="178" w:name="_Toc244407726"/>
      <w:r>
        <w:t>Zowel de huidige (te hervergunnen) als de toekomstige beoogde totale opslagcapaciteit van de terminal bedraagt meer dan 200.000 ton.</w:t>
      </w:r>
    </w:p>
    <w:p w:rsidR="00B8505E" w:rsidRDefault="00BD51FE">
      <w:pPr>
        <w:keepNext/>
      </w:pPr>
      <w:r>
        <w:t xml:space="preserve">Dit betekent dan ook dat het vooropgestelde project onder het toepassingsgebied valt van </w:t>
      </w:r>
      <w:r w:rsidR="008D673F">
        <w:t xml:space="preserve">bijlage </w:t>
      </w:r>
      <w:r w:rsidR="009F79FD">
        <w:t>1</w:t>
      </w:r>
      <w:r w:rsidR="008D673F">
        <w:t xml:space="preserve"> – </w:t>
      </w:r>
      <w:r w:rsidR="009F79FD">
        <w:t>25</w:t>
      </w:r>
      <w:r w:rsidR="008D673F">
        <w:t>° van het besluit van de Vlaamse Regering van 10 december 2004</w:t>
      </w:r>
      <w:r w:rsidR="008D673F">
        <w:rPr>
          <w:rStyle w:val="FootnoteReference"/>
        </w:rPr>
        <w:footnoteReference w:id="11"/>
      </w:r>
      <w:r w:rsidR="008D673F">
        <w:t>:</w:t>
      </w:r>
    </w:p>
    <w:p w:rsidR="00B8505E" w:rsidRDefault="008D673F">
      <w:pPr>
        <w:keepNext/>
        <w:rPr>
          <w:lang w:val="nl-NL" w:eastAsia="nl-NL"/>
        </w:rPr>
      </w:pPr>
      <w:r>
        <w:rPr>
          <w:lang w:val="nl-NL" w:eastAsia="nl-NL"/>
        </w:rPr>
        <w:t>“</w:t>
      </w:r>
      <w:r w:rsidRPr="00A80A9E">
        <w:rPr>
          <w:lang w:val="nl-NL" w:eastAsia="nl-NL"/>
        </w:rPr>
        <w:t>Opslagruimten voor aardolie, petrochemische en chemische producten: Installaties voor de opslag van aardolie, petrochemische of chemische producten met een opslagcapaciteit van 200.000 ton</w:t>
      </w:r>
      <w:r w:rsidR="009F79FD">
        <w:rPr>
          <w:lang w:val="nl-NL" w:eastAsia="nl-NL"/>
        </w:rPr>
        <w:t xml:space="preserve"> of meer</w:t>
      </w:r>
      <w:r w:rsidRPr="00A80A9E">
        <w:rPr>
          <w:lang w:val="nl-NL" w:eastAsia="nl-NL"/>
        </w:rPr>
        <w:t>.</w:t>
      </w:r>
      <w:r>
        <w:rPr>
          <w:lang w:val="nl-NL" w:eastAsia="nl-NL"/>
        </w:rPr>
        <w:t>”</w:t>
      </w:r>
    </w:p>
    <w:p w:rsidR="00EE4586" w:rsidRDefault="00EE4586" w:rsidP="004F40A7">
      <w:pPr>
        <w:pStyle w:val="Heading2"/>
      </w:pPr>
      <w:bookmarkStart w:id="179" w:name="_Toc312069199"/>
      <w:r>
        <w:t>Verdere besluitvormingsproces</w:t>
      </w:r>
      <w:bookmarkEnd w:id="178"/>
      <w:bookmarkEnd w:id="179"/>
    </w:p>
    <w:p w:rsidR="00EE4586" w:rsidRPr="008B5002" w:rsidRDefault="00EE4586" w:rsidP="00AF3F9E">
      <w:pPr>
        <w:rPr>
          <w:lang w:val="nl-NL"/>
        </w:rPr>
      </w:pPr>
      <w:r>
        <w:rPr>
          <w:lang w:val="nl-NL"/>
        </w:rPr>
        <w:t xml:space="preserve">Het goedgekeurde MER zal deel uitmaken van de aanvraag tot hernieuwing </w:t>
      </w:r>
      <w:r w:rsidR="009F79FD">
        <w:rPr>
          <w:lang w:val="nl-NL"/>
        </w:rPr>
        <w:t xml:space="preserve">en uitbreiding </w:t>
      </w:r>
      <w:r>
        <w:rPr>
          <w:lang w:val="nl-NL"/>
        </w:rPr>
        <w:t>van de milieu</w:t>
      </w:r>
      <w:r>
        <w:rPr>
          <w:lang w:val="nl-NL"/>
        </w:rPr>
        <w:softHyphen/>
        <w:t xml:space="preserve">vergunning voor de activiteiten van </w:t>
      </w:r>
      <w:r w:rsidR="00C325A0">
        <w:rPr>
          <w:lang w:val="nl-NL"/>
        </w:rPr>
        <w:fldChar w:fldCharType="begin"/>
      </w:r>
      <w:r>
        <w:rPr>
          <w:lang w:val="nl-NL"/>
        </w:rPr>
        <w:instrText xml:space="preserve"> REF klant \h </w:instrText>
      </w:r>
      <w:r w:rsidR="00C325A0">
        <w:rPr>
          <w:lang w:val="nl-NL"/>
        </w:rPr>
      </w:r>
      <w:r w:rsidR="00C325A0">
        <w:rPr>
          <w:lang w:val="nl-NL"/>
        </w:rPr>
        <w:fldChar w:fldCharType="separate"/>
      </w:r>
      <w:r w:rsidR="008102D8">
        <w:t xml:space="preserve">Vopak Terminal Eurotank NV </w:t>
      </w:r>
      <w:r w:rsidR="00C325A0">
        <w:rPr>
          <w:lang w:val="nl-NL"/>
        </w:rPr>
        <w:fldChar w:fldCharType="end"/>
      </w:r>
      <w:r>
        <w:rPr>
          <w:lang w:val="nl-NL"/>
        </w:rPr>
        <w:t>.</w:t>
      </w:r>
    </w:p>
    <w:p w:rsidR="004D75CC" w:rsidRPr="008B5002" w:rsidRDefault="004D75CC" w:rsidP="00AF3F9E">
      <w:pPr>
        <w:rPr>
          <w:lang w:val="nl-NL"/>
        </w:rPr>
      </w:pPr>
    </w:p>
    <w:p w:rsidR="004D75CC" w:rsidRPr="004D75CC" w:rsidRDefault="004D75CC" w:rsidP="00AF3F9E">
      <w:pPr>
        <w:rPr>
          <w:lang w:val="nl-NL"/>
        </w:rPr>
      </w:pPr>
    </w:p>
    <w:p w:rsidR="006F00D0" w:rsidRPr="004D75CC" w:rsidRDefault="006F00D0" w:rsidP="00AF3F9E">
      <w:pPr>
        <w:rPr>
          <w:lang w:val="nl-NL"/>
        </w:rPr>
      </w:pPr>
    </w:p>
    <w:p w:rsidR="008D4C75" w:rsidRPr="004D75CC" w:rsidRDefault="008D4C75" w:rsidP="004F40A7">
      <w:pPr>
        <w:pStyle w:val="Heading2"/>
        <w:sectPr w:rsidR="008D4C75" w:rsidRPr="004D75CC" w:rsidSect="00A82A5F">
          <w:headerReference w:type="even" r:id="rId32"/>
          <w:headerReference w:type="default" r:id="rId33"/>
          <w:headerReference w:type="first" r:id="rId34"/>
          <w:pgSz w:w="11909" w:h="16834" w:code="9"/>
          <w:pgMar w:top="1240" w:right="1440" w:bottom="1440" w:left="1440" w:header="454" w:footer="709" w:gutter="0"/>
          <w:pgNumType w:start="1" w:chapStyle="1" w:chapSep="period"/>
          <w:cols w:space="708"/>
        </w:sectPr>
      </w:pPr>
    </w:p>
    <w:p w:rsidR="00AF5F28" w:rsidRPr="00A057CE" w:rsidRDefault="008D4C75" w:rsidP="004F40A7">
      <w:pPr>
        <w:pStyle w:val="Heading1"/>
      </w:pPr>
      <w:bookmarkStart w:id="180" w:name="_Toc107126323"/>
      <w:bookmarkStart w:id="181" w:name="_Toc154565983"/>
      <w:bookmarkStart w:id="182" w:name="_Toc154566623"/>
      <w:bookmarkStart w:id="183" w:name="_Toc155591920"/>
      <w:bookmarkStart w:id="184" w:name="_Toc160437850"/>
      <w:bookmarkStart w:id="185" w:name="_Toc161021324"/>
      <w:bookmarkStart w:id="186" w:name="_Toc161649782"/>
      <w:bookmarkStart w:id="187" w:name="_Toc162148813"/>
      <w:bookmarkStart w:id="188" w:name="_Toc162939426"/>
      <w:bookmarkStart w:id="189" w:name="_Toc162940205"/>
      <w:bookmarkStart w:id="190" w:name="_Toc163300603"/>
      <w:bookmarkStart w:id="191" w:name="_Toc163303320"/>
      <w:bookmarkStart w:id="192" w:name="_Toc163545159"/>
      <w:bookmarkStart w:id="193" w:name="_Toc163622422"/>
      <w:bookmarkStart w:id="194" w:name="_Toc169529762"/>
      <w:bookmarkStart w:id="195" w:name="_Toc170203096"/>
      <w:bookmarkStart w:id="196" w:name="_Toc171153367"/>
      <w:bookmarkStart w:id="197" w:name="_Toc171438839"/>
      <w:bookmarkStart w:id="198" w:name="_Toc173232382"/>
      <w:bookmarkStart w:id="199" w:name="_Toc180228905"/>
      <w:bookmarkStart w:id="200" w:name="_Toc181154056"/>
      <w:bookmarkStart w:id="201" w:name="_Toc182486219"/>
      <w:bookmarkStart w:id="202" w:name="_Toc183519504"/>
      <w:bookmarkStart w:id="203" w:name="_Toc183832302"/>
      <w:bookmarkStart w:id="204" w:name="_Toc183851249"/>
      <w:bookmarkStart w:id="205" w:name="_Toc183851481"/>
      <w:bookmarkStart w:id="206" w:name="_Toc184443551"/>
      <w:bookmarkStart w:id="207" w:name="_Toc185067491"/>
      <w:bookmarkStart w:id="208" w:name="_Toc189406882"/>
      <w:bookmarkStart w:id="209" w:name="_Toc189451423"/>
      <w:bookmarkStart w:id="210" w:name="_Toc189629819"/>
      <w:bookmarkStart w:id="211" w:name="_Toc224380772"/>
      <w:bookmarkStart w:id="212" w:name="_Toc225309158"/>
      <w:bookmarkStart w:id="213" w:name="_Toc225840103"/>
      <w:bookmarkStart w:id="214" w:name="_Toc225909933"/>
      <w:bookmarkStart w:id="215" w:name="_Toc230432988"/>
      <w:bookmarkStart w:id="216" w:name="_Toc230433537"/>
      <w:bookmarkStart w:id="217" w:name="_Toc236217798"/>
      <w:bookmarkStart w:id="218" w:name="_Toc241482692"/>
      <w:bookmarkStart w:id="219" w:name="_Toc248029413"/>
      <w:bookmarkStart w:id="220" w:name="_Toc251256941"/>
      <w:bookmarkStart w:id="221" w:name="_Toc251767743"/>
      <w:bookmarkStart w:id="222" w:name="_Toc253038341"/>
      <w:bookmarkStart w:id="223" w:name="_Toc259197799"/>
      <w:bookmarkStart w:id="224" w:name="_Toc263434189"/>
      <w:bookmarkStart w:id="225" w:name="_Toc271806480"/>
      <w:bookmarkStart w:id="226" w:name="_Toc272754313"/>
      <w:bookmarkStart w:id="227" w:name="_Toc272754471"/>
      <w:bookmarkStart w:id="228" w:name="_Toc272754629"/>
      <w:bookmarkStart w:id="229" w:name="_Toc278442251"/>
      <w:bookmarkStart w:id="230" w:name="_Toc279411639"/>
      <w:bookmarkStart w:id="231" w:name="_Toc279480143"/>
      <w:bookmarkStart w:id="232" w:name="_Toc282505667"/>
      <w:bookmarkStart w:id="233" w:name="hfdst2"/>
      <w:bookmarkStart w:id="234" w:name="_Toc295920106"/>
      <w:bookmarkStart w:id="235" w:name="_Toc295923337"/>
      <w:bookmarkStart w:id="236" w:name="_Toc295923649"/>
      <w:bookmarkStart w:id="237" w:name="_Toc295995247"/>
      <w:bookmarkStart w:id="238" w:name="_Toc296004829"/>
      <w:bookmarkStart w:id="239" w:name="_Toc296085780"/>
      <w:bookmarkStart w:id="240" w:name="_Toc296330687"/>
      <w:bookmarkStart w:id="241" w:name="_Toc296419403"/>
      <w:bookmarkStart w:id="242" w:name="_Toc297286149"/>
      <w:bookmarkStart w:id="243" w:name="_Toc297542449"/>
      <w:bookmarkStart w:id="244" w:name="_Toc297546588"/>
      <w:bookmarkStart w:id="245" w:name="_Toc297546753"/>
      <w:bookmarkStart w:id="246" w:name="_Toc297546918"/>
      <w:bookmarkStart w:id="247" w:name="_Toc297547083"/>
      <w:bookmarkStart w:id="248" w:name="_Toc297553584"/>
      <w:bookmarkStart w:id="249" w:name="_Toc297649750"/>
      <w:bookmarkStart w:id="250" w:name="_Toc297722550"/>
      <w:bookmarkStart w:id="251" w:name="_Toc297725568"/>
      <w:bookmarkStart w:id="252" w:name="_Toc298161686"/>
      <w:bookmarkStart w:id="253" w:name="_Toc299981034"/>
      <w:bookmarkStart w:id="254" w:name="_Toc299981217"/>
      <w:bookmarkStart w:id="255" w:name="_Toc299981400"/>
      <w:bookmarkStart w:id="256" w:name="_Toc299982615"/>
      <w:bookmarkStart w:id="257" w:name="_Toc299982798"/>
      <w:bookmarkStart w:id="258" w:name="_Toc299985087"/>
      <w:bookmarkStart w:id="259" w:name="_Toc299986186"/>
      <w:bookmarkStart w:id="260" w:name="_Toc299986369"/>
      <w:bookmarkStart w:id="261" w:name="_Toc300045575"/>
      <w:bookmarkStart w:id="262" w:name="_Toc300232264"/>
      <w:bookmarkStart w:id="263" w:name="_Toc300303628"/>
      <w:bookmarkStart w:id="264" w:name="_Toc300559552"/>
      <w:bookmarkStart w:id="265" w:name="_Toc300560960"/>
      <w:bookmarkStart w:id="266" w:name="_Toc300561576"/>
      <w:bookmarkStart w:id="267" w:name="_Toc300561759"/>
      <w:bookmarkStart w:id="268" w:name="_Toc300562706"/>
      <w:bookmarkStart w:id="269" w:name="_Toc311109207"/>
      <w:bookmarkStart w:id="270" w:name="_Toc311212572"/>
      <w:bookmarkStart w:id="271" w:name="_Toc311451839"/>
      <w:bookmarkStart w:id="272" w:name="_Toc312069200"/>
      <w:r>
        <w:lastRenderedPageBreak/>
        <w:t>Ruimtelijke s</w:t>
      </w:r>
      <w:r w:rsidR="00AF5F28">
        <w:t xml:space="preserve">ituering van </w:t>
      </w:r>
      <w:r w:rsidR="007920E5">
        <w:t>de inrichting</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00A4512E">
        <w:t xml:space="preserve"> </w:t>
      </w:r>
    </w:p>
    <w:p w:rsidR="00AF5F28" w:rsidRDefault="00AF5F28" w:rsidP="00AF3F9E">
      <w:pPr>
        <w:sectPr w:rsidR="00AF5F28" w:rsidSect="00C54545">
          <w:headerReference w:type="even" r:id="rId35"/>
          <w:headerReference w:type="default" r:id="rId36"/>
          <w:headerReference w:type="first" r:id="rId37"/>
          <w:pgSz w:w="11909" w:h="16834" w:code="9"/>
          <w:pgMar w:top="1240" w:right="1440" w:bottom="1440" w:left="1440" w:header="454" w:footer="709" w:gutter="0"/>
          <w:pgNumType w:start="1" w:chapStyle="1" w:chapSep="period"/>
          <w:cols w:space="708"/>
        </w:sectPr>
      </w:pPr>
    </w:p>
    <w:p w:rsidR="00CF0E27" w:rsidRPr="00CE13DA" w:rsidRDefault="00191362" w:rsidP="004F40A7">
      <w:pPr>
        <w:pStyle w:val="Heading2"/>
      </w:pPr>
      <w:bookmarkStart w:id="273" w:name="_Ref251767480"/>
      <w:bookmarkStart w:id="274" w:name="_Toc312069201"/>
      <w:r w:rsidRPr="00CE13DA">
        <w:lastRenderedPageBreak/>
        <w:t>Algemene situering</w:t>
      </w:r>
      <w:bookmarkEnd w:id="273"/>
      <w:bookmarkEnd w:id="274"/>
    </w:p>
    <w:p w:rsidR="007D71CB" w:rsidRDefault="007D71CB" w:rsidP="00AF3F9E">
      <w:r>
        <w:t xml:space="preserve">In figuur </w:t>
      </w:r>
      <w:r w:rsidR="00C325A0">
        <w:fldChar w:fldCharType="begin"/>
      </w:r>
      <w:r w:rsidR="00EB4089">
        <w:instrText xml:space="preserve"> REF f_omgeving_gewestplan \h </w:instrText>
      </w:r>
      <w:r w:rsidR="00C325A0">
        <w:fldChar w:fldCharType="separate"/>
      </w:r>
      <w:r w:rsidR="008102D8">
        <w:t>II.</w:t>
      </w:r>
      <w:r w:rsidR="008102D8">
        <w:rPr>
          <w:noProof/>
        </w:rPr>
        <w:t>1</w:t>
      </w:r>
      <w:r w:rsidR="00C325A0">
        <w:fldChar w:fldCharType="end"/>
      </w:r>
      <w:r>
        <w:t xml:space="preserve"> is een uittreksel van het gewestplan opgenomen waarop de inrichting van VTE is aangeduid. VTE is gelegen in het Antwerpse havengebied tussen de Industrieweg, het Industriedok en het vijfde Havendok. Het totale bedrijfsterrein van de VTE beslaat een oppervlakte van ca. 17 ha. Een beeld van de situering aan de hand van een orthofoto is opgenomen in figuur</w:t>
      </w:r>
      <w:r w:rsidR="00EB4089">
        <w:t xml:space="preserve"> </w:t>
      </w:r>
      <w:r w:rsidR="00C325A0">
        <w:fldChar w:fldCharType="begin"/>
      </w:r>
      <w:r w:rsidR="00EB4089">
        <w:instrText xml:space="preserve"> REF f_omgeving_orthofoto \h </w:instrText>
      </w:r>
      <w:r w:rsidR="00C325A0">
        <w:fldChar w:fldCharType="separate"/>
      </w:r>
      <w:r w:rsidR="008102D8">
        <w:t>II.</w:t>
      </w:r>
      <w:r w:rsidR="008102D8">
        <w:rPr>
          <w:noProof/>
        </w:rPr>
        <w:t>2</w:t>
      </w:r>
      <w:r w:rsidR="00C325A0">
        <w:fldChar w:fldCharType="end"/>
      </w:r>
      <w:r>
        <w:t>.</w:t>
      </w:r>
    </w:p>
    <w:p w:rsidR="00156040" w:rsidRDefault="007D71CB" w:rsidP="00AF3F9E">
      <w:r>
        <w:t>VTE is volledig gelegen binnen een zone met als bestemming industriegebied. De meest nabije, andere bestemmingen die grenzen aan dit industriegebied, situeren zich op de rechter Scheldeoever. Het gebied langsheen het industriegebied, en dit ten zuiden van VTE, wordt op het gewestplan aangeduid als natuur- en overstromingsgebied. Ten zuidoosten van het vijfde Havendok ligt er een parkgebied.</w:t>
      </w:r>
    </w:p>
    <w:p w:rsidR="00EB4089" w:rsidRDefault="00EB4089" w:rsidP="00AF3F9E">
      <w:r>
        <w:t xml:space="preserve">In figuur </w:t>
      </w:r>
      <w:r w:rsidR="00C325A0">
        <w:fldChar w:fldCharType="begin"/>
      </w:r>
      <w:r>
        <w:instrText xml:space="preserve"> REF f_omgeving_topokaart \h </w:instrText>
      </w:r>
      <w:r w:rsidR="00C325A0">
        <w:fldChar w:fldCharType="separate"/>
      </w:r>
      <w:r w:rsidR="008102D8">
        <w:t>II.</w:t>
      </w:r>
      <w:r w:rsidR="008102D8">
        <w:rPr>
          <w:noProof/>
        </w:rPr>
        <w:t>3</w:t>
      </w:r>
      <w:r w:rsidR="00C325A0">
        <w:fldChar w:fldCharType="end"/>
      </w:r>
      <w:r>
        <w:t xml:space="preserve"> is een uittreksel van de topografische kaart weergegeven met de omgeving van de terminal van VTE te Antwerpen.</w:t>
      </w:r>
    </w:p>
    <w:p w:rsidR="00EE4586" w:rsidRDefault="00EE4586" w:rsidP="004F40A7">
      <w:pPr>
        <w:pStyle w:val="Heading2"/>
      </w:pPr>
      <w:bookmarkStart w:id="275" w:name="_Toc244407734"/>
      <w:bookmarkStart w:id="276" w:name="_Toc312069202"/>
      <w:r>
        <w:t>Toegangswegen</w:t>
      </w:r>
      <w:bookmarkEnd w:id="275"/>
      <w:bookmarkEnd w:id="276"/>
    </w:p>
    <w:p w:rsidR="00610F1A" w:rsidRPr="00CE382B" w:rsidRDefault="00610F1A" w:rsidP="00666F36">
      <w:bookmarkStart w:id="277" w:name="_Toc244407735"/>
      <w:r w:rsidRPr="009B3B9F">
        <w:t xml:space="preserve">De toegang tot de inrichting is zowel mogelijk over het land als over het water. Voor wat de toegang over het water betreft </w:t>
      </w:r>
      <w:r w:rsidRPr="00CE382B">
        <w:t>gaat het uiteraard over de aan- en af</w:t>
      </w:r>
      <w:r w:rsidRPr="00CE382B">
        <w:softHyphen/>
        <w:t>voer vanaf de dokken van de haven.</w:t>
      </w:r>
    </w:p>
    <w:p w:rsidR="00610F1A" w:rsidRDefault="00610F1A" w:rsidP="00666F36">
      <w:r w:rsidRPr="00CE382B">
        <w:t>In figuur</w:t>
      </w:r>
      <w:r w:rsidR="00E64457" w:rsidRPr="00CE382B">
        <w:t xml:space="preserve"> </w:t>
      </w:r>
      <w:r w:rsidRPr="00CE382B">
        <w:t> </w:t>
      </w:r>
      <w:fldSimple w:instr=" REF f_omgeving_stratenplan \h  \* MERGEFORMAT ">
        <w:r w:rsidR="008102D8" w:rsidRPr="006625C8">
          <w:t>II.4</w:t>
        </w:r>
      </w:fldSimple>
      <w:r w:rsidRPr="00CE382B">
        <w:t xml:space="preserve"> wordt een stratenplan</w:t>
      </w:r>
      <w:r w:rsidRPr="009B3B9F">
        <w:t xml:space="preserve"> van de nabije omgeving van </w:t>
      </w:r>
      <w:fldSimple w:instr=" REF klant \h  \* MERGEFORMAT ">
        <w:r w:rsidR="008102D8">
          <w:t xml:space="preserve">Vopak Terminal Eurotank NV </w:t>
        </w:r>
      </w:fldSimple>
      <w:r w:rsidR="00E64457">
        <w:t xml:space="preserve"> </w:t>
      </w:r>
      <w:r w:rsidRPr="009B3B9F">
        <w:t xml:space="preserve">getoond op een havenplan. </w:t>
      </w:r>
      <w:r w:rsidR="00E64457">
        <w:t xml:space="preserve"> </w:t>
      </w:r>
    </w:p>
    <w:p w:rsidR="00610F1A" w:rsidRDefault="00610F1A" w:rsidP="00666F36">
      <w:r w:rsidRPr="009B3B9F">
        <w:rPr>
          <w:smallCaps/>
        </w:rPr>
        <w:t>Weg</w:t>
      </w:r>
      <w:r w:rsidRPr="009B3B9F">
        <w:t xml:space="preserve"> - De toegang van de vrachtwagens tot de terminal gebeurt via de hoofdingang aan de Industrieweg</w:t>
      </w:r>
      <w:r w:rsidR="00040B77">
        <w:t xml:space="preserve">. </w:t>
      </w:r>
      <w:r w:rsidRPr="009B3B9F">
        <w:t>De Industrie</w:t>
      </w:r>
      <w:r w:rsidRPr="009B3B9F">
        <w:softHyphen/>
        <w:t>weg die langs het terrein loopt, kruist de Polderdijkweg even voor</w:t>
      </w:r>
      <w:r w:rsidRPr="009B3B9F">
        <w:softHyphen/>
        <w:t>bij het bedrijfsterrein van</w:t>
      </w:r>
      <w:r w:rsidR="00C246BC">
        <w:t xml:space="preserve"> </w:t>
      </w:r>
      <w:fldSimple w:instr=" REF klant \h  \* MERGEFORMAT ">
        <w:r w:rsidR="008102D8">
          <w:t xml:space="preserve">Vopak Terminal Eurotank NV </w:t>
        </w:r>
      </w:fldSimple>
      <w:r w:rsidRPr="009B3B9F">
        <w:t>. In noordelijke richting leidt de Polder</w:t>
      </w:r>
      <w:r w:rsidRPr="009B3B9F">
        <w:softHyphen/>
        <w:t>dijk</w:t>
      </w:r>
      <w:r w:rsidRPr="009B3B9F">
        <w:softHyphen/>
        <w:t>weg via de Boude</w:t>
      </w:r>
      <w:r w:rsidRPr="009B3B9F">
        <w:softHyphen/>
        <w:t>wijn- en de Cauwelaertsluis en de Scheldelaan naar de Frans Tijs</w:t>
      </w:r>
      <w:r w:rsidRPr="009B3B9F">
        <w:softHyphen/>
        <w:t>mans</w:t>
      </w:r>
      <w:r w:rsidRPr="009B3B9F">
        <w:softHyphen/>
        <w:t>tunnel en tevens naar de Liefkenshoektunnel. In zuidelijke richting bereikt men via de Scheldelaan en de Ooster</w:t>
      </w:r>
      <w:r w:rsidRPr="009B3B9F">
        <w:softHyphen/>
        <w:t>weelsteenweg de Noorderlaan en tevens de Ant</w:t>
      </w:r>
      <w:r w:rsidRPr="009B3B9F">
        <w:softHyphen/>
        <w:t xml:space="preserve">werpse Ring, de E19 (Richting Breda en Brussel), de E34, de E313 en de E17. </w:t>
      </w:r>
    </w:p>
    <w:p w:rsidR="00666F36" w:rsidRDefault="00666F36" w:rsidP="00666F36">
      <w:pPr>
        <w:rPr>
          <w:smallCaps/>
        </w:rPr>
      </w:pPr>
    </w:p>
    <w:p w:rsidR="00610F1A" w:rsidRDefault="00610F1A" w:rsidP="00666F36">
      <w:r w:rsidRPr="009B3B9F">
        <w:rPr>
          <w:smallCaps/>
        </w:rPr>
        <w:t>Spoor</w:t>
      </w:r>
      <w:r w:rsidRPr="009B3B9F">
        <w:t xml:space="preserve"> – Voor de aansluiting van het spoorwegnet met het interne spoornet van </w:t>
      </w:r>
      <w:fldSimple w:instr=" REF klant \h  \* MERGEFORMAT ">
        <w:r w:rsidR="008102D8">
          <w:t xml:space="preserve">Vopak Terminal Eurotank NV </w:t>
        </w:r>
      </w:fldSimple>
      <w:r w:rsidR="00C246BC">
        <w:t xml:space="preserve"> </w:t>
      </w:r>
      <w:r w:rsidRPr="009B3B9F">
        <w:t>zijn er drie poorten in de uiterst noordelijke hoek van het be</w:t>
      </w:r>
      <w:r w:rsidRPr="009B3B9F">
        <w:softHyphen/>
        <w:t>drijfs</w:t>
      </w:r>
      <w:r w:rsidRPr="009B3B9F">
        <w:softHyphen/>
        <w:t>terrein</w:t>
      </w:r>
      <w:r w:rsidR="00040B77">
        <w:t xml:space="preserve">. </w:t>
      </w:r>
      <w:r w:rsidRPr="009B3B9F">
        <w:t>De wagons worden door de NMBS op het intern spoor</w:t>
      </w:r>
      <w:r w:rsidRPr="009B3B9F">
        <w:softHyphen/>
        <w:t xml:space="preserve">net van </w:t>
      </w:r>
      <w:r w:rsidR="00C325A0">
        <w:fldChar w:fldCharType="begin"/>
      </w:r>
      <w:r w:rsidR="00F077DA">
        <w:instrText xml:space="preserve"> klant </w:instrText>
      </w:r>
      <w:r w:rsidR="00C325A0">
        <w:fldChar w:fldCharType="separate"/>
      </w:r>
      <w:r w:rsidR="008102D8">
        <w:t xml:space="preserve">Vopak Terminal Eurotank NV </w:t>
      </w:r>
      <w:r w:rsidR="00C325A0">
        <w:fldChar w:fldCharType="end"/>
      </w:r>
      <w:r w:rsidRPr="009B3B9F">
        <w:t xml:space="preserve"> geplaatst. Vervolgens worden deze door </w:t>
      </w:r>
      <w:fldSimple w:instr=" REF klant \h  \* MERGEFORMAT ">
        <w:r w:rsidR="008102D8">
          <w:t xml:space="preserve">Vopak Terminal Eurotank NV </w:t>
        </w:r>
      </w:fldSimple>
      <w:r w:rsidR="00C246BC">
        <w:t xml:space="preserve"> </w:t>
      </w:r>
      <w:r w:rsidRPr="009B3B9F">
        <w:t>op</w:t>
      </w:r>
      <w:r w:rsidRPr="009B3B9F">
        <w:softHyphen/>
        <w:t>ge</w:t>
      </w:r>
      <w:r w:rsidRPr="009B3B9F">
        <w:softHyphen/>
        <w:t xml:space="preserve">haald met behulp van eigen locomotieven. </w:t>
      </w:r>
    </w:p>
    <w:p w:rsidR="00666F36" w:rsidRDefault="00666F36" w:rsidP="00666F36">
      <w:pPr>
        <w:rPr>
          <w:smallCaps/>
        </w:rPr>
      </w:pPr>
    </w:p>
    <w:p w:rsidR="00610F1A" w:rsidRPr="009B3B9F" w:rsidRDefault="00610F1A" w:rsidP="00666F36">
      <w:r w:rsidRPr="009B3B9F">
        <w:rPr>
          <w:smallCaps/>
        </w:rPr>
        <w:t>Water</w:t>
      </w:r>
      <w:r w:rsidRPr="009B3B9F">
        <w:t xml:space="preserve"> – Via de Schelde en de Zandvliet/Berendrechtsluis is de installatie bereikbaar voor schepen met een diepgang tot maximaal 11 meter. Voor kleinere schepen beschikt men tevens over de Boudewijn- en de Van Cauwelaertsluis. Voor lichters zijn onder meer volgende verbindingen mogelijk :</w:t>
      </w:r>
    </w:p>
    <w:p w:rsidR="00610F1A" w:rsidRPr="009B3B9F" w:rsidRDefault="00610F1A" w:rsidP="00666F36">
      <w:pPr>
        <w:pStyle w:val="ListParagraph"/>
        <w:numPr>
          <w:ilvl w:val="0"/>
          <w:numId w:val="116"/>
        </w:numPr>
      </w:pPr>
      <w:r w:rsidRPr="009B3B9F">
        <w:t>met Rotterdam en Duitsland via de Schelde – Rijnverbinding</w:t>
      </w:r>
    </w:p>
    <w:p w:rsidR="00610F1A" w:rsidRPr="009B3B9F" w:rsidRDefault="00610F1A" w:rsidP="00666F36">
      <w:pPr>
        <w:pStyle w:val="ListParagraph"/>
        <w:numPr>
          <w:ilvl w:val="0"/>
          <w:numId w:val="116"/>
        </w:numPr>
      </w:pPr>
      <w:r w:rsidRPr="009B3B9F">
        <w:t>met Wallonië via het Albertkanaal</w:t>
      </w:r>
    </w:p>
    <w:p w:rsidR="00610F1A" w:rsidRDefault="00610F1A" w:rsidP="00666F36">
      <w:pPr>
        <w:pStyle w:val="ListParagraph"/>
        <w:numPr>
          <w:ilvl w:val="0"/>
          <w:numId w:val="116"/>
        </w:numPr>
      </w:pPr>
      <w:r w:rsidRPr="009B3B9F">
        <w:t>met Terneuzen, Gent, Vlissingen en Brussel via de Schelde</w:t>
      </w:r>
    </w:p>
    <w:p w:rsidR="00617415" w:rsidRDefault="000C6A63" w:rsidP="00666F36">
      <w:r>
        <w:t xml:space="preserve">In fase 1  zal een nieuwe steiger (ST3) twee oude steigers (ST3 en ST4) vervangen en in de richting van het dok verruimd zodat schepen met een grotere diepgang hier kunnen aanmeren. Tevens wordt een verdieping van het dok ter hoogte van de kade met ST2  voorzien. </w:t>
      </w:r>
      <w:r w:rsidR="0038234F">
        <w:t>Er wordt een steiger ST8 voorzien specifiek voor overslag van en naar TP800.</w:t>
      </w:r>
    </w:p>
    <w:p w:rsidR="00666F36" w:rsidRDefault="00666F36" w:rsidP="00666F36">
      <w:pPr>
        <w:rPr>
          <w:bCs/>
          <w:smallCaps/>
        </w:rPr>
      </w:pPr>
    </w:p>
    <w:p w:rsidR="00610F1A" w:rsidRDefault="00610F1A" w:rsidP="00666F36">
      <w:r w:rsidRPr="009B3B9F">
        <w:rPr>
          <w:bCs/>
          <w:smallCaps/>
        </w:rPr>
        <w:lastRenderedPageBreak/>
        <w:t>Toegangswegen voor interventie</w:t>
      </w:r>
      <w:r w:rsidRPr="009B3B9F">
        <w:rPr>
          <w:bCs/>
        </w:rPr>
        <w:t xml:space="preserve"> – </w:t>
      </w:r>
      <w:r w:rsidRPr="009B3B9F">
        <w:t>Voor interventiedoeleinden zijn er naast de toe</w:t>
      </w:r>
      <w:r w:rsidRPr="009B3B9F">
        <w:softHyphen/>
        <w:t>gangen ter hoogte van de Industrieweg ook toe</w:t>
      </w:r>
      <w:r w:rsidRPr="009B3B9F">
        <w:softHyphen/>
        <w:t>gangs</w:t>
      </w:r>
      <w:r w:rsidRPr="009B3B9F">
        <w:softHyphen/>
        <w:t>mogelijkheden ten westen van het tankpark TP800</w:t>
      </w:r>
      <w:r w:rsidR="00040B77">
        <w:t>.</w:t>
      </w:r>
    </w:p>
    <w:p w:rsidR="00EE4586" w:rsidRPr="00CE13DA" w:rsidRDefault="00EE4586" w:rsidP="004F40A7">
      <w:pPr>
        <w:pStyle w:val="Heading2"/>
      </w:pPr>
      <w:bookmarkStart w:id="278" w:name="_Toc312069203"/>
      <w:r w:rsidRPr="00CE13DA">
        <w:t>Nabije omgeving</w:t>
      </w:r>
      <w:bookmarkEnd w:id="277"/>
      <w:bookmarkEnd w:id="278"/>
    </w:p>
    <w:p w:rsidR="00EE4586" w:rsidRDefault="00EB4089" w:rsidP="00AF3F9E">
      <w:pPr>
        <w:pStyle w:val="tit-5"/>
      </w:pPr>
      <w:r>
        <w:t>bewoning</w:t>
      </w:r>
    </w:p>
    <w:p w:rsidR="00EB4089" w:rsidRDefault="00EB4089" w:rsidP="00AF3F9E">
      <w:r>
        <w:t>De meest nabije, en enige, woonkern binnen een straal van 3 km rond de Vopak Terminal Eurotank wordt gevormd door het woongebied van Antwerpen Linkeroever, Sint Anna. De minimale afstand van Vopak Terminal Eurotank tot dit woongebied bedraagt tenminste 2 km.</w:t>
      </w:r>
    </w:p>
    <w:p w:rsidR="008A128C" w:rsidRDefault="008A128C" w:rsidP="004F40A7">
      <w:pPr>
        <w:pStyle w:val="tit-5"/>
        <w:outlineLvl w:val="0"/>
      </w:pPr>
      <w:r>
        <w:t>kwetsbare locaties</w:t>
      </w:r>
    </w:p>
    <w:p w:rsidR="008A128C" w:rsidRDefault="008A128C" w:rsidP="00AF3F9E">
      <w:r>
        <w:t>Als kwetsbare locaties worden aanzien: scholen, ziekenhuizen en rust- en verzorgingstehuizen.</w:t>
      </w:r>
    </w:p>
    <w:p w:rsidR="008A128C" w:rsidRPr="008A128C" w:rsidRDefault="008A128C" w:rsidP="00AF3F9E">
      <w:r>
        <w:t>De meest nabije kwetsbare is locatie gelegen ten zuidoosten van VTE in het woongebied van Antwerpen Linkeroever en dit op ca. 2 km van de meest nabije terreingrens. Het betreft het Rusthuis Hof Ter Schelde.</w:t>
      </w:r>
    </w:p>
    <w:p w:rsidR="00EB4089" w:rsidRDefault="00EB4089" w:rsidP="004F40A7">
      <w:pPr>
        <w:pStyle w:val="tit-5"/>
        <w:outlineLvl w:val="0"/>
      </w:pPr>
      <w:r>
        <w:t>industrie</w:t>
      </w:r>
    </w:p>
    <w:p w:rsidR="00AF3F9E" w:rsidRPr="00AF3F9E" w:rsidRDefault="00EB4089" w:rsidP="00AF3F9E">
      <w:r w:rsidRPr="00AF3F9E">
        <w:t xml:space="preserve">In tabel </w:t>
      </w:r>
      <w:fldSimple w:instr=" REF t_omgeving_buurbedrijven \h  \* MERGEFORMAT ">
        <w:r w:rsidR="008102D8">
          <w:t>II.2</w:t>
        </w:r>
      </w:fldSimple>
      <w:r w:rsidRPr="00AF3F9E">
        <w:t xml:space="preserve"> wordt een overzicht gegeven van de belangrijkste bedrijven die zich in de nabije omgeving</w:t>
      </w:r>
      <w:r w:rsidR="005B2C89" w:rsidRPr="005B2C89">
        <w:rPr>
          <w:rStyle w:val="FootnoteReference"/>
        </w:rPr>
        <w:footnoteReference w:id="12"/>
      </w:r>
      <w:r w:rsidRPr="00AF3F9E">
        <w:t xml:space="preserve"> van VTE bevinden.</w:t>
      </w:r>
      <w:r w:rsidR="00AF3F9E" w:rsidRPr="00AF3F9E">
        <w:t xml:space="preserve"> Naast de hierboven vermelde industriële omgeving van </w:t>
      </w:r>
      <w:r w:rsidR="00C325A0">
        <w:fldChar w:fldCharType="begin"/>
      </w:r>
      <w:r w:rsidR="00AF3F9E">
        <w:instrText xml:space="preserve"> REF klant \h </w:instrText>
      </w:r>
      <w:r w:rsidR="00C325A0">
        <w:fldChar w:fldCharType="separate"/>
      </w:r>
      <w:r w:rsidR="008102D8">
        <w:t xml:space="preserve">Vopak Terminal Eurotank NV </w:t>
      </w:r>
      <w:r w:rsidR="00C325A0">
        <w:fldChar w:fldCharType="end"/>
      </w:r>
      <w:r w:rsidR="00AF3F9E">
        <w:t xml:space="preserve"> </w:t>
      </w:r>
      <w:r w:rsidR="00AF3F9E" w:rsidRPr="00AF3F9E">
        <w:t xml:space="preserve">worden in een ruimere omgeving van </w:t>
      </w:r>
      <w:r w:rsidR="00C325A0">
        <w:fldChar w:fldCharType="begin"/>
      </w:r>
      <w:r w:rsidR="00AF3F9E">
        <w:instrText xml:space="preserve"> REF klant \h </w:instrText>
      </w:r>
      <w:r w:rsidR="00C325A0">
        <w:fldChar w:fldCharType="separate"/>
      </w:r>
      <w:r w:rsidR="008102D8">
        <w:t xml:space="preserve">Vopak Terminal Eurotank NV </w:t>
      </w:r>
      <w:r w:rsidR="00C325A0">
        <w:fldChar w:fldCharType="end"/>
      </w:r>
      <w:r w:rsidR="00AF3F9E">
        <w:t xml:space="preserve"> </w:t>
      </w:r>
      <w:r w:rsidR="00AF3F9E" w:rsidRPr="00AF3F9E">
        <w:t>de Seveso-in</w:t>
      </w:r>
      <w:r w:rsidR="00AF3F9E" w:rsidRPr="00AF3F9E">
        <w:softHyphen/>
        <w:t>rich</w:t>
      </w:r>
      <w:r w:rsidR="00AF3F9E" w:rsidRPr="00AF3F9E">
        <w:softHyphen/>
        <w:t>tingen in tabel </w:t>
      </w:r>
      <w:r w:rsidR="00C325A0">
        <w:fldChar w:fldCharType="begin"/>
      </w:r>
      <w:r w:rsidR="00AF3F9E">
        <w:instrText xml:space="preserve"> REF t_buurbedrijven_seveso \h </w:instrText>
      </w:r>
      <w:r w:rsidR="00C325A0">
        <w:fldChar w:fldCharType="separate"/>
      </w:r>
      <w:r w:rsidR="008102D8">
        <w:t>II.3</w:t>
      </w:r>
      <w:r w:rsidR="00C325A0">
        <w:fldChar w:fldCharType="end"/>
      </w:r>
      <w:r w:rsidR="00AF3F9E" w:rsidRPr="00AF3F9E">
        <w:t xml:space="preserve"> opgesomd</w:t>
      </w:r>
      <w:r w:rsidR="00610F1A">
        <w:t>.</w:t>
      </w:r>
    </w:p>
    <w:p w:rsidR="00EB4089" w:rsidRPr="00AF3F9E" w:rsidRDefault="00EB4089" w:rsidP="00AF3F9E">
      <w:pPr>
        <w:rPr>
          <w:lang w:val="nl-NL"/>
        </w:rPr>
      </w:pPr>
    </w:p>
    <w:p w:rsidR="00AC4CF3" w:rsidRPr="00A01062" w:rsidRDefault="00AC4CF3" w:rsidP="004F40A7">
      <w:pPr>
        <w:pStyle w:val="tabel0"/>
        <w:outlineLvl w:val="0"/>
      </w:pPr>
      <w:r w:rsidRPr="00A01062">
        <w:t>Tabel </w:t>
      </w:r>
      <w:fldSimple w:instr=" REF t_omgeving_buurbedrijven \h  \* MERGEFORMAT ">
        <w:r w:rsidR="008102D8">
          <w:t>II.2</w:t>
        </w:r>
      </w:fldSimple>
      <w:r w:rsidRPr="00A01062">
        <w:t xml:space="preserve"> : Buurbedrijven van </w:t>
      </w:r>
      <w:r w:rsidR="00C325A0">
        <w:fldChar w:fldCharType="begin"/>
      </w:r>
      <w:r w:rsidR="00F077DA">
        <w:instrText xml:space="preserve"> klant </w:instrText>
      </w:r>
      <w:r w:rsidR="00C325A0">
        <w:fldChar w:fldCharType="separate"/>
      </w:r>
      <w:r w:rsidR="008102D8">
        <w:t xml:space="preserve">Vopak Terminal Eurotank NV </w:t>
      </w:r>
      <w:r w:rsidR="00C325A0">
        <w:fldChar w:fldCharType="end"/>
      </w:r>
      <w:r w:rsidRPr="00A01062">
        <w:t xml:space="preserve"> (binnen een straal van ca. 750 m) </w:t>
      </w:r>
    </w:p>
    <w:tbl>
      <w:tblPr>
        <w:tblW w:w="8509" w:type="dxa"/>
        <w:tblInd w:w="108" w:type="dxa"/>
        <w:tblLayout w:type="fixed"/>
        <w:tblLook w:val="0000"/>
      </w:tblPr>
      <w:tblGrid>
        <w:gridCol w:w="1758"/>
        <w:gridCol w:w="2978"/>
        <w:gridCol w:w="1477"/>
        <w:gridCol w:w="2296"/>
      </w:tblGrid>
      <w:tr w:rsidR="00AC4CF3" w:rsidRPr="009B3B9F" w:rsidTr="00AC4CF3">
        <w:trPr>
          <w:tblHeader/>
        </w:trPr>
        <w:tc>
          <w:tcPr>
            <w:tcW w:w="1758" w:type="dxa"/>
            <w:tcBorders>
              <w:top w:val="single" w:sz="4" w:space="0" w:color="auto"/>
              <w:bottom w:val="single" w:sz="4" w:space="0" w:color="auto"/>
            </w:tcBorders>
            <w:shd w:val="clear" w:color="auto" w:fill="BFBFBF" w:themeFill="background1" w:themeFillShade="BF"/>
          </w:tcPr>
          <w:p w:rsidR="00AC4CF3" w:rsidRPr="009B3B9F" w:rsidRDefault="00AC4CF3" w:rsidP="00AF3F9E">
            <w:pPr>
              <w:pStyle w:val="NormalTable"/>
            </w:pPr>
            <w:r w:rsidRPr="009B3B9F">
              <w:t>Naam bedrijf</w:t>
            </w:r>
          </w:p>
        </w:tc>
        <w:tc>
          <w:tcPr>
            <w:tcW w:w="2978" w:type="dxa"/>
            <w:tcBorders>
              <w:top w:val="single" w:sz="4" w:space="0" w:color="auto"/>
              <w:bottom w:val="single" w:sz="4" w:space="0" w:color="auto"/>
            </w:tcBorders>
            <w:shd w:val="clear" w:color="auto" w:fill="BFBFBF" w:themeFill="background1" w:themeFillShade="BF"/>
          </w:tcPr>
          <w:p w:rsidR="00AC4CF3" w:rsidRPr="009B3B9F" w:rsidRDefault="00AC4CF3" w:rsidP="00AF3F9E">
            <w:pPr>
              <w:pStyle w:val="NormalTable"/>
            </w:pPr>
            <w:r w:rsidRPr="009B3B9F">
              <w:t>Activiteit</w:t>
            </w:r>
          </w:p>
        </w:tc>
        <w:tc>
          <w:tcPr>
            <w:tcW w:w="1477" w:type="dxa"/>
            <w:tcBorders>
              <w:top w:val="single" w:sz="4" w:space="0" w:color="auto"/>
              <w:bottom w:val="single" w:sz="4" w:space="0" w:color="auto"/>
            </w:tcBorders>
            <w:shd w:val="clear" w:color="auto" w:fill="BFBFBF" w:themeFill="background1" w:themeFillShade="BF"/>
          </w:tcPr>
          <w:p w:rsidR="00AC4CF3" w:rsidRPr="009B3B9F" w:rsidRDefault="00AC4CF3" w:rsidP="00AF3F9E">
            <w:pPr>
              <w:pStyle w:val="NormalTable"/>
            </w:pPr>
            <w:r w:rsidRPr="009B3B9F">
              <w:t>Ligging*</w:t>
            </w:r>
          </w:p>
        </w:tc>
        <w:tc>
          <w:tcPr>
            <w:tcW w:w="2296" w:type="dxa"/>
            <w:tcBorders>
              <w:top w:val="single" w:sz="4" w:space="0" w:color="auto"/>
              <w:bottom w:val="single" w:sz="4" w:space="0" w:color="auto"/>
            </w:tcBorders>
            <w:shd w:val="clear" w:color="auto" w:fill="BFBFBF" w:themeFill="background1" w:themeFillShade="BF"/>
          </w:tcPr>
          <w:p w:rsidR="00AC4CF3" w:rsidRPr="009B3B9F" w:rsidRDefault="00AC4CF3" w:rsidP="00AF3F9E">
            <w:pPr>
              <w:pStyle w:val="NormalTable"/>
            </w:pPr>
            <w:r w:rsidRPr="009B3B9F">
              <w:t>Min. afstand*</w:t>
            </w:r>
            <w:r w:rsidRPr="009B3B9F">
              <w:br/>
              <w:t>[m]</w:t>
            </w:r>
          </w:p>
        </w:tc>
      </w:tr>
      <w:tr w:rsidR="00AC4CF3" w:rsidRPr="009B3B9F" w:rsidTr="00AC4CF3">
        <w:tc>
          <w:tcPr>
            <w:tcW w:w="1758" w:type="dxa"/>
          </w:tcPr>
          <w:p w:rsidR="00AC4CF3" w:rsidRPr="009B3B9F" w:rsidRDefault="00AC4CF3" w:rsidP="00AF3F9E">
            <w:pPr>
              <w:pStyle w:val="NormalTable"/>
            </w:pPr>
            <w:r w:rsidRPr="009B3B9F">
              <w:t xml:space="preserve">Antwerp Ship </w:t>
            </w:r>
            <w:r>
              <w:t>Service Centre</w:t>
            </w:r>
          </w:p>
        </w:tc>
        <w:tc>
          <w:tcPr>
            <w:tcW w:w="2978" w:type="dxa"/>
          </w:tcPr>
          <w:p w:rsidR="00AC4CF3" w:rsidRPr="009B3B9F" w:rsidRDefault="00AC4CF3" w:rsidP="00AF3F9E">
            <w:pPr>
              <w:pStyle w:val="NormalTable"/>
            </w:pPr>
            <w:r w:rsidRPr="009B3B9F">
              <w:t>Scheepsherstelling</w:t>
            </w:r>
          </w:p>
        </w:tc>
        <w:tc>
          <w:tcPr>
            <w:tcW w:w="1477" w:type="dxa"/>
          </w:tcPr>
          <w:p w:rsidR="00AC4CF3" w:rsidRPr="009B3B9F" w:rsidRDefault="00AC4CF3" w:rsidP="00AF3F9E">
            <w:pPr>
              <w:pStyle w:val="NormalTable"/>
            </w:pPr>
            <w:r w:rsidRPr="009B3B9F">
              <w:t>N</w:t>
            </w:r>
          </w:p>
        </w:tc>
        <w:tc>
          <w:tcPr>
            <w:tcW w:w="2296" w:type="dxa"/>
          </w:tcPr>
          <w:p w:rsidR="00AC4CF3" w:rsidRPr="009B3B9F" w:rsidRDefault="00AC4CF3" w:rsidP="00AF3F9E">
            <w:pPr>
              <w:pStyle w:val="NormalTable"/>
            </w:pPr>
            <w:r w:rsidRPr="009B3B9F">
              <w:t>Buurbedrijf</w:t>
            </w:r>
          </w:p>
        </w:tc>
      </w:tr>
      <w:tr w:rsidR="00AC4CF3" w:rsidRPr="009B3B9F" w:rsidTr="00AC4CF3">
        <w:tc>
          <w:tcPr>
            <w:tcW w:w="1758" w:type="dxa"/>
          </w:tcPr>
          <w:p w:rsidR="00AC4CF3" w:rsidRPr="008757ED" w:rsidRDefault="00AC4CF3" w:rsidP="00AF3F9E">
            <w:pPr>
              <w:pStyle w:val="NormalTable"/>
              <w:rPr>
                <w:vanish/>
              </w:rPr>
            </w:pPr>
            <w:r w:rsidRPr="008757ED">
              <w:t>Brabo C.V.</w:t>
            </w:r>
            <w:r>
              <w:t xml:space="preserve"> </w:t>
            </w:r>
          </w:p>
        </w:tc>
        <w:tc>
          <w:tcPr>
            <w:tcW w:w="2978" w:type="dxa"/>
          </w:tcPr>
          <w:p w:rsidR="00AC4CF3" w:rsidRPr="008757ED" w:rsidRDefault="00AC4CF3" w:rsidP="00AF3F9E">
            <w:pPr>
              <w:pStyle w:val="NormalTable"/>
            </w:pPr>
            <w:r w:rsidRPr="008757ED">
              <w:t>Havenloodsdienst</w:t>
            </w:r>
          </w:p>
        </w:tc>
        <w:tc>
          <w:tcPr>
            <w:tcW w:w="1477" w:type="dxa"/>
          </w:tcPr>
          <w:p w:rsidR="00AC4CF3" w:rsidRPr="008757ED" w:rsidRDefault="00AC4CF3" w:rsidP="00AF3F9E">
            <w:pPr>
              <w:pStyle w:val="NormalTable"/>
            </w:pPr>
            <w:r w:rsidRPr="008757ED">
              <w:t>N</w:t>
            </w:r>
          </w:p>
        </w:tc>
        <w:tc>
          <w:tcPr>
            <w:tcW w:w="2296" w:type="dxa"/>
          </w:tcPr>
          <w:p w:rsidR="00AC4CF3" w:rsidRPr="008757ED" w:rsidRDefault="00AC4CF3" w:rsidP="00AF3F9E">
            <w:pPr>
              <w:pStyle w:val="NormalTable"/>
            </w:pPr>
            <w:r w:rsidRPr="008757ED">
              <w:t>Buurbedrijf</w:t>
            </w:r>
          </w:p>
        </w:tc>
      </w:tr>
      <w:tr w:rsidR="00AC4CF3" w:rsidRPr="009B3B9F" w:rsidTr="00AC4CF3">
        <w:tc>
          <w:tcPr>
            <w:tcW w:w="1758" w:type="dxa"/>
          </w:tcPr>
          <w:p w:rsidR="00AC4CF3" w:rsidRPr="008757ED" w:rsidRDefault="00AC4CF3" w:rsidP="00AF3F9E">
            <w:pPr>
              <w:pStyle w:val="NormalTable"/>
            </w:pPr>
            <w:r w:rsidRPr="008757ED">
              <w:t>TOP</w:t>
            </w:r>
            <w:r>
              <w:t xml:space="preserve"> </w:t>
            </w:r>
          </w:p>
        </w:tc>
        <w:tc>
          <w:tcPr>
            <w:tcW w:w="2978" w:type="dxa"/>
          </w:tcPr>
          <w:p w:rsidR="00AC4CF3" w:rsidRPr="008757ED" w:rsidRDefault="00AC4CF3" w:rsidP="00AF3F9E">
            <w:pPr>
              <w:pStyle w:val="NormalTable"/>
            </w:pPr>
            <w:r w:rsidRPr="008757ED">
              <w:t>Opslag verontreinigde grond</w:t>
            </w:r>
          </w:p>
        </w:tc>
        <w:tc>
          <w:tcPr>
            <w:tcW w:w="1477" w:type="dxa"/>
          </w:tcPr>
          <w:p w:rsidR="00AC4CF3" w:rsidRPr="008757ED" w:rsidRDefault="00AC4CF3" w:rsidP="00AF3F9E">
            <w:pPr>
              <w:pStyle w:val="NormalTable"/>
            </w:pPr>
            <w:r w:rsidRPr="008757ED">
              <w:t>N</w:t>
            </w:r>
          </w:p>
        </w:tc>
        <w:tc>
          <w:tcPr>
            <w:tcW w:w="2296" w:type="dxa"/>
          </w:tcPr>
          <w:p w:rsidR="00AC4CF3" w:rsidRPr="008757ED" w:rsidRDefault="00AC4CF3" w:rsidP="00AF3F9E">
            <w:pPr>
              <w:pStyle w:val="NormalTable"/>
            </w:pPr>
            <w:r w:rsidRPr="008757ED">
              <w:t>Buurbedrijf</w:t>
            </w:r>
          </w:p>
        </w:tc>
      </w:tr>
      <w:tr w:rsidR="00AC4CF3" w:rsidRPr="009B3B9F" w:rsidTr="00AC4CF3">
        <w:tc>
          <w:tcPr>
            <w:tcW w:w="1758" w:type="dxa"/>
          </w:tcPr>
          <w:p w:rsidR="00AC4CF3" w:rsidRPr="008757ED" w:rsidRDefault="00AC4CF3" w:rsidP="00AF3F9E">
            <w:pPr>
              <w:pStyle w:val="NormalTable"/>
            </w:pPr>
            <w:r w:rsidRPr="008757ED">
              <w:t>Sibelco</w:t>
            </w:r>
          </w:p>
        </w:tc>
        <w:tc>
          <w:tcPr>
            <w:tcW w:w="2978" w:type="dxa"/>
          </w:tcPr>
          <w:p w:rsidR="00AC4CF3" w:rsidRPr="008757ED" w:rsidRDefault="00AC4CF3" w:rsidP="00AF3F9E">
            <w:pPr>
              <w:pStyle w:val="NormalTable"/>
            </w:pPr>
            <w:r w:rsidRPr="008757ED">
              <w:t>Zanden, mineralen</w:t>
            </w:r>
          </w:p>
        </w:tc>
        <w:tc>
          <w:tcPr>
            <w:tcW w:w="1477" w:type="dxa"/>
          </w:tcPr>
          <w:p w:rsidR="00AC4CF3" w:rsidRPr="008757ED" w:rsidRDefault="00AC4CF3" w:rsidP="00AF3F9E">
            <w:pPr>
              <w:pStyle w:val="NormalTable"/>
            </w:pPr>
            <w:r w:rsidRPr="008757ED">
              <w:t>O</w:t>
            </w:r>
          </w:p>
        </w:tc>
        <w:tc>
          <w:tcPr>
            <w:tcW w:w="2296" w:type="dxa"/>
          </w:tcPr>
          <w:p w:rsidR="00AC4CF3" w:rsidRPr="008757ED" w:rsidRDefault="00AC4CF3" w:rsidP="00AF3F9E">
            <w:pPr>
              <w:pStyle w:val="NormalTable"/>
            </w:pPr>
            <w:r w:rsidRPr="008757ED">
              <w:t>150</w:t>
            </w:r>
          </w:p>
        </w:tc>
      </w:tr>
      <w:tr w:rsidR="00AC4CF3" w:rsidRPr="009B3B9F" w:rsidTr="00AC4CF3">
        <w:tc>
          <w:tcPr>
            <w:tcW w:w="1758" w:type="dxa"/>
          </w:tcPr>
          <w:p w:rsidR="00AC4CF3" w:rsidRPr="00C750DE" w:rsidRDefault="00AC4CF3" w:rsidP="00AF3F9E">
            <w:pPr>
              <w:pStyle w:val="NormalTable"/>
            </w:pPr>
            <w:r w:rsidRPr="008515AC">
              <w:t>Nova &amp; Hessenatie Stevedoring</w:t>
            </w:r>
          </w:p>
        </w:tc>
        <w:tc>
          <w:tcPr>
            <w:tcW w:w="2978" w:type="dxa"/>
          </w:tcPr>
          <w:p w:rsidR="00AC4CF3" w:rsidRPr="00B945AD" w:rsidRDefault="00AC4CF3" w:rsidP="00AF3F9E">
            <w:pPr>
              <w:pStyle w:val="NormalTable"/>
            </w:pPr>
            <w:r w:rsidRPr="00B945AD">
              <w:t>Stukgoedbehandeling</w:t>
            </w:r>
          </w:p>
        </w:tc>
        <w:tc>
          <w:tcPr>
            <w:tcW w:w="1477" w:type="dxa"/>
          </w:tcPr>
          <w:p w:rsidR="00AC4CF3" w:rsidRPr="00B945AD" w:rsidRDefault="00AC4CF3" w:rsidP="00AF3F9E">
            <w:pPr>
              <w:pStyle w:val="NormalTable"/>
            </w:pPr>
            <w:r w:rsidRPr="00B945AD">
              <w:t>O</w:t>
            </w:r>
          </w:p>
        </w:tc>
        <w:tc>
          <w:tcPr>
            <w:tcW w:w="2296" w:type="dxa"/>
          </w:tcPr>
          <w:p w:rsidR="00AC4CF3" w:rsidRPr="00B945AD" w:rsidRDefault="00AC4CF3" w:rsidP="00AF3F9E">
            <w:pPr>
              <w:pStyle w:val="NormalTable"/>
            </w:pPr>
            <w:r w:rsidRPr="00B945AD">
              <w:t>150</w:t>
            </w:r>
          </w:p>
        </w:tc>
      </w:tr>
      <w:tr w:rsidR="00AC4CF3" w:rsidRPr="009B3B9F" w:rsidTr="00AC4CF3">
        <w:tc>
          <w:tcPr>
            <w:tcW w:w="1758" w:type="dxa"/>
          </w:tcPr>
          <w:p w:rsidR="00AC4CF3" w:rsidRPr="008515AC" w:rsidRDefault="00AC4CF3" w:rsidP="00AF3F9E">
            <w:pPr>
              <w:pStyle w:val="NormalTable"/>
            </w:pPr>
            <w:r>
              <w:t>Antwerp Terminal &amp; Processing Company</w:t>
            </w:r>
          </w:p>
        </w:tc>
        <w:tc>
          <w:tcPr>
            <w:tcW w:w="2978" w:type="dxa"/>
          </w:tcPr>
          <w:p w:rsidR="00AC4CF3" w:rsidRPr="00B945AD" w:rsidRDefault="00AC4CF3" w:rsidP="00AF3F9E">
            <w:pPr>
              <w:pStyle w:val="NormalTable"/>
            </w:pPr>
            <w:r>
              <w:t>Petroleumproducten</w:t>
            </w:r>
          </w:p>
        </w:tc>
        <w:tc>
          <w:tcPr>
            <w:tcW w:w="1477" w:type="dxa"/>
          </w:tcPr>
          <w:p w:rsidR="00AC4CF3" w:rsidRPr="00B945AD" w:rsidRDefault="00AC4CF3" w:rsidP="00AF3F9E">
            <w:pPr>
              <w:pStyle w:val="NormalTable"/>
            </w:pPr>
            <w:r>
              <w:t>O</w:t>
            </w:r>
          </w:p>
        </w:tc>
        <w:tc>
          <w:tcPr>
            <w:tcW w:w="2296" w:type="dxa"/>
          </w:tcPr>
          <w:p w:rsidR="00AC4CF3" w:rsidRPr="00B945AD" w:rsidRDefault="00AC4CF3" w:rsidP="00AF3F9E">
            <w:pPr>
              <w:pStyle w:val="NormalTable"/>
            </w:pPr>
            <w:r>
              <w:t>200</w:t>
            </w:r>
          </w:p>
        </w:tc>
      </w:tr>
      <w:tr w:rsidR="00AC4CF3" w:rsidRPr="009B3B9F" w:rsidTr="00AC4CF3">
        <w:tc>
          <w:tcPr>
            <w:tcW w:w="1758" w:type="dxa"/>
          </w:tcPr>
          <w:p w:rsidR="00AC4CF3" w:rsidRPr="00B945AD" w:rsidRDefault="00AC4CF3" w:rsidP="00AF3F9E">
            <w:pPr>
              <w:pStyle w:val="NormalTable"/>
            </w:pPr>
            <w:r w:rsidRPr="00B945AD">
              <w:t>Exxonmobil</w:t>
            </w:r>
          </w:p>
        </w:tc>
        <w:tc>
          <w:tcPr>
            <w:tcW w:w="2978" w:type="dxa"/>
          </w:tcPr>
          <w:p w:rsidR="00AC4CF3" w:rsidRPr="00B945AD" w:rsidRDefault="00AC4CF3" w:rsidP="00AF3F9E">
            <w:pPr>
              <w:pStyle w:val="NormalTable"/>
            </w:pPr>
            <w:r w:rsidRPr="00B945AD">
              <w:t>Raffinaderij</w:t>
            </w:r>
          </w:p>
        </w:tc>
        <w:tc>
          <w:tcPr>
            <w:tcW w:w="1477" w:type="dxa"/>
          </w:tcPr>
          <w:p w:rsidR="00AC4CF3" w:rsidRPr="00B945AD" w:rsidRDefault="00AC4CF3" w:rsidP="00AF3F9E">
            <w:pPr>
              <w:pStyle w:val="NormalTable"/>
            </w:pPr>
            <w:r w:rsidRPr="00B945AD">
              <w:t>Z &amp; W</w:t>
            </w:r>
          </w:p>
        </w:tc>
        <w:tc>
          <w:tcPr>
            <w:tcW w:w="2296" w:type="dxa"/>
          </w:tcPr>
          <w:p w:rsidR="00AC4CF3" w:rsidRPr="00B945AD" w:rsidRDefault="00AC4CF3" w:rsidP="00AF3F9E">
            <w:pPr>
              <w:pStyle w:val="NormalTable"/>
            </w:pPr>
            <w:r w:rsidRPr="00B945AD">
              <w:t>Buurbedrijf</w:t>
            </w:r>
          </w:p>
        </w:tc>
      </w:tr>
      <w:tr w:rsidR="00AC4CF3" w:rsidRPr="009B3B9F" w:rsidTr="00AC4CF3">
        <w:tc>
          <w:tcPr>
            <w:tcW w:w="1758" w:type="dxa"/>
          </w:tcPr>
          <w:p w:rsidR="00AC4CF3" w:rsidRPr="008757ED" w:rsidRDefault="00AC4CF3" w:rsidP="00AF3F9E">
            <w:pPr>
              <w:pStyle w:val="NormalTable"/>
              <w:rPr>
                <w:b/>
              </w:rPr>
            </w:pPr>
            <w:r w:rsidRPr="00B945AD">
              <w:t>New Venkeler Terminals</w:t>
            </w:r>
          </w:p>
        </w:tc>
        <w:tc>
          <w:tcPr>
            <w:tcW w:w="2978" w:type="dxa"/>
          </w:tcPr>
          <w:p w:rsidR="00AC4CF3" w:rsidRPr="00B945AD" w:rsidRDefault="00AC4CF3" w:rsidP="00AF3F9E">
            <w:pPr>
              <w:pStyle w:val="NormalTable"/>
            </w:pPr>
            <w:r w:rsidRPr="00B945AD">
              <w:t>Overslag</w:t>
            </w:r>
          </w:p>
        </w:tc>
        <w:tc>
          <w:tcPr>
            <w:tcW w:w="1477" w:type="dxa"/>
          </w:tcPr>
          <w:p w:rsidR="00AC4CF3" w:rsidRPr="00B945AD" w:rsidRDefault="00AC4CF3" w:rsidP="00AF3F9E">
            <w:pPr>
              <w:pStyle w:val="NormalTable"/>
            </w:pPr>
            <w:r w:rsidRPr="00B945AD">
              <w:t>Z</w:t>
            </w:r>
          </w:p>
        </w:tc>
        <w:tc>
          <w:tcPr>
            <w:tcW w:w="2296" w:type="dxa"/>
          </w:tcPr>
          <w:p w:rsidR="00AC4CF3" w:rsidRPr="00B945AD" w:rsidRDefault="00AC4CF3" w:rsidP="00AF3F9E">
            <w:pPr>
              <w:pStyle w:val="NormalTable"/>
            </w:pPr>
            <w:r w:rsidRPr="00B945AD">
              <w:t>150</w:t>
            </w:r>
          </w:p>
        </w:tc>
      </w:tr>
      <w:tr w:rsidR="00AC4CF3" w:rsidRPr="009B3B9F" w:rsidTr="00AC4CF3">
        <w:tc>
          <w:tcPr>
            <w:tcW w:w="1758" w:type="dxa"/>
          </w:tcPr>
          <w:p w:rsidR="00AC4CF3" w:rsidRPr="00B945AD" w:rsidRDefault="00AC4CF3" w:rsidP="00AF3F9E">
            <w:pPr>
              <w:pStyle w:val="NormalTable"/>
            </w:pPr>
            <w:r>
              <w:t>Hargo Logistics</w:t>
            </w:r>
          </w:p>
        </w:tc>
        <w:tc>
          <w:tcPr>
            <w:tcW w:w="2978" w:type="dxa"/>
          </w:tcPr>
          <w:p w:rsidR="00AC4CF3" w:rsidRPr="00B945AD" w:rsidRDefault="00AC4CF3" w:rsidP="00AF3F9E">
            <w:pPr>
              <w:pStyle w:val="NormalTable"/>
            </w:pPr>
            <w:r>
              <w:t>Opslagmagazijn voor eenheidsverpakkingen</w:t>
            </w:r>
          </w:p>
        </w:tc>
        <w:tc>
          <w:tcPr>
            <w:tcW w:w="1477" w:type="dxa"/>
          </w:tcPr>
          <w:p w:rsidR="00AC4CF3" w:rsidRPr="00B945AD" w:rsidRDefault="00AC4CF3" w:rsidP="00AF3F9E">
            <w:pPr>
              <w:pStyle w:val="NormalTable"/>
            </w:pPr>
            <w:r>
              <w:t>Z</w:t>
            </w:r>
          </w:p>
        </w:tc>
        <w:tc>
          <w:tcPr>
            <w:tcW w:w="2296" w:type="dxa"/>
          </w:tcPr>
          <w:p w:rsidR="00AC4CF3" w:rsidRPr="00B945AD" w:rsidRDefault="00AC4CF3" w:rsidP="00AF3F9E">
            <w:pPr>
              <w:pStyle w:val="NormalTable"/>
            </w:pPr>
            <w:r>
              <w:t>250</w:t>
            </w:r>
          </w:p>
        </w:tc>
      </w:tr>
      <w:tr w:rsidR="00AC4CF3" w:rsidRPr="009B3B9F" w:rsidTr="00AC4CF3">
        <w:tc>
          <w:tcPr>
            <w:tcW w:w="1758" w:type="dxa"/>
          </w:tcPr>
          <w:p w:rsidR="00AC4CF3" w:rsidRPr="00B945AD" w:rsidRDefault="00AC4CF3" w:rsidP="00AF3F9E">
            <w:pPr>
              <w:pStyle w:val="NormalTable"/>
            </w:pPr>
            <w:r w:rsidRPr="00B945AD">
              <w:t>Van Mieghem</w:t>
            </w:r>
          </w:p>
        </w:tc>
        <w:tc>
          <w:tcPr>
            <w:tcW w:w="2978" w:type="dxa"/>
          </w:tcPr>
          <w:p w:rsidR="00AC4CF3" w:rsidRPr="009B3B9F" w:rsidRDefault="00AC4CF3" w:rsidP="00AF3F9E">
            <w:pPr>
              <w:pStyle w:val="NormalTable"/>
            </w:pPr>
            <w:r w:rsidRPr="00B945AD">
              <w:rPr>
                <w:lang w:val="nl-BE"/>
              </w:rPr>
              <w:t>Indus</w:t>
            </w:r>
            <w:r w:rsidRPr="009B3B9F">
              <w:t>triële schilderwerken</w:t>
            </w:r>
          </w:p>
        </w:tc>
        <w:tc>
          <w:tcPr>
            <w:tcW w:w="1477" w:type="dxa"/>
          </w:tcPr>
          <w:p w:rsidR="00AC4CF3" w:rsidRPr="009B3B9F" w:rsidRDefault="00AC4CF3" w:rsidP="00AF3F9E">
            <w:pPr>
              <w:pStyle w:val="NormalTable"/>
            </w:pPr>
            <w:r w:rsidRPr="009B3B9F">
              <w:t>NW</w:t>
            </w:r>
          </w:p>
        </w:tc>
        <w:tc>
          <w:tcPr>
            <w:tcW w:w="2296" w:type="dxa"/>
          </w:tcPr>
          <w:p w:rsidR="00AC4CF3" w:rsidRPr="009B3B9F" w:rsidRDefault="00AC4CF3" w:rsidP="00AF3F9E">
            <w:pPr>
              <w:pStyle w:val="NormalTable"/>
            </w:pPr>
            <w:r w:rsidRPr="009B3B9F">
              <w:t>200</w:t>
            </w:r>
          </w:p>
        </w:tc>
      </w:tr>
      <w:tr w:rsidR="00AC4CF3" w:rsidRPr="009B3B9F" w:rsidTr="00AC4CF3">
        <w:tc>
          <w:tcPr>
            <w:tcW w:w="1758" w:type="dxa"/>
          </w:tcPr>
          <w:p w:rsidR="00AC4CF3" w:rsidRPr="009B3B9F" w:rsidRDefault="00AC4CF3" w:rsidP="00AF3F9E">
            <w:pPr>
              <w:pStyle w:val="NormalTable"/>
            </w:pPr>
            <w:r w:rsidRPr="009B3B9F">
              <w:t>Station</w:t>
            </w:r>
            <w:r w:rsidRPr="009B3B9F">
              <w:br/>
              <w:t>Navo-pijpleiding</w:t>
            </w:r>
          </w:p>
        </w:tc>
        <w:tc>
          <w:tcPr>
            <w:tcW w:w="2978" w:type="dxa"/>
          </w:tcPr>
          <w:p w:rsidR="00AC4CF3" w:rsidRPr="009B3B9F" w:rsidRDefault="00AC4CF3" w:rsidP="00AF3F9E">
            <w:pPr>
              <w:pStyle w:val="NormalTable"/>
            </w:pPr>
            <w:r w:rsidRPr="009B3B9F">
              <w:t>pijpleiding</w:t>
            </w:r>
          </w:p>
        </w:tc>
        <w:tc>
          <w:tcPr>
            <w:tcW w:w="1477" w:type="dxa"/>
          </w:tcPr>
          <w:p w:rsidR="00AC4CF3" w:rsidRPr="009B3B9F" w:rsidRDefault="00AC4CF3" w:rsidP="00AF3F9E">
            <w:pPr>
              <w:pStyle w:val="NormalTable"/>
            </w:pPr>
            <w:r w:rsidRPr="009B3B9F">
              <w:t>NW</w:t>
            </w:r>
          </w:p>
        </w:tc>
        <w:tc>
          <w:tcPr>
            <w:tcW w:w="2296" w:type="dxa"/>
          </w:tcPr>
          <w:p w:rsidR="00AC4CF3" w:rsidRPr="009B3B9F" w:rsidRDefault="00AC4CF3" w:rsidP="00AF3F9E">
            <w:pPr>
              <w:pStyle w:val="NormalTable"/>
            </w:pPr>
            <w:r w:rsidRPr="009B3B9F">
              <w:t>150</w:t>
            </w:r>
          </w:p>
        </w:tc>
      </w:tr>
      <w:tr w:rsidR="00AC4CF3" w:rsidRPr="009B3B9F" w:rsidTr="00AC4CF3">
        <w:tc>
          <w:tcPr>
            <w:tcW w:w="1758" w:type="dxa"/>
          </w:tcPr>
          <w:p w:rsidR="00AC4CF3" w:rsidRPr="009B3B9F" w:rsidRDefault="00AC4CF3" w:rsidP="00AF3F9E">
            <w:pPr>
              <w:pStyle w:val="NormalTable"/>
            </w:pPr>
            <w:r w:rsidRPr="009B3B9F">
              <w:t>Col</w:t>
            </w:r>
            <w:r>
              <w:t>o</w:t>
            </w:r>
            <w:r w:rsidRPr="009B3B9F">
              <w:t>mbus</w:t>
            </w:r>
          </w:p>
        </w:tc>
        <w:tc>
          <w:tcPr>
            <w:tcW w:w="2978" w:type="dxa"/>
          </w:tcPr>
          <w:p w:rsidR="00AC4CF3" w:rsidRPr="009B3B9F" w:rsidRDefault="00AC4CF3" w:rsidP="00AF3F9E">
            <w:pPr>
              <w:pStyle w:val="NormalTable"/>
            </w:pPr>
            <w:r w:rsidRPr="009B3B9F">
              <w:t>Reiniging tankwagens / goederenopslag</w:t>
            </w:r>
          </w:p>
        </w:tc>
        <w:tc>
          <w:tcPr>
            <w:tcW w:w="1477" w:type="dxa"/>
          </w:tcPr>
          <w:p w:rsidR="00AC4CF3" w:rsidRPr="009B3B9F" w:rsidRDefault="00AC4CF3" w:rsidP="00AF3F9E">
            <w:pPr>
              <w:pStyle w:val="NormalTable"/>
            </w:pPr>
            <w:r w:rsidRPr="009B3B9F">
              <w:t>Z</w:t>
            </w:r>
          </w:p>
        </w:tc>
        <w:tc>
          <w:tcPr>
            <w:tcW w:w="2296" w:type="dxa"/>
          </w:tcPr>
          <w:p w:rsidR="00AC4CF3" w:rsidRPr="009B3B9F" w:rsidRDefault="00AC4CF3" w:rsidP="00AF3F9E">
            <w:pPr>
              <w:pStyle w:val="NormalTable"/>
            </w:pPr>
            <w:r w:rsidRPr="009B3B9F">
              <w:t>150</w:t>
            </w:r>
          </w:p>
        </w:tc>
      </w:tr>
      <w:tr w:rsidR="00AC4CF3" w:rsidRPr="009B3B9F" w:rsidTr="00AC4CF3">
        <w:tc>
          <w:tcPr>
            <w:tcW w:w="1758" w:type="dxa"/>
            <w:tcBorders>
              <w:bottom w:val="single" w:sz="4" w:space="0" w:color="auto"/>
            </w:tcBorders>
          </w:tcPr>
          <w:p w:rsidR="00AC4CF3" w:rsidRPr="009B3B9F" w:rsidRDefault="00AC4CF3" w:rsidP="00AF3F9E">
            <w:pPr>
              <w:pStyle w:val="NormalTable"/>
            </w:pPr>
            <w:r w:rsidRPr="009B3B9F">
              <w:t>Diamur</w:t>
            </w:r>
          </w:p>
        </w:tc>
        <w:tc>
          <w:tcPr>
            <w:tcW w:w="2978" w:type="dxa"/>
            <w:tcBorders>
              <w:bottom w:val="single" w:sz="4" w:space="0" w:color="auto"/>
            </w:tcBorders>
          </w:tcPr>
          <w:p w:rsidR="00AC4CF3" w:rsidRPr="009B3B9F" w:rsidRDefault="00AC4CF3" w:rsidP="00AF3F9E">
            <w:pPr>
              <w:pStyle w:val="NormalTable"/>
            </w:pPr>
            <w:r w:rsidRPr="009B3B9F">
              <w:t>Bouwmaterialen</w:t>
            </w:r>
          </w:p>
        </w:tc>
        <w:tc>
          <w:tcPr>
            <w:tcW w:w="1477" w:type="dxa"/>
            <w:tcBorders>
              <w:bottom w:val="single" w:sz="4" w:space="0" w:color="auto"/>
            </w:tcBorders>
          </w:tcPr>
          <w:p w:rsidR="00AC4CF3" w:rsidRPr="009B3B9F" w:rsidRDefault="00AC4CF3" w:rsidP="00AF3F9E">
            <w:pPr>
              <w:pStyle w:val="NormalTable"/>
            </w:pPr>
            <w:r w:rsidRPr="009B3B9F">
              <w:t>ZO</w:t>
            </w:r>
          </w:p>
        </w:tc>
        <w:tc>
          <w:tcPr>
            <w:tcW w:w="2296" w:type="dxa"/>
            <w:tcBorders>
              <w:bottom w:val="single" w:sz="4" w:space="0" w:color="auto"/>
            </w:tcBorders>
          </w:tcPr>
          <w:p w:rsidR="00AC4CF3" w:rsidRPr="009B3B9F" w:rsidRDefault="00AC4CF3" w:rsidP="00AF3F9E">
            <w:pPr>
              <w:pStyle w:val="NormalTable"/>
            </w:pPr>
            <w:r w:rsidRPr="009B3B9F">
              <w:t>150</w:t>
            </w:r>
          </w:p>
        </w:tc>
      </w:tr>
    </w:tbl>
    <w:p w:rsidR="00AC4CF3" w:rsidRDefault="00AC4CF3" w:rsidP="00610F1A">
      <w:r w:rsidRPr="009B3B9F">
        <w:t>* t.o.v. de Vopak terminal Eurotank ; afstand is de minimale afstand tussen de bedrijfsterreinen</w:t>
      </w:r>
    </w:p>
    <w:p w:rsidR="00AC4CF3" w:rsidRDefault="00AC4CF3" w:rsidP="00AF3F9E">
      <w:pPr>
        <w:pStyle w:val="NormalI"/>
      </w:pPr>
    </w:p>
    <w:p w:rsidR="000A6D04" w:rsidRDefault="000A6D04" w:rsidP="00AF3F9E">
      <w:pPr>
        <w:pStyle w:val="NormalI"/>
      </w:pPr>
    </w:p>
    <w:p w:rsidR="00EB4089" w:rsidRDefault="00EB4089" w:rsidP="004F40A7">
      <w:pPr>
        <w:pStyle w:val="tabel0"/>
        <w:outlineLvl w:val="0"/>
      </w:pPr>
      <w:r>
        <w:lastRenderedPageBreak/>
        <w:t xml:space="preserve">Tabel </w:t>
      </w:r>
      <w:r w:rsidR="00C325A0">
        <w:fldChar w:fldCharType="begin"/>
      </w:r>
      <w:r w:rsidR="00AC4CF3">
        <w:instrText xml:space="preserve"> REF t_buurbedrijven_seveso \h </w:instrText>
      </w:r>
      <w:r w:rsidR="00C325A0">
        <w:fldChar w:fldCharType="separate"/>
      </w:r>
      <w:r w:rsidR="008102D8">
        <w:t>II.3</w:t>
      </w:r>
      <w:r w:rsidR="00C325A0">
        <w:fldChar w:fldCharType="end"/>
      </w:r>
      <w:r w:rsidR="00AC4CF3">
        <w:t xml:space="preserve"> Seveso </w:t>
      </w:r>
      <w:r>
        <w:t>Bedrijven in de nabije omgeving van VTE</w:t>
      </w:r>
      <w:r w:rsidR="00AC4CF3">
        <w:t xml:space="preserve"> (binnen straal van 3 km)</w:t>
      </w:r>
    </w:p>
    <w:tbl>
      <w:tblPr>
        <w:tblW w:w="8429" w:type="dxa"/>
        <w:tblInd w:w="108" w:type="dxa"/>
        <w:tblLayout w:type="fixed"/>
        <w:tblLook w:val="0000"/>
      </w:tblPr>
      <w:tblGrid>
        <w:gridCol w:w="3240"/>
        <w:gridCol w:w="1447"/>
        <w:gridCol w:w="3742"/>
      </w:tblGrid>
      <w:tr w:rsidR="00AC4CF3" w:rsidRPr="009B3B9F" w:rsidTr="00AC4CF3">
        <w:trPr>
          <w:trHeight w:val="454"/>
          <w:tblHeader/>
        </w:trPr>
        <w:tc>
          <w:tcPr>
            <w:tcW w:w="3240" w:type="dxa"/>
            <w:tcBorders>
              <w:top w:val="single" w:sz="4" w:space="0" w:color="auto"/>
              <w:bottom w:val="single" w:sz="4" w:space="0" w:color="auto"/>
            </w:tcBorders>
            <w:shd w:val="clear" w:color="auto" w:fill="BFBFBF" w:themeFill="background1" w:themeFillShade="BF"/>
            <w:vAlign w:val="center"/>
          </w:tcPr>
          <w:p w:rsidR="00AC4CF3" w:rsidRPr="009168F0" w:rsidRDefault="00AC4CF3" w:rsidP="00AF3F9E">
            <w:pPr>
              <w:pStyle w:val="NormalTable"/>
            </w:pPr>
            <w:r w:rsidRPr="009168F0">
              <w:t>Naam bedrijf</w:t>
            </w:r>
          </w:p>
        </w:tc>
        <w:tc>
          <w:tcPr>
            <w:tcW w:w="1447" w:type="dxa"/>
            <w:tcBorders>
              <w:top w:val="single" w:sz="4" w:space="0" w:color="auto"/>
              <w:bottom w:val="single" w:sz="4" w:space="0" w:color="auto"/>
            </w:tcBorders>
            <w:shd w:val="clear" w:color="auto" w:fill="BFBFBF" w:themeFill="background1" w:themeFillShade="BF"/>
            <w:vAlign w:val="center"/>
          </w:tcPr>
          <w:p w:rsidR="00AC4CF3" w:rsidRPr="009168F0" w:rsidRDefault="00AC4CF3" w:rsidP="00AF3F9E">
            <w:pPr>
              <w:pStyle w:val="NormalTable"/>
            </w:pPr>
            <w:r w:rsidRPr="009168F0">
              <w:t>Seveso</w:t>
            </w:r>
          </w:p>
        </w:tc>
        <w:tc>
          <w:tcPr>
            <w:tcW w:w="3742" w:type="dxa"/>
            <w:tcBorders>
              <w:top w:val="single" w:sz="4" w:space="0" w:color="auto"/>
              <w:bottom w:val="single" w:sz="4" w:space="0" w:color="auto"/>
            </w:tcBorders>
            <w:shd w:val="clear" w:color="auto" w:fill="BFBFBF" w:themeFill="background1" w:themeFillShade="BF"/>
            <w:vAlign w:val="center"/>
          </w:tcPr>
          <w:p w:rsidR="00AC4CF3" w:rsidRPr="009168F0" w:rsidRDefault="00AC4CF3" w:rsidP="00AF3F9E">
            <w:pPr>
              <w:pStyle w:val="NormalTable"/>
            </w:pPr>
            <w:r w:rsidRPr="009168F0">
              <w:t>Aard gevaarlijke stoffen</w:t>
            </w:r>
          </w:p>
        </w:tc>
      </w:tr>
      <w:tr w:rsidR="00AC4CF3" w:rsidRPr="003008B0" w:rsidTr="00AC4CF3">
        <w:tc>
          <w:tcPr>
            <w:tcW w:w="3240" w:type="dxa"/>
          </w:tcPr>
          <w:p w:rsidR="00AC4CF3" w:rsidRPr="009168F0" w:rsidRDefault="00AC4CF3" w:rsidP="00AF3F9E">
            <w:pPr>
              <w:pStyle w:val="NormalTable"/>
            </w:pPr>
            <w:r w:rsidRPr="009168F0">
              <w:t>3M</w:t>
            </w:r>
          </w:p>
        </w:tc>
        <w:tc>
          <w:tcPr>
            <w:tcW w:w="1447" w:type="dxa"/>
          </w:tcPr>
          <w:p w:rsidR="00AC4CF3" w:rsidRPr="009168F0" w:rsidRDefault="00AC4CF3" w:rsidP="00AF3F9E">
            <w:pPr>
              <w:pStyle w:val="NormalTable"/>
            </w:pPr>
            <w:r w:rsidRPr="009168F0">
              <w:t>Hoge drempel</w:t>
            </w:r>
          </w:p>
        </w:tc>
        <w:tc>
          <w:tcPr>
            <w:tcW w:w="3742" w:type="dxa"/>
          </w:tcPr>
          <w:p w:rsidR="00AC4CF3" w:rsidRPr="00965878" w:rsidRDefault="00AC4CF3" w:rsidP="00AF3F9E">
            <w:pPr>
              <w:pStyle w:val="NormalTable"/>
              <w:rPr>
                <w:lang w:val="nl-BE"/>
              </w:rPr>
            </w:pPr>
            <w:r w:rsidRPr="00965878">
              <w:rPr>
                <w:lang w:val="nl-BE"/>
              </w:rPr>
              <w:t>Productie chemicaliën</w:t>
            </w:r>
            <w:r w:rsidRPr="00965878">
              <w:rPr>
                <w:lang w:val="nl-BE"/>
              </w:rPr>
              <w:br/>
              <w:t>incl. gefluoreerde verbindingen</w:t>
            </w:r>
          </w:p>
        </w:tc>
      </w:tr>
      <w:tr w:rsidR="00AC4CF3" w:rsidRPr="003008B0" w:rsidTr="00AC4CF3">
        <w:tc>
          <w:tcPr>
            <w:tcW w:w="3240" w:type="dxa"/>
          </w:tcPr>
          <w:p w:rsidR="00AC4CF3" w:rsidRPr="009168F0" w:rsidRDefault="00AC4CF3" w:rsidP="00AF3F9E">
            <w:pPr>
              <w:pStyle w:val="NormalTable"/>
            </w:pPr>
            <w:r w:rsidRPr="009168F0">
              <w:t>A4S</w:t>
            </w:r>
          </w:p>
        </w:tc>
        <w:tc>
          <w:tcPr>
            <w:tcW w:w="1447" w:type="dxa"/>
          </w:tcPr>
          <w:p w:rsidR="00AC4CF3" w:rsidRPr="009B3B9F" w:rsidRDefault="00AC4CF3" w:rsidP="00AF3F9E">
            <w:pPr>
              <w:pStyle w:val="NormalTable"/>
            </w:pPr>
            <w:r w:rsidRPr="009168F0">
              <w:rPr>
                <w:lang w:val="nl-BE"/>
              </w:rPr>
              <w:t>Hog</w:t>
            </w:r>
            <w:r w:rsidRPr="009B3B9F">
              <w:t>e drempel</w:t>
            </w:r>
          </w:p>
        </w:tc>
        <w:tc>
          <w:tcPr>
            <w:tcW w:w="3742" w:type="dxa"/>
          </w:tcPr>
          <w:p w:rsidR="00AC4CF3" w:rsidRPr="00965878" w:rsidRDefault="00AC4CF3" w:rsidP="00AF3F9E">
            <w:pPr>
              <w:pStyle w:val="NormalTable"/>
              <w:rPr>
                <w:lang w:val="nl-BE"/>
              </w:rPr>
            </w:pPr>
            <w:r w:rsidRPr="00965878">
              <w:rPr>
                <w:lang w:val="nl-BE"/>
              </w:rPr>
              <w:t>Opslagterminal en afvulinstallaties</w:t>
            </w:r>
            <w:r w:rsidRPr="00965878">
              <w:rPr>
                <w:lang w:val="nl-BE"/>
              </w:rPr>
              <w:br/>
              <w:t>incl. gevaarlijke vloeistoffen</w:t>
            </w:r>
          </w:p>
        </w:tc>
      </w:tr>
      <w:tr w:rsidR="00AC4CF3" w:rsidRPr="009B3B9F" w:rsidTr="00AC4CF3">
        <w:tc>
          <w:tcPr>
            <w:tcW w:w="3240" w:type="dxa"/>
          </w:tcPr>
          <w:p w:rsidR="00AC4CF3" w:rsidRPr="009B3B9F" w:rsidRDefault="00AC4CF3" w:rsidP="00AF3F9E">
            <w:pPr>
              <w:pStyle w:val="NormalTable"/>
            </w:pPr>
            <w:r>
              <w:t>Antwerp Terminal &amp; Processing Company</w:t>
            </w:r>
          </w:p>
        </w:tc>
        <w:tc>
          <w:tcPr>
            <w:tcW w:w="1447" w:type="dxa"/>
          </w:tcPr>
          <w:p w:rsidR="00AC4CF3" w:rsidRPr="009B3B9F" w:rsidRDefault="00AC4CF3" w:rsidP="00AF3F9E">
            <w:pPr>
              <w:pStyle w:val="NormalTable"/>
            </w:pPr>
            <w:r w:rsidRPr="009B3B9F">
              <w:t>Hoge drempel</w:t>
            </w:r>
          </w:p>
        </w:tc>
        <w:tc>
          <w:tcPr>
            <w:tcW w:w="3742" w:type="dxa"/>
          </w:tcPr>
          <w:p w:rsidR="00AC4CF3" w:rsidRPr="009B3B9F" w:rsidRDefault="00AC4CF3" w:rsidP="00AF3F9E">
            <w:pPr>
              <w:pStyle w:val="NormalTable"/>
            </w:pPr>
            <w:r>
              <w:t>P</w:t>
            </w:r>
            <w:r w:rsidRPr="009B3B9F">
              <w:t>etroleumproducten</w:t>
            </w:r>
          </w:p>
        </w:tc>
      </w:tr>
      <w:tr w:rsidR="00AC4CF3" w:rsidRPr="009B3B9F" w:rsidTr="00AC4CF3">
        <w:tc>
          <w:tcPr>
            <w:tcW w:w="3240" w:type="dxa"/>
          </w:tcPr>
          <w:p w:rsidR="00AC4CF3" w:rsidRPr="009B3B9F" w:rsidRDefault="00AC4CF3" w:rsidP="00AF3F9E">
            <w:pPr>
              <w:pStyle w:val="NormalTable"/>
            </w:pPr>
            <w:r w:rsidRPr="009B3B9F">
              <w:t>Exxonmobil</w:t>
            </w:r>
            <w:r>
              <w:t xml:space="preserve"> Petroleum &amp; Chemical - Zwijndrecht</w:t>
            </w:r>
          </w:p>
        </w:tc>
        <w:tc>
          <w:tcPr>
            <w:tcW w:w="1447" w:type="dxa"/>
          </w:tcPr>
          <w:p w:rsidR="00AC4CF3" w:rsidRPr="009B3B9F" w:rsidRDefault="00AC4CF3" w:rsidP="00AF3F9E">
            <w:pPr>
              <w:pStyle w:val="NormalTable"/>
            </w:pPr>
            <w:r w:rsidRPr="009B3B9F">
              <w:t>Hoge drempel</w:t>
            </w:r>
          </w:p>
        </w:tc>
        <w:tc>
          <w:tcPr>
            <w:tcW w:w="3742" w:type="dxa"/>
          </w:tcPr>
          <w:p w:rsidR="00AC4CF3" w:rsidRPr="009B3B9F" w:rsidRDefault="00AC4CF3" w:rsidP="00AF3F9E">
            <w:pPr>
              <w:pStyle w:val="NormalTable"/>
            </w:pPr>
            <w:r w:rsidRPr="009B3B9F">
              <w:t>Petrochemie</w:t>
            </w:r>
          </w:p>
        </w:tc>
      </w:tr>
      <w:tr w:rsidR="00AC4CF3" w:rsidRPr="009B3B9F" w:rsidTr="00AC4CF3">
        <w:tc>
          <w:tcPr>
            <w:tcW w:w="3240" w:type="dxa"/>
          </w:tcPr>
          <w:p w:rsidR="00AC4CF3" w:rsidRPr="009B3B9F" w:rsidRDefault="00AC4CF3" w:rsidP="00AF3F9E">
            <w:pPr>
              <w:pStyle w:val="NormalTable"/>
            </w:pPr>
            <w:r w:rsidRPr="009B3B9F">
              <w:t xml:space="preserve">Exxonmobil Petroleum &amp; </w:t>
            </w:r>
            <w:r>
              <w:t>C</w:t>
            </w:r>
            <w:r w:rsidRPr="009B3B9F">
              <w:t>hemical</w:t>
            </w:r>
            <w:r>
              <w:t xml:space="preserve"> – Antwerpen</w:t>
            </w:r>
          </w:p>
        </w:tc>
        <w:tc>
          <w:tcPr>
            <w:tcW w:w="1447" w:type="dxa"/>
          </w:tcPr>
          <w:p w:rsidR="00AC4CF3" w:rsidRPr="009B3B9F" w:rsidRDefault="00AC4CF3" w:rsidP="00AF3F9E">
            <w:pPr>
              <w:pStyle w:val="NormalTable"/>
            </w:pPr>
            <w:r w:rsidRPr="009B3B9F">
              <w:t>Hoge drempel</w:t>
            </w:r>
          </w:p>
        </w:tc>
        <w:tc>
          <w:tcPr>
            <w:tcW w:w="3742" w:type="dxa"/>
          </w:tcPr>
          <w:p w:rsidR="00AC4CF3" w:rsidRPr="009B3B9F" w:rsidRDefault="00AC4CF3" w:rsidP="00AF3F9E">
            <w:pPr>
              <w:pStyle w:val="NormalTable"/>
            </w:pPr>
            <w:r w:rsidRPr="009B3B9F">
              <w:t>Raffinaderij</w:t>
            </w:r>
            <w:r w:rsidRPr="009B3B9F">
              <w:br/>
              <w:t>petroleumproducten</w:t>
            </w:r>
          </w:p>
        </w:tc>
      </w:tr>
      <w:tr w:rsidR="00AC4CF3" w:rsidRPr="009B3B9F" w:rsidTr="00AC4CF3">
        <w:tc>
          <w:tcPr>
            <w:tcW w:w="3240" w:type="dxa"/>
          </w:tcPr>
          <w:p w:rsidR="00AC4CF3" w:rsidRPr="00D56A17" w:rsidRDefault="00AC4CF3" w:rsidP="00AF3F9E">
            <w:pPr>
              <w:pStyle w:val="NormalTable"/>
            </w:pPr>
            <w:r w:rsidRPr="00D56A17">
              <w:t>Fina Antwerp Olefins - site A</w:t>
            </w:r>
          </w:p>
        </w:tc>
        <w:tc>
          <w:tcPr>
            <w:tcW w:w="1447" w:type="dxa"/>
          </w:tcPr>
          <w:p w:rsidR="00AC4CF3" w:rsidRPr="009B3B9F" w:rsidRDefault="00AC4CF3" w:rsidP="00AF3F9E">
            <w:pPr>
              <w:pStyle w:val="NormalTable"/>
            </w:pPr>
            <w:r w:rsidRPr="009B3B9F">
              <w:t>Hoge drempel</w:t>
            </w:r>
          </w:p>
        </w:tc>
        <w:tc>
          <w:tcPr>
            <w:tcW w:w="3742" w:type="dxa"/>
          </w:tcPr>
          <w:p w:rsidR="00AC4CF3" w:rsidRPr="009B3B9F" w:rsidRDefault="00AC4CF3" w:rsidP="00AF3F9E">
            <w:pPr>
              <w:pStyle w:val="NormalTable"/>
            </w:pPr>
            <w:r w:rsidRPr="009B3B9F">
              <w:t>Olefines</w:t>
            </w:r>
          </w:p>
        </w:tc>
      </w:tr>
      <w:tr w:rsidR="00AC4CF3" w:rsidRPr="009B3B9F" w:rsidTr="00AC4CF3">
        <w:tc>
          <w:tcPr>
            <w:tcW w:w="3240" w:type="dxa"/>
          </w:tcPr>
          <w:p w:rsidR="00AC4CF3" w:rsidRPr="00965878" w:rsidRDefault="00AC4CF3" w:rsidP="00AF3F9E">
            <w:pPr>
              <w:pStyle w:val="NormalTable"/>
              <w:rPr>
                <w:lang w:val="nl-BE"/>
              </w:rPr>
            </w:pPr>
            <w:r w:rsidRPr="00965878">
              <w:rPr>
                <w:lang w:val="nl-BE"/>
              </w:rPr>
              <w:t>Fina Antwerp Olefins - site C</w:t>
            </w:r>
          </w:p>
        </w:tc>
        <w:tc>
          <w:tcPr>
            <w:tcW w:w="1447" w:type="dxa"/>
          </w:tcPr>
          <w:p w:rsidR="00AC4CF3" w:rsidRPr="009B3B9F" w:rsidRDefault="00AC4CF3" w:rsidP="00AF3F9E">
            <w:pPr>
              <w:pStyle w:val="NormalTable"/>
            </w:pPr>
            <w:r w:rsidRPr="009B3B9F">
              <w:t>Hoge drempel</w:t>
            </w:r>
          </w:p>
        </w:tc>
        <w:tc>
          <w:tcPr>
            <w:tcW w:w="3742" w:type="dxa"/>
          </w:tcPr>
          <w:p w:rsidR="00AC4CF3" w:rsidRPr="009B3B9F" w:rsidRDefault="00AC4CF3" w:rsidP="00AF3F9E">
            <w:pPr>
              <w:pStyle w:val="NormalTable"/>
            </w:pPr>
            <w:r w:rsidRPr="009B3B9F">
              <w:t>Opslag petroleumproducten</w:t>
            </w:r>
          </w:p>
        </w:tc>
      </w:tr>
      <w:tr w:rsidR="00AC4CF3" w:rsidRPr="009B3B9F" w:rsidTr="00AC4CF3">
        <w:tc>
          <w:tcPr>
            <w:tcW w:w="3240" w:type="dxa"/>
          </w:tcPr>
          <w:p w:rsidR="00AC4CF3" w:rsidRPr="009B3B9F" w:rsidRDefault="00AC4CF3" w:rsidP="00AF3F9E">
            <w:pPr>
              <w:pStyle w:val="NormalTable"/>
            </w:pPr>
            <w:r w:rsidRPr="009B3B9F">
              <w:t>INEOS</w:t>
            </w:r>
          </w:p>
        </w:tc>
        <w:tc>
          <w:tcPr>
            <w:tcW w:w="1447" w:type="dxa"/>
          </w:tcPr>
          <w:p w:rsidR="00AC4CF3" w:rsidRPr="009B3B9F" w:rsidRDefault="00AC4CF3" w:rsidP="00AF3F9E">
            <w:pPr>
              <w:pStyle w:val="NormalTable"/>
            </w:pPr>
            <w:r w:rsidRPr="009B3B9F">
              <w:t>Hoge drempel</w:t>
            </w:r>
          </w:p>
        </w:tc>
        <w:tc>
          <w:tcPr>
            <w:tcW w:w="3742" w:type="dxa"/>
          </w:tcPr>
          <w:p w:rsidR="00AC4CF3" w:rsidRPr="009B3B9F" w:rsidRDefault="00AC4CF3" w:rsidP="00AF3F9E">
            <w:pPr>
              <w:pStyle w:val="NormalTable"/>
            </w:pPr>
            <w:r w:rsidRPr="009B3B9F">
              <w:t>Petrochemie</w:t>
            </w:r>
          </w:p>
        </w:tc>
      </w:tr>
      <w:tr w:rsidR="00AC4CF3" w:rsidRPr="009B3B9F" w:rsidTr="00AC4CF3">
        <w:tc>
          <w:tcPr>
            <w:tcW w:w="3240" w:type="dxa"/>
          </w:tcPr>
          <w:p w:rsidR="00AC4CF3" w:rsidRPr="009B3B9F" w:rsidRDefault="00AC4CF3" w:rsidP="00AF3F9E">
            <w:pPr>
              <w:pStyle w:val="NormalTable"/>
            </w:pPr>
            <w:r w:rsidRPr="009B3B9F">
              <w:t>Lanxess Rubber</w:t>
            </w:r>
          </w:p>
        </w:tc>
        <w:tc>
          <w:tcPr>
            <w:tcW w:w="1447" w:type="dxa"/>
          </w:tcPr>
          <w:p w:rsidR="00AC4CF3" w:rsidRPr="009B3B9F" w:rsidRDefault="00AC4CF3" w:rsidP="00AF3F9E">
            <w:pPr>
              <w:pStyle w:val="NormalTable"/>
            </w:pPr>
            <w:r w:rsidRPr="009B3B9F">
              <w:t>Hoge drempel</w:t>
            </w:r>
          </w:p>
        </w:tc>
        <w:tc>
          <w:tcPr>
            <w:tcW w:w="3742" w:type="dxa"/>
          </w:tcPr>
          <w:p w:rsidR="00AC4CF3" w:rsidRPr="009B3B9F" w:rsidRDefault="00AC4CF3" w:rsidP="00AF3F9E">
            <w:pPr>
              <w:pStyle w:val="NormalTable"/>
            </w:pPr>
            <w:r w:rsidRPr="009B3B9F">
              <w:t>Productie (halo)butylrubbers</w:t>
            </w:r>
          </w:p>
        </w:tc>
      </w:tr>
      <w:tr w:rsidR="00AC4CF3" w:rsidRPr="009B3B9F" w:rsidTr="00AC4CF3">
        <w:tc>
          <w:tcPr>
            <w:tcW w:w="3240" w:type="dxa"/>
          </w:tcPr>
          <w:p w:rsidR="00AC4CF3" w:rsidRPr="009B3B9F" w:rsidRDefault="00AC4CF3" w:rsidP="00AF3F9E">
            <w:pPr>
              <w:pStyle w:val="NormalTable"/>
            </w:pPr>
            <w:r w:rsidRPr="009B3B9F">
              <w:t>LBC Antwerpen</w:t>
            </w:r>
          </w:p>
        </w:tc>
        <w:tc>
          <w:tcPr>
            <w:tcW w:w="1447" w:type="dxa"/>
          </w:tcPr>
          <w:p w:rsidR="00AC4CF3" w:rsidRPr="009B3B9F" w:rsidRDefault="00AC4CF3" w:rsidP="00AF3F9E">
            <w:pPr>
              <w:pStyle w:val="NormalTable"/>
            </w:pPr>
            <w:r w:rsidRPr="009B3B9F">
              <w:t>Hoge drempel</w:t>
            </w:r>
          </w:p>
        </w:tc>
        <w:tc>
          <w:tcPr>
            <w:tcW w:w="3742" w:type="dxa"/>
          </w:tcPr>
          <w:p w:rsidR="00AC4CF3" w:rsidRPr="009B3B9F" w:rsidRDefault="00AC4CF3" w:rsidP="00AF3F9E">
            <w:pPr>
              <w:pStyle w:val="NormalTable"/>
            </w:pPr>
            <w:r w:rsidRPr="009B3B9F">
              <w:t>Opslagterminal</w:t>
            </w:r>
            <w:r w:rsidRPr="009B3B9F">
              <w:br/>
              <w:t>gevaarlijke vloeistoffen</w:t>
            </w:r>
          </w:p>
        </w:tc>
      </w:tr>
      <w:tr w:rsidR="00AC4CF3" w:rsidRPr="003008B0" w:rsidTr="00AC4CF3">
        <w:tc>
          <w:tcPr>
            <w:tcW w:w="3240" w:type="dxa"/>
          </w:tcPr>
          <w:p w:rsidR="00AC4CF3" w:rsidRPr="009B3B9F" w:rsidRDefault="00AC4CF3" w:rsidP="00AF3F9E">
            <w:pPr>
              <w:pStyle w:val="NormalTable"/>
            </w:pPr>
            <w:r w:rsidRPr="009B3B9F">
              <w:t>Nippon Shokubai Europe</w:t>
            </w:r>
          </w:p>
        </w:tc>
        <w:tc>
          <w:tcPr>
            <w:tcW w:w="1447" w:type="dxa"/>
          </w:tcPr>
          <w:p w:rsidR="00AC4CF3" w:rsidRPr="009B3B9F" w:rsidRDefault="00AC4CF3" w:rsidP="00AF3F9E">
            <w:pPr>
              <w:pStyle w:val="NormalTable"/>
            </w:pPr>
            <w:r w:rsidRPr="009B3B9F">
              <w:t>Hoge drempel</w:t>
            </w:r>
          </w:p>
        </w:tc>
        <w:tc>
          <w:tcPr>
            <w:tcW w:w="3742" w:type="dxa"/>
          </w:tcPr>
          <w:p w:rsidR="00AC4CF3" w:rsidRPr="00965878" w:rsidRDefault="00AC4CF3" w:rsidP="00AF3F9E">
            <w:pPr>
              <w:pStyle w:val="NormalTable"/>
              <w:rPr>
                <w:lang w:val="nl-BE"/>
              </w:rPr>
            </w:pPr>
            <w:r w:rsidRPr="00965878">
              <w:rPr>
                <w:lang w:val="nl-BE"/>
              </w:rPr>
              <w:t xml:space="preserve">Productie superabsorberende polymeren </w:t>
            </w:r>
            <w:r w:rsidRPr="00965878">
              <w:rPr>
                <w:lang w:val="nl-BE"/>
              </w:rPr>
              <w:br/>
              <w:t>vnl. milieugevaarlijke stoffen</w:t>
            </w:r>
          </w:p>
        </w:tc>
      </w:tr>
      <w:tr w:rsidR="00AC4CF3" w:rsidRPr="009B3B9F" w:rsidTr="00AC4CF3">
        <w:tc>
          <w:tcPr>
            <w:tcW w:w="3240" w:type="dxa"/>
          </w:tcPr>
          <w:p w:rsidR="00AC4CF3" w:rsidRPr="009B3B9F" w:rsidRDefault="00AC4CF3" w:rsidP="00AF3F9E">
            <w:pPr>
              <w:pStyle w:val="NormalTable"/>
            </w:pPr>
            <w:r w:rsidRPr="009B3B9F">
              <w:t>Noordnatie terminals</w:t>
            </w:r>
          </w:p>
        </w:tc>
        <w:tc>
          <w:tcPr>
            <w:tcW w:w="1447" w:type="dxa"/>
          </w:tcPr>
          <w:p w:rsidR="00AC4CF3" w:rsidRPr="009B3B9F" w:rsidRDefault="00AC4CF3" w:rsidP="00AF3F9E">
            <w:pPr>
              <w:pStyle w:val="NormalTable"/>
            </w:pPr>
            <w:r w:rsidRPr="009B3B9F">
              <w:t>Hoge drempel</w:t>
            </w:r>
          </w:p>
        </w:tc>
        <w:tc>
          <w:tcPr>
            <w:tcW w:w="3742" w:type="dxa"/>
          </w:tcPr>
          <w:p w:rsidR="00AC4CF3" w:rsidRPr="009B3B9F" w:rsidRDefault="00AC4CF3" w:rsidP="00AF3F9E">
            <w:pPr>
              <w:pStyle w:val="NormalTable"/>
            </w:pPr>
            <w:r w:rsidRPr="009B3B9F">
              <w:t>Opslagterminal</w:t>
            </w:r>
            <w:r w:rsidRPr="009B3B9F">
              <w:br/>
              <w:t>incl. gevaarlijke vloeistoffen</w:t>
            </w:r>
          </w:p>
        </w:tc>
      </w:tr>
      <w:tr w:rsidR="00AC4CF3" w:rsidRPr="009B3B9F" w:rsidTr="00AC4CF3">
        <w:tc>
          <w:tcPr>
            <w:tcW w:w="3240" w:type="dxa"/>
          </w:tcPr>
          <w:p w:rsidR="00AC4CF3" w:rsidRPr="00965878" w:rsidRDefault="00AC4CF3" w:rsidP="00AF3F9E">
            <w:pPr>
              <w:pStyle w:val="NormalTable"/>
              <w:rPr>
                <w:lang w:val="nl-BE"/>
              </w:rPr>
            </w:pPr>
            <w:r w:rsidRPr="00965878">
              <w:rPr>
                <w:lang w:val="nl-BE"/>
              </w:rPr>
              <w:t>Sea-Tank Terminal Antwerp – 6</w:t>
            </w:r>
            <w:r w:rsidRPr="00965878">
              <w:rPr>
                <w:vertAlign w:val="superscript"/>
                <w:lang w:val="nl-BE"/>
              </w:rPr>
              <w:t>de</w:t>
            </w:r>
            <w:r w:rsidRPr="00965878">
              <w:rPr>
                <w:lang w:val="nl-BE"/>
              </w:rPr>
              <w:t xml:space="preserve"> Havendok</w:t>
            </w:r>
          </w:p>
        </w:tc>
        <w:tc>
          <w:tcPr>
            <w:tcW w:w="1447" w:type="dxa"/>
          </w:tcPr>
          <w:p w:rsidR="00AC4CF3" w:rsidRPr="007C2282" w:rsidRDefault="00AC4CF3" w:rsidP="00AF3F9E">
            <w:pPr>
              <w:pStyle w:val="NormalTable"/>
            </w:pPr>
            <w:r>
              <w:t>Hoge drempel</w:t>
            </w:r>
          </w:p>
        </w:tc>
        <w:tc>
          <w:tcPr>
            <w:tcW w:w="3742" w:type="dxa"/>
          </w:tcPr>
          <w:p w:rsidR="00AC4CF3" w:rsidRPr="007C2282" w:rsidRDefault="00AC4CF3" w:rsidP="00AF3F9E">
            <w:pPr>
              <w:pStyle w:val="NormalTable"/>
            </w:pPr>
            <w:r>
              <w:t>Opslagterminal</w:t>
            </w:r>
            <w:r>
              <w:br/>
              <w:t>incl. gevaarlijke vloeistoffen</w:t>
            </w:r>
          </w:p>
        </w:tc>
      </w:tr>
      <w:tr w:rsidR="00AC4CF3" w:rsidRPr="009B3B9F" w:rsidTr="00AC4CF3">
        <w:tc>
          <w:tcPr>
            <w:tcW w:w="3240" w:type="dxa"/>
          </w:tcPr>
          <w:p w:rsidR="00AC4CF3" w:rsidRPr="007C2282" w:rsidRDefault="00AC4CF3" w:rsidP="00AF3F9E">
            <w:pPr>
              <w:pStyle w:val="NormalTable"/>
            </w:pPr>
            <w:r>
              <w:t>Sea-Tank Terminal Antwerp – Hansadok</w:t>
            </w:r>
          </w:p>
        </w:tc>
        <w:tc>
          <w:tcPr>
            <w:tcW w:w="1447" w:type="dxa"/>
          </w:tcPr>
          <w:p w:rsidR="00AC4CF3" w:rsidRDefault="00AC4CF3" w:rsidP="00AF3F9E">
            <w:pPr>
              <w:pStyle w:val="NormalTable"/>
            </w:pPr>
            <w:r>
              <w:t>Hoge drempel</w:t>
            </w:r>
          </w:p>
        </w:tc>
        <w:tc>
          <w:tcPr>
            <w:tcW w:w="3742" w:type="dxa"/>
          </w:tcPr>
          <w:p w:rsidR="00AC4CF3" w:rsidRPr="007C2282" w:rsidRDefault="00AC4CF3" w:rsidP="00AF3F9E">
            <w:pPr>
              <w:pStyle w:val="NormalTable"/>
            </w:pPr>
            <w:r>
              <w:t>Opslagterminal</w:t>
            </w:r>
            <w:r>
              <w:br/>
              <w:t>incl. gevaarlijke vloeistoffen</w:t>
            </w:r>
          </w:p>
        </w:tc>
      </w:tr>
      <w:tr w:rsidR="00AC4CF3" w:rsidRPr="009B3B9F" w:rsidTr="00AC4CF3">
        <w:tc>
          <w:tcPr>
            <w:tcW w:w="3240" w:type="dxa"/>
          </w:tcPr>
          <w:p w:rsidR="00AC4CF3" w:rsidRDefault="00AC4CF3" w:rsidP="00AF3F9E">
            <w:pPr>
              <w:pStyle w:val="NormalTable"/>
            </w:pPr>
            <w:r>
              <w:t>TOTAL Petrochemicals Antwerpen</w:t>
            </w:r>
          </w:p>
        </w:tc>
        <w:tc>
          <w:tcPr>
            <w:tcW w:w="1447" w:type="dxa"/>
          </w:tcPr>
          <w:p w:rsidR="00AC4CF3" w:rsidRDefault="00AC4CF3" w:rsidP="00AF3F9E">
            <w:pPr>
              <w:pStyle w:val="NormalTable"/>
            </w:pPr>
            <w:r>
              <w:t>Hoge drempel</w:t>
            </w:r>
          </w:p>
        </w:tc>
        <w:tc>
          <w:tcPr>
            <w:tcW w:w="3742" w:type="dxa"/>
          </w:tcPr>
          <w:p w:rsidR="00AC4CF3" w:rsidRPr="007C2282" w:rsidRDefault="00AC4CF3" w:rsidP="00AF3F9E">
            <w:pPr>
              <w:pStyle w:val="NormalTable"/>
            </w:pPr>
            <w:r>
              <w:t>Petrochemie</w:t>
            </w:r>
          </w:p>
        </w:tc>
      </w:tr>
      <w:tr w:rsidR="00AC4CF3" w:rsidRPr="009B3B9F" w:rsidTr="00AC4CF3">
        <w:tc>
          <w:tcPr>
            <w:tcW w:w="3240" w:type="dxa"/>
          </w:tcPr>
          <w:p w:rsidR="00AC4CF3" w:rsidRPr="009B3B9F" w:rsidRDefault="00AC4CF3" w:rsidP="00AF3F9E">
            <w:pPr>
              <w:pStyle w:val="NormalTable"/>
            </w:pPr>
            <w:r w:rsidRPr="009B3B9F">
              <w:t>TOTAL raffinaderij Antwerpen</w:t>
            </w:r>
          </w:p>
        </w:tc>
        <w:tc>
          <w:tcPr>
            <w:tcW w:w="1447" w:type="dxa"/>
          </w:tcPr>
          <w:p w:rsidR="00AC4CF3" w:rsidRPr="009B3B9F" w:rsidRDefault="00AC4CF3" w:rsidP="00AF3F9E">
            <w:pPr>
              <w:pStyle w:val="NormalTable"/>
            </w:pPr>
            <w:r w:rsidRPr="009B3B9F">
              <w:t>Hoge drempel</w:t>
            </w:r>
          </w:p>
        </w:tc>
        <w:tc>
          <w:tcPr>
            <w:tcW w:w="3742" w:type="dxa"/>
          </w:tcPr>
          <w:p w:rsidR="00AC4CF3" w:rsidRPr="009B3B9F" w:rsidRDefault="00AC4CF3" w:rsidP="00AF3F9E">
            <w:pPr>
              <w:pStyle w:val="NormalTable"/>
            </w:pPr>
            <w:r w:rsidRPr="009B3B9F">
              <w:t>Raffinaderij</w:t>
            </w:r>
            <w:r w:rsidRPr="009B3B9F">
              <w:br/>
              <w:t>petroleumproducten</w:t>
            </w:r>
          </w:p>
        </w:tc>
      </w:tr>
      <w:tr w:rsidR="00AC4CF3" w:rsidRPr="009B3B9F" w:rsidTr="00AC4CF3">
        <w:tc>
          <w:tcPr>
            <w:tcW w:w="3240" w:type="dxa"/>
          </w:tcPr>
          <w:p w:rsidR="00AC4CF3" w:rsidRPr="009B3B9F" w:rsidRDefault="00AC4CF3" w:rsidP="00AF3F9E">
            <w:pPr>
              <w:pStyle w:val="NormalTable"/>
            </w:pPr>
            <w:r>
              <w:t>Colombus – HTC</w:t>
            </w:r>
          </w:p>
        </w:tc>
        <w:tc>
          <w:tcPr>
            <w:tcW w:w="1447" w:type="dxa"/>
          </w:tcPr>
          <w:p w:rsidR="00AC4CF3" w:rsidRPr="009B3B9F" w:rsidRDefault="00AC4CF3" w:rsidP="00AF3F9E">
            <w:pPr>
              <w:pStyle w:val="NormalTable"/>
            </w:pPr>
            <w:r>
              <w:t>Lage drempel</w:t>
            </w:r>
          </w:p>
        </w:tc>
        <w:tc>
          <w:tcPr>
            <w:tcW w:w="3742" w:type="dxa"/>
          </w:tcPr>
          <w:p w:rsidR="00AC4CF3" w:rsidRPr="009B3B9F" w:rsidRDefault="00AC4CF3" w:rsidP="00AF3F9E">
            <w:pPr>
              <w:pStyle w:val="NormalTable"/>
            </w:pPr>
            <w:r w:rsidRPr="00E23BD9">
              <w:t>Industriële reiniging van tanks</w:t>
            </w:r>
          </w:p>
        </w:tc>
      </w:tr>
      <w:tr w:rsidR="00AC4CF3" w:rsidRPr="003008B0" w:rsidTr="00AC4CF3">
        <w:tc>
          <w:tcPr>
            <w:tcW w:w="3240" w:type="dxa"/>
          </w:tcPr>
          <w:p w:rsidR="00AC4CF3" w:rsidRPr="009B3B9F" w:rsidRDefault="00AC4CF3" w:rsidP="00AF3F9E">
            <w:pPr>
              <w:pStyle w:val="NormalTable"/>
            </w:pPr>
            <w:r w:rsidRPr="009B3B9F">
              <w:t>Eval Europe</w:t>
            </w:r>
          </w:p>
        </w:tc>
        <w:tc>
          <w:tcPr>
            <w:tcW w:w="1447" w:type="dxa"/>
          </w:tcPr>
          <w:p w:rsidR="00AC4CF3" w:rsidRPr="009B3B9F" w:rsidRDefault="00AC4CF3" w:rsidP="00AF3F9E">
            <w:pPr>
              <w:pStyle w:val="NormalTable"/>
            </w:pPr>
            <w:r w:rsidRPr="009B3B9F">
              <w:t>Lage drempel</w:t>
            </w:r>
          </w:p>
        </w:tc>
        <w:tc>
          <w:tcPr>
            <w:tcW w:w="3742" w:type="dxa"/>
          </w:tcPr>
          <w:p w:rsidR="00AC4CF3" w:rsidRPr="00965878" w:rsidRDefault="00AC4CF3" w:rsidP="00AF3F9E">
            <w:pPr>
              <w:pStyle w:val="NormalTable"/>
              <w:rPr>
                <w:lang w:val="nl-BE"/>
              </w:rPr>
            </w:pPr>
            <w:r w:rsidRPr="00965878">
              <w:rPr>
                <w:lang w:val="nl-BE"/>
              </w:rPr>
              <w:t>Chemische productie (polymeren)</w:t>
            </w:r>
            <w:r w:rsidRPr="00965878">
              <w:rPr>
                <w:lang w:val="nl-BE"/>
              </w:rPr>
              <w:br/>
              <w:t>gevaarlijke stoffen waaronder methanol en ethyleen</w:t>
            </w:r>
          </w:p>
        </w:tc>
      </w:tr>
      <w:tr w:rsidR="00AC4CF3" w:rsidRPr="003008B0" w:rsidTr="00AC4CF3">
        <w:tc>
          <w:tcPr>
            <w:tcW w:w="3240" w:type="dxa"/>
          </w:tcPr>
          <w:p w:rsidR="00AC4CF3" w:rsidRPr="009B3B9F" w:rsidRDefault="00AC4CF3" w:rsidP="00AF3F9E">
            <w:pPr>
              <w:pStyle w:val="NormalTable"/>
            </w:pPr>
            <w:r>
              <w:t>Hargo Logistics</w:t>
            </w:r>
          </w:p>
        </w:tc>
        <w:tc>
          <w:tcPr>
            <w:tcW w:w="1447" w:type="dxa"/>
          </w:tcPr>
          <w:p w:rsidR="00AC4CF3" w:rsidRPr="009B3B9F" w:rsidRDefault="00AC4CF3" w:rsidP="00AF3F9E">
            <w:pPr>
              <w:pStyle w:val="NormalTable"/>
            </w:pPr>
            <w:r w:rsidRPr="009B3B9F">
              <w:t>Lage drempel</w:t>
            </w:r>
          </w:p>
        </w:tc>
        <w:tc>
          <w:tcPr>
            <w:tcW w:w="3742" w:type="dxa"/>
          </w:tcPr>
          <w:p w:rsidR="00AC4CF3" w:rsidRPr="00965878" w:rsidRDefault="00AC4CF3" w:rsidP="00AF3F9E">
            <w:pPr>
              <w:pStyle w:val="NormalTable"/>
              <w:rPr>
                <w:lang w:val="nl-BE"/>
              </w:rPr>
            </w:pPr>
            <w:r w:rsidRPr="00965878">
              <w:rPr>
                <w:lang w:val="nl-BE"/>
              </w:rPr>
              <w:t>Opslagmagazijn voor eenheidsverpakkingen</w:t>
            </w:r>
            <w:r w:rsidRPr="00965878">
              <w:rPr>
                <w:lang w:val="nl-BE"/>
              </w:rPr>
              <w:br/>
              <w:t>gevaarlijke stoffen</w:t>
            </w:r>
          </w:p>
        </w:tc>
      </w:tr>
      <w:tr w:rsidR="00AC4CF3" w:rsidRPr="009B3B9F" w:rsidTr="00AC4CF3">
        <w:tc>
          <w:tcPr>
            <w:tcW w:w="3240" w:type="dxa"/>
          </w:tcPr>
          <w:p w:rsidR="00AC4CF3" w:rsidRPr="009B3B9F" w:rsidRDefault="00AC4CF3" w:rsidP="00AF3F9E">
            <w:pPr>
              <w:pStyle w:val="NormalTable"/>
            </w:pPr>
            <w:r w:rsidRPr="009B3B9F">
              <w:t>Marpobel</w:t>
            </w:r>
          </w:p>
        </w:tc>
        <w:tc>
          <w:tcPr>
            <w:tcW w:w="1447" w:type="dxa"/>
          </w:tcPr>
          <w:p w:rsidR="00AC4CF3" w:rsidRPr="009B3B9F" w:rsidRDefault="00AC4CF3" w:rsidP="00AF3F9E">
            <w:pPr>
              <w:pStyle w:val="NormalTable"/>
            </w:pPr>
            <w:r w:rsidRPr="009B3B9F">
              <w:t>Lage drempel</w:t>
            </w:r>
          </w:p>
        </w:tc>
        <w:tc>
          <w:tcPr>
            <w:tcW w:w="3742" w:type="dxa"/>
          </w:tcPr>
          <w:p w:rsidR="00AC4CF3" w:rsidRPr="009B3B9F" w:rsidRDefault="00AC4CF3" w:rsidP="00AF3F9E">
            <w:pPr>
              <w:pStyle w:val="NormalTable"/>
            </w:pPr>
            <w:r w:rsidRPr="009B3B9F">
              <w:t>Verwerkingsinstallatie o.m. afvalwaters</w:t>
            </w:r>
          </w:p>
        </w:tc>
      </w:tr>
      <w:tr w:rsidR="00AC4CF3" w:rsidRPr="009B3B9F" w:rsidTr="00AC4CF3">
        <w:tc>
          <w:tcPr>
            <w:tcW w:w="3240" w:type="dxa"/>
          </w:tcPr>
          <w:p w:rsidR="00AC4CF3" w:rsidRPr="00F740D2" w:rsidRDefault="00AC4CF3" w:rsidP="00AF3F9E">
            <w:pPr>
              <w:pStyle w:val="NormalTable"/>
            </w:pPr>
            <w:r w:rsidRPr="00F740D2">
              <w:t>Praxair</w:t>
            </w:r>
          </w:p>
        </w:tc>
        <w:tc>
          <w:tcPr>
            <w:tcW w:w="1447" w:type="dxa"/>
          </w:tcPr>
          <w:p w:rsidR="00AC4CF3" w:rsidRPr="00F740D2" w:rsidRDefault="00AC4CF3" w:rsidP="00AF3F9E">
            <w:pPr>
              <w:pStyle w:val="NormalTable"/>
            </w:pPr>
            <w:r w:rsidRPr="00F740D2">
              <w:t>Lage drempel</w:t>
            </w:r>
          </w:p>
        </w:tc>
        <w:tc>
          <w:tcPr>
            <w:tcW w:w="3742" w:type="dxa"/>
          </w:tcPr>
          <w:p w:rsidR="00AC4CF3" w:rsidRPr="00F740D2" w:rsidRDefault="00AC4CF3" w:rsidP="00AF3F9E">
            <w:pPr>
              <w:pStyle w:val="NormalTable"/>
            </w:pPr>
            <w:r w:rsidRPr="00F740D2">
              <w:t>Luchtscheidingseenheid</w:t>
            </w:r>
          </w:p>
        </w:tc>
      </w:tr>
      <w:tr w:rsidR="00AC4CF3" w:rsidRPr="003008B0" w:rsidTr="00AC4CF3">
        <w:tc>
          <w:tcPr>
            <w:tcW w:w="3240" w:type="dxa"/>
          </w:tcPr>
          <w:p w:rsidR="00AC4CF3" w:rsidRPr="00F740D2" w:rsidRDefault="00AC4CF3" w:rsidP="00AF3F9E">
            <w:pPr>
              <w:pStyle w:val="NormalTable"/>
            </w:pPr>
            <w:r w:rsidRPr="00F740D2">
              <w:t>Seppic Belgium</w:t>
            </w:r>
          </w:p>
        </w:tc>
        <w:tc>
          <w:tcPr>
            <w:tcW w:w="1447" w:type="dxa"/>
          </w:tcPr>
          <w:p w:rsidR="00AC4CF3" w:rsidRPr="009B3B9F" w:rsidRDefault="00AC4CF3" w:rsidP="00AF3F9E">
            <w:pPr>
              <w:pStyle w:val="NormalTable"/>
            </w:pPr>
            <w:r w:rsidRPr="00F740D2">
              <w:t>Lage dre</w:t>
            </w:r>
            <w:r w:rsidRPr="009B3B9F">
              <w:t>mpel</w:t>
            </w:r>
          </w:p>
        </w:tc>
        <w:tc>
          <w:tcPr>
            <w:tcW w:w="3742" w:type="dxa"/>
          </w:tcPr>
          <w:p w:rsidR="00AC4CF3" w:rsidRPr="00965878" w:rsidRDefault="00AC4CF3" w:rsidP="00AF3F9E">
            <w:pPr>
              <w:pStyle w:val="NormalTable"/>
              <w:rPr>
                <w:lang w:val="nl-BE"/>
              </w:rPr>
            </w:pPr>
            <w:r w:rsidRPr="00965878">
              <w:rPr>
                <w:lang w:val="nl-BE"/>
              </w:rPr>
              <w:t>Productie alkoxylaten</w:t>
            </w:r>
            <w:r w:rsidRPr="00965878">
              <w:rPr>
                <w:vanish/>
                <w:lang w:val="nl-BE"/>
              </w:rPr>
              <w:br/>
            </w:r>
            <w:r w:rsidRPr="00965878">
              <w:rPr>
                <w:lang w:val="nl-BE"/>
              </w:rPr>
              <w:t xml:space="preserve">gevaarlijke stoffen waaronder zeer giftige stoffen, ethyleenoxide en propyleenoxide </w:t>
            </w:r>
          </w:p>
        </w:tc>
      </w:tr>
      <w:tr w:rsidR="00AC4CF3" w:rsidRPr="003008B0" w:rsidTr="00AC4CF3">
        <w:tc>
          <w:tcPr>
            <w:tcW w:w="3240" w:type="dxa"/>
          </w:tcPr>
          <w:p w:rsidR="00AC4CF3" w:rsidRPr="009B3B9F" w:rsidRDefault="00AC4CF3" w:rsidP="00AF3F9E">
            <w:pPr>
              <w:pStyle w:val="NormalTable"/>
            </w:pPr>
            <w:r w:rsidRPr="009B3B9F">
              <w:t>SGS</w:t>
            </w:r>
            <w:r>
              <w:t xml:space="preserve"> Belgium</w:t>
            </w:r>
            <w:r w:rsidRPr="009B3B9F">
              <w:t xml:space="preserve"> </w:t>
            </w:r>
          </w:p>
        </w:tc>
        <w:tc>
          <w:tcPr>
            <w:tcW w:w="1447" w:type="dxa"/>
          </w:tcPr>
          <w:p w:rsidR="00AC4CF3" w:rsidRPr="009B3B9F" w:rsidRDefault="00AC4CF3" w:rsidP="00AF3F9E">
            <w:pPr>
              <w:pStyle w:val="NormalTable"/>
            </w:pPr>
            <w:r w:rsidRPr="009B3B9F">
              <w:t>Lage drempel</w:t>
            </w:r>
          </w:p>
        </w:tc>
        <w:tc>
          <w:tcPr>
            <w:tcW w:w="3742" w:type="dxa"/>
          </w:tcPr>
          <w:p w:rsidR="00AC4CF3" w:rsidRPr="00965878" w:rsidRDefault="00AC4CF3" w:rsidP="00AF3F9E">
            <w:pPr>
              <w:pStyle w:val="NormalTable"/>
              <w:rPr>
                <w:lang w:val="nl-BE"/>
              </w:rPr>
            </w:pPr>
            <w:r w:rsidRPr="00965878">
              <w:rPr>
                <w:lang w:val="nl-BE"/>
              </w:rPr>
              <w:t>Opslagmagazijn</w:t>
            </w:r>
            <w:r w:rsidRPr="00965878">
              <w:rPr>
                <w:lang w:val="nl-BE"/>
              </w:rPr>
              <w:br/>
              <w:t>gevaarlijke stoffen in eenheidsverpakkingen</w:t>
            </w:r>
          </w:p>
        </w:tc>
      </w:tr>
      <w:tr w:rsidR="00AC4CF3" w:rsidRPr="009B3B9F" w:rsidTr="00AC4CF3">
        <w:tc>
          <w:tcPr>
            <w:tcW w:w="3240" w:type="dxa"/>
          </w:tcPr>
          <w:p w:rsidR="00AC4CF3" w:rsidRPr="009B3B9F" w:rsidRDefault="00AC4CF3" w:rsidP="00AF3F9E">
            <w:pPr>
              <w:pStyle w:val="NormalTable"/>
            </w:pPr>
            <w:r w:rsidRPr="009B3B9F">
              <w:t>Speciality polymers Antwerp</w:t>
            </w:r>
          </w:p>
        </w:tc>
        <w:tc>
          <w:tcPr>
            <w:tcW w:w="1447" w:type="dxa"/>
          </w:tcPr>
          <w:p w:rsidR="00AC4CF3" w:rsidRPr="009B3B9F" w:rsidRDefault="00AC4CF3" w:rsidP="00AF3F9E">
            <w:pPr>
              <w:pStyle w:val="NormalTable"/>
            </w:pPr>
            <w:r w:rsidRPr="009B3B9F">
              <w:t>Lage drempel</w:t>
            </w:r>
          </w:p>
        </w:tc>
        <w:tc>
          <w:tcPr>
            <w:tcW w:w="3742" w:type="dxa"/>
          </w:tcPr>
          <w:p w:rsidR="00AC4CF3" w:rsidRPr="009B3B9F" w:rsidRDefault="00AC4CF3" w:rsidP="00AF3F9E">
            <w:pPr>
              <w:pStyle w:val="NormalTable"/>
            </w:pPr>
            <w:r w:rsidRPr="009B3B9F">
              <w:t>Petrochemie</w:t>
            </w:r>
          </w:p>
        </w:tc>
      </w:tr>
      <w:tr w:rsidR="00AC4CF3" w:rsidRPr="009B3B9F" w:rsidTr="00AC4CF3">
        <w:tc>
          <w:tcPr>
            <w:tcW w:w="3240" w:type="dxa"/>
            <w:tcBorders>
              <w:bottom w:val="single" w:sz="4" w:space="0" w:color="auto"/>
            </w:tcBorders>
          </w:tcPr>
          <w:p w:rsidR="00AC4CF3" w:rsidRPr="009B3B9F" w:rsidRDefault="00AC4CF3" w:rsidP="00AF3F9E">
            <w:pPr>
              <w:pStyle w:val="NormalTable"/>
            </w:pPr>
            <w:r w:rsidRPr="009B3B9F">
              <w:t>Total</w:t>
            </w:r>
            <w:r>
              <w:t xml:space="preserve"> Belgium Antwerpen</w:t>
            </w:r>
          </w:p>
        </w:tc>
        <w:tc>
          <w:tcPr>
            <w:tcW w:w="1447" w:type="dxa"/>
            <w:tcBorders>
              <w:bottom w:val="single" w:sz="4" w:space="0" w:color="auto"/>
            </w:tcBorders>
          </w:tcPr>
          <w:p w:rsidR="00AC4CF3" w:rsidRPr="009B3B9F" w:rsidRDefault="00AC4CF3" w:rsidP="00AF3F9E">
            <w:pPr>
              <w:pStyle w:val="NormalTable"/>
            </w:pPr>
            <w:r w:rsidRPr="009B3B9F">
              <w:t>Lage drempel</w:t>
            </w:r>
          </w:p>
        </w:tc>
        <w:tc>
          <w:tcPr>
            <w:tcW w:w="3742" w:type="dxa"/>
            <w:tcBorders>
              <w:bottom w:val="single" w:sz="4" w:space="0" w:color="auto"/>
            </w:tcBorders>
          </w:tcPr>
          <w:p w:rsidR="00AC4CF3" w:rsidRPr="009B3B9F" w:rsidRDefault="00AC4CF3" w:rsidP="00AF3F9E">
            <w:pPr>
              <w:pStyle w:val="NormalTable"/>
            </w:pPr>
            <w:r w:rsidRPr="009B3B9F">
              <w:t>Laadplaats tankwagens petroleumproducten</w:t>
            </w:r>
          </w:p>
        </w:tc>
      </w:tr>
    </w:tbl>
    <w:p w:rsidR="00EB4089" w:rsidRDefault="00EB4089" w:rsidP="00AF3F9E">
      <w:pPr>
        <w:rPr>
          <w:lang w:val="nl-NL"/>
        </w:rPr>
      </w:pPr>
    </w:p>
    <w:p w:rsidR="00EB4089" w:rsidRDefault="00EB4089" w:rsidP="00D26B90">
      <w:pPr>
        <w:pStyle w:val="tit-5"/>
        <w:outlineLvl w:val="0"/>
        <w:rPr>
          <w:lang w:val="nl-NL"/>
        </w:rPr>
      </w:pPr>
      <w:r>
        <w:rPr>
          <w:lang w:val="nl-NL"/>
        </w:rPr>
        <w:lastRenderedPageBreak/>
        <w:t>natuurgebieden</w:t>
      </w:r>
    </w:p>
    <w:p w:rsidR="00D036C9" w:rsidRDefault="00870E16" w:rsidP="00D26B90">
      <w:pPr>
        <w:keepNext/>
      </w:pPr>
      <w:r>
        <w:t>De meeste nabije</w:t>
      </w:r>
      <w:r w:rsidR="00D036C9">
        <w:t xml:space="preserve"> natuurgebieden bevinden </w:t>
      </w:r>
      <w:r>
        <w:t>zich</w:t>
      </w:r>
      <w:r w:rsidR="00D036C9">
        <w:t xml:space="preserve"> ter hoogte van de Scheldeoevers. Deze natuurgebieden langsheen de Schelde-oevers maken (quasi integraal) deel uit van het verspreide habitatrichtlijngebied “Schelde- en Durme-estuarium van de Nederlandse grens tot Gent” en vormen eveneens een onderdeel van het VEN-gebied “De slikke</w:t>
      </w:r>
      <w:r>
        <w:t>n en schorren van de Schelde”. De minimale afstand tot deze natuurgebieden bedraagt 400 m.</w:t>
      </w:r>
      <w:r>
        <w:tab/>
      </w:r>
    </w:p>
    <w:p w:rsidR="00EB4089" w:rsidRPr="00EB4089" w:rsidRDefault="00D036C9" w:rsidP="00D26B90">
      <w:pPr>
        <w:keepNext/>
        <w:rPr>
          <w:lang w:val="nl-NL"/>
        </w:rPr>
      </w:pPr>
      <w:r>
        <w:t xml:space="preserve">Verderop in </w:t>
      </w:r>
      <w:r w:rsidR="00870E16">
        <w:t>zuidelijke</w:t>
      </w:r>
      <w:r>
        <w:t xml:space="preserve"> richting, op meer dan 1,</w:t>
      </w:r>
      <w:r w:rsidR="00870E16">
        <w:t>2</w:t>
      </w:r>
      <w:r>
        <w:t xml:space="preserve"> km, bevind</w:t>
      </w:r>
      <w:r w:rsidR="00870E16">
        <w:t>t</w:t>
      </w:r>
      <w:r>
        <w:t xml:space="preserve"> zich het VEN-gebied “</w:t>
      </w:r>
      <w:r w:rsidR="00702E27">
        <w:t>Blokkersdijk”</w:t>
      </w:r>
      <w:r>
        <w:t xml:space="preserve"> Dit VEN-gebied is eveneens gedeeltelijk opgenomen in het vogelrichtlijngebied “De Kuifeend en Blokkersdijk”.</w:t>
      </w:r>
      <w:r w:rsidR="00870E16">
        <w:t xml:space="preserve"> Ten oosten van “De Kuifeend en Blokkersdijk” bevindt zich ook nog het Sint-Annabos.</w:t>
      </w:r>
    </w:p>
    <w:p w:rsidR="008A128C" w:rsidRDefault="008A128C" w:rsidP="004F40A7">
      <w:pPr>
        <w:pStyle w:val="tit-5"/>
        <w:outlineLvl w:val="0"/>
      </w:pPr>
      <w:r>
        <w:t>monumenten en landschappen</w:t>
      </w:r>
    </w:p>
    <w:p w:rsidR="00EE4586" w:rsidRDefault="008A128C" w:rsidP="00AF3F9E">
      <w:r>
        <w:t>De terminal ligt niet in een beschermd landschap, stads- of dorpsgezicht. Het meest nabije beschermde landschappen, monu</w:t>
      </w:r>
      <w:r>
        <w:softHyphen/>
        <w:t>menten,… is “Blokkersdijk” op meer dan 1 km ten zuiden van VTE.</w:t>
      </w:r>
    </w:p>
    <w:p w:rsidR="00191362" w:rsidRDefault="00191362" w:rsidP="00AF3F9E"/>
    <w:p w:rsidR="00191362" w:rsidRPr="00191362" w:rsidRDefault="00191362" w:rsidP="00AF3F9E"/>
    <w:p w:rsidR="008C02A0" w:rsidRPr="00CF0E27" w:rsidRDefault="008C02A0" w:rsidP="00AF3F9E">
      <w:pPr>
        <w:rPr>
          <w:lang w:val="nl-NL"/>
        </w:rPr>
      </w:pPr>
    </w:p>
    <w:p w:rsidR="00883EF6" w:rsidRDefault="00883EF6" w:rsidP="00AF3F9E">
      <w:pPr>
        <w:pStyle w:val="tabel0"/>
        <w:sectPr w:rsidR="00883EF6" w:rsidSect="00883EF6">
          <w:headerReference w:type="default" r:id="rId38"/>
          <w:pgSz w:w="11909" w:h="16834" w:code="9"/>
          <w:pgMar w:top="1242" w:right="1440" w:bottom="1440" w:left="1440" w:header="454" w:footer="709" w:gutter="0"/>
          <w:pgNumType w:start="1" w:chapStyle="1" w:chapSep="period"/>
          <w:cols w:space="708"/>
        </w:sectPr>
      </w:pPr>
    </w:p>
    <w:p w:rsidR="008D4C75" w:rsidRDefault="00933B4F" w:rsidP="004F40A7">
      <w:pPr>
        <w:pStyle w:val="Heading1"/>
      </w:pPr>
      <w:bookmarkStart w:id="279" w:name="hfdst2bis"/>
      <w:bookmarkStart w:id="280" w:name="_Toc224380780"/>
      <w:bookmarkStart w:id="281" w:name="_Toc225309167"/>
      <w:bookmarkStart w:id="282" w:name="_Toc225840112"/>
      <w:bookmarkStart w:id="283" w:name="_Toc225909942"/>
      <w:bookmarkStart w:id="284" w:name="_Toc230432997"/>
      <w:bookmarkStart w:id="285" w:name="_Toc230433546"/>
      <w:bookmarkStart w:id="286" w:name="_Toc236217807"/>
      <w:bookmarkStart w:id="287" w:name="_Toc241482700"/>
      <w:bookmarkStart w:id="288" w:name="_Toc248029421"/>
      <w:bookmarkStart w:id="289" w:name="_Toc251256949"/>
      <w:bookmarkStart w:id="290" w:name="_Toc251767751"/>
      <w:bookmarkStart w:id="291" w:name="_Toc253038349"/>
      <w:bookmarkStart w:id="292" w:name="_Toc259197814"/>
      <w:bookmarkStart w:id="293" w:name="_Toc263434204"/>
      <w:bookmarkStart w:id="294" w:name="_Toc271806495"/>
      <w:bookmarkStart w:id="295" w:name="_Toc272754328"/>
      <w:bookmarkStart w:id="296" w:name="_Toc272754486"/>
      <w:bookmarkStart w:id="297" w:name="_Toc272754644"/>
      <w:bookmarkStart w:id="298" w:name="_Toc278442266"/>
      <w:bookmarkStart w:id="299" w:name="_Toc279411651"/>
      <w:bookmarkStart w:id="300" w:name="hfdst3"/>
      <w:bookmarkStart w:id="301" w:name="_Toc279480155"/>
      <w:bookmarkStart w:id="302" w:name="_Toc282505679"/>
      <w:bookmarkStart w:id="303" w:name="_Toc295920110"/>
      <w:bookmarkStart w:id="304" w:name="_Toc295923341"/>
      <w:bookmarkStart w:id="305" w:name="_Toc295923653"/>
      <w:bookmarkStart w:id="306" w:name="_Toc295995251"/>
      <w:bookmarkStart w:id="307" w:name="_Toc296004833"/>
      <w:bookmarkStart w:id="308" w:name="_Toc296085784"/>
      <w:bookmarkStart w:id="309" w:name="_Toc296330691"/>
      <w:bookmarkStart w:id="310" w:name="_Toc296419407"/>
      <w:bookmarkStart w:id="311" w:name="_Toc297286153"/>
      <w:bookmarkStart w:id="312" w:name="_Toc297542453"/>
      <w:bookmarkStart w:id="313" w:name="_Toc297546592"/>
      <w:bookmarkStart w:id="314" w:name="_Toc297546757"/>
      <w:bookmarkStart w:id="315" w:name="_Toc297546922"/>
      <w:bookmarkStart w:id="316" w:name="_Toc297547087"/>
      <w:bookmarkStart w:id="317" w:name="_Toc297553588"/>
      <w:bookmarkStart w:id="318" w:name="_Toc297649754"/>
      <w:bookmarkStart w:id="319" w:name="_Toc297722554"/>
      <w:bookmarkStart w:id="320" w:name="_Toc297725572"/>
      <w:bookmarkStart w:id="321" w:name="_Toc298161690"/>
      <w:bookmarkStart w:id="322" w:name="_Toc299981038"/>
      <w:bookmarkStart w:id="323" w:name="_Toc299981221"/>
      <w:bookmarkStart w:id="324" w:name="_Toc299981404"/>
      <w:bookmarkStart w:id="325" w:name="_Toc299982619"/>
      <w:bookmarkStart w:id="326" w:name="_Toc299982802"/>
      <w:bookmarkStart w:id="327" w:name="_Toc299985091"/>
      <w:bookmarkStart w:id="328" w:name="_Toc299986190"/>
      <w:bookmarkStart w:id="329" w:name="_Toc299986373"/>
      <w:bookmarkStart w:id="330" w:name="_Toc300045579"/>
      <w:bookmarkStart w:id="331" w:name="_Toc300232268"/>
      <w:bookmarkStart w:id="332" w:name="_Toc300303632"/>
      <w:bookmarkStart w:id="333" w:name="_Toc300559556"/>
      <w:bookmarkStart w:id="334" w:name="_Toc300560964"/>
      <w:bookmarkStart w:id="335" w:name="_Toc300561580"/>
      <w:bookmarkStart w:id="336" w:name="_Toc300561763"/>
      <w:bookmarkStart w:id="337" w:name="_Toc300562710"/>
      <w:bookmarkStart w:id="338" w:name="_Toc311109211"/>
      <w:bookmarkStart w:id="339" w:name="_Toc311212576"/>
      <w:bookmarkStart w:id="340" w:name="_Toc311451843"/>
      <w:bookmarkStart w:id="341" w:name="_Toc312069204"/>
      <w:r>
        <w:lastRenderedPageBreak/>
        <w:t>J</w:t>
      </w:r>
      <w:r w:rsidR="00CB3E77">
        <w:t xml:space="preserve">uridische en beleidsmatige </w:t>
      </w:r>
      <w:r w:rsidR="008D4C75">
        <w:t>randvoorwaarden</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8D4C75" w:rsidRDefault="008D4C75" w:rsidP="00AF3F9E">
      <w:pPr>
        <w:rPr>
          <w:lang w:val="nl"/>
        </w:rPr>
        <w:sectPr w:rsidR="008D4C75" w:rsidSect="008D4C75">
          <w:headerReference w:type="default" r:id="rId39"/>
          <w:pgSz w:w="11909" w:h="16834" w:code="9"/>
          <w:pgMar w:top="1242" w:right="1440" w:bottom="1440" w:left="1440" w:header="454" w:footer="709" w:gutter="0"/>
          <w:pgNumType w:chapStyle="1" w:chapSep="period"/>
          <w:cols w:space="708"/>
        </w:sectPr>
      </w:pPr>
    </w:p>
    <w:p w:rsidR="00682010" w:rsidRDefault="0041080E" w:rsidP="004F40A7">
      <w:pPr>
        <w:pStyle w:val="tit-5"/>
        <w:outlineLvl w:val="0"/>
      </w:pPr>
      <w:r w:rsidRPr="008202BB">
        <w:lastRenderedPageBreak/>
        <w:t>Ruimtelijk ordeningsrecht</w:t>
      </w:r>
    </w:p>
    <w:tbl>
      <w:tblPr>
        <w:tblW w:w="14064" w:type="dxa"/>
        <w:tblInd w:w="40" w:type="dxa"/>
        <w:tblLayout w:type="fixed"/>
        <w:tblCellMar>
          <w:left w:w="70" w:type="dxa"/>
          <w:right w:w="70" w:type="dxa"/>
        </w:tblCellMar>
        <w:tblLook w:val="0000"/>
      </w:tblPr>
      <w:tblGrid>
        <w:gridCol w:w="2298"/>
        <w:gridCol w:w="4536"/>
        <w:gridCol w:w="993"/>
        <w:gridCol w:w="6237"/>
      </w:tblGrid>
      <w:tr w:rsidR="005F52C8" w:rsidRPr="00211AAC" w:rsidTr="006E0211">
        <w:trPr>
          <w:cantSplit/>
          <w:trHeight w:val="494"/>
          <w:tblHeader/>
        </w:trPr>
        <w:tc>
          <w:tcPr>
            <w:tcW w:w="2298" w:type="dxa"/>
            <w:tcBorders>
              <w:top w:val="single" w:sz="4" w:space="0" w:color="auto"/>
              <w:bottom w:val="single" w:sz="4" w:space="0" w:color="auto"/>
            </w:tcBorders>
            <w:shd w:val="clear" w:color="auto" w:fill="E0E0E0"/>
          </w:tcPr>
          <w:p w:rsidR="005F52C8" w:rsidRDefault="005F52C8" w:rsidP="00AF3F9E">
            <w:pPr>
              <w:pStyle w:val="normaltabel0"/>
            </w:pPr>
          </w:p>
        </w:tc>
        <w:tc>
          <w:tcPr>
            <w:tcW w:w="4536" w:type="dxa"/>
            <w:tcBorders>
              <w:top w:val="single" w:sz="4" w:space="0" w:color="auto"/>
              <w:bottom w:val="single" w:sz="4" w:space="0" w:color="auto"/>
            </w:tcBorders>
            <w:shd w:val="clear" w:color="auto" w:fill="E0E0E0"/>
          </w:tcPr>
          <w:p w:rsidR="005F52C8" w:rsidRDefault="005F52C8" w:rsidP="00AF3F9E">
            <w:pPr>
              <w:pStyle w:val="normaltabel0"/>
            </w:pPr>
            <w:r>
              <w:t>Korte inhoud</w:t>
            </w:r>
          </w:p>
        </w:tc>
        <w:tc>
          <w:tcPr>
            <w:tcW w:w="993" w:type="dxa"/>
            <w:tcBorders>
              <w:top w:val="single" w:sz="4" w:space="0" w:color="auto"/>
              <w:bottom w:val="single" w:sz="4" w:space="0" w:color="auto"/>
            </w:tcBorders>
            <w:shd w:val="clear" w:color="auto" w:fill="E0E0E0"/>
          </w:tcPr>
          <w:p w:rsidR="005F52C8" w:rsidRPr="00792421" w:rsidRDefault="005F52C8" w:rsidP="00AF3F9E">
            <w:pPr>
              <w:pStyle w:val="normaltabel0"/>
            </w:pPr>
            <w:r w:rsidRPr="00792421">
              <w:t>Relevant?</w:t>
            </w:r>
          </w:p>
        </w:tc>
        <w:tc>
          <w:tcPr>
            <w:tcW w:w="6237" w:type="dxa"/>
            <w:tcBorders>
              <w:top w:val="single" w:sz="4" w:space="0" w:color="auto"/>
              <w:bottom w:val="single" w:sz="4" w:space="0" w:color="auto"/>
            </w:tcBorders>
            <w:shd w:val="clear" w:color="auto" w:fill="E0E0E0"/>
          </w:tcPr>
          <w:p w:rsidR="005F52C8" w:rsidRPr="00792421" w:rsidRDefault="005F52C8" w:rsidP="00AF3F9E">
            <w:pPr>
              <w:pStyle w:val="normaltabel0"/>
            </w:pPr>
            <w:r w:rsidRPr="00792421">
              <w:t>Bespreking relevantie</w:t>
            </w:r>
          </w:p>
        </w:tc>
      </w:tr>
      <w:tr w:rsidR="005F52C8" w:rsidRPr="00211AAC" w:rsidTr="006E0211">
        <w:trPr>
          <w:trHeight w:val="247"/>
          <w:tblHeader/>
        </w:trPr>
        <w:tc>
          <w:tcPr>
            <w:tcW w:w="2298" w:type="dxa"/>
          </w:tcPr>
          <w:p w:rsidR="005F52C8" w:rsidRDefault="005F52C8" w:rsidP="00AF3F9E">
            <w:pPr>
              <w:pStyle w:val="normaltabel"/>
            </w:pPr>
            <w:r>
              <w:t>Gewestplan Antwerpen</w:t>
            </w:r>
          </w:p>
        </w:tc>
        <w:tc>
          <w:tcPr>
            <w:tcW w:w="4536" w:type="dxa"/>
          </w:tcPr>
          <w:p w:rsidR="005F52C8" w:rsidRDefault="005F52C8" w:rsidP="00AF3F9E">
            <w:pPr>
              <w:pStyle w:val="normaltabel"/>
            </w:pPr>
            <w:r>
              <w:t>De gewestplannen leggen de bestemmingen van de gronden in Vlaanderen vast.</w:t>
            </w:r>
          </w:p>
        </w:tc>
        <w:tc>
          <w:tcPr>
            <w:tcW w:w="993" w:type="dxa"/>
            <w:tcBorders>
              <w:top w:val="single" w:sz="4" w:space="0" w:color="auto"/>
            </w:tcBorders>
            <w:shd w:val="clear" w:color="auto" w:fill="auto"/>
          </w:tcPr>
          <w:p w:rsidR="005F52C8" w:rsidRPr="00792421" w:rsidRDefault="005F52C8" w:rsidP="00AF3F9E">
            <w:pPr>
              <w:pStyle w:val="normaltabel"/>
            </w:pPr>
            <w:r w:rsidRPr="00792421">
              <w:t>Ja</w:t>
            </w:r>
          </w:p>
        </w:tc>
        <w:tc>
          <w:tcPr>
            <w:tcW w:w="6237" w:type="dxa"/>
            <w:tcBorders>
              <w:top w:val="single" w:sz="4" w:space="0" w:color="auto"/>
            </w:tcBorders>
            <w:shd w:val="clear" w:color="auto" w:fill="auto"/>
          </w:tcPr>
          <w:p w:rsidR="005F52C8" w:rsidRPr="00792421" w:rsidRDefault="005F52C8" w:rsidP="00AF3F9E">
            <w:pPr>
              <w:pStyle w:val="normaltabel"/>
            </w:pPr>
            <w:r w:rsidRPr="00792421">
              <w:t xml:space="preserve">Conform het gewestplan is het projectgebied gelegen in </w:t>
            </w:r>
            <w:r>
              <w:t xml:space="preserve">een zone met als bestemming </w:t>
            </w:r>
            <w:r w:rsidRPr="00792421">
              <w:t>industriegebied. De</w:t>
            </w:r>
            <w:r>
              <w:t>ze</w:t>
            </w:r>
            <w:r w:rsidRPr="00792421">
              <w:t xml:space="preserve"> bestemming legt geen beperking op voor het project. </w:t>
            </w:r>
          </w:p>
        </w:tc>
      </w:tr>
      <w:tr w:rsidR="005F52C8" w:rsidRPr="00D07131" w:rsidTr="006E0211">
        <w:trPr>
          <w:trHeight w:val="247"/>
          <w:tblHeader/>
        </w:trPr>
        <w:tc>
          <w:tcPr>
            <w:tcW w:w="2298" w:type="dxa"/>
            <w:shd w:val="clear" w:color="auto" w:fill="auto"/>
          </w:tcPr>
          <w:p w:rsidR="005F52C8" w:rsidRPr="00D07131" w:rsidRDefault="005F52C8" w:rsidP="00AF3F9E">
            <w:pPr>
              <w:pStyle w:val="normaltabel"/>
            </w:pPr>
            <w:r w:rsidRPr="00D07131">
              <w:t xml:space="preserve">GRUP Afbakening grootstedelijk gebied </w:t>
            </w:r>
            <w:r>
              <w:t>Antwerpen</w:t>
            </w:r>
            <w:r w:rsidRPr="00D07131">
              <w:t xml:space="preserve"> (</w:t>
            </w:r>
            <w:r>
              <w:t>19/06/2009</w:t>
            </w:r>
            <w:r w:rsidRPr="00D07131">
              <w:t>)</w:t>
            </w:r>
          </w:p>
        </w:tc>
        <w:tc>
          <w:tcPr>
            <w:tcW w:w="4536" w:type="dxa"/>
            <w:shd w:val="clear" w:color="auto" w:fill="auto"/>
          </w:tcPr>
          <w:p w:rsidR="005F52C8" w:rsidRPr="00D07131" w:rsidRDefault="005F52C8" w:rsidP="00AF3F9E">
            <w:pPr>
              <w:pStyle w:val="normaltabel"/>
            </w:pPr>
            <w:r w:rsidRPr="00D07131">
              <w:t xml:space="preserve">In dit plan geeft de Vlaamse Regering aan binnen welke afbakeningslijn zij het stedelijk gebied </w:t>
            </w:r>
            <w:r>
              <w:t>Antwerpen</w:t>
            </w:r>
            <w:r w:rsidRPr="00D07131">
              <w:t xml:space="preserve"> wil zien ontwikkelen.</w:t>
            </w:r>
          </w:p>
        </w:tc>
        <w:tc>
          <w:tcPr>
            <w:tcW w:w="993" w:type="dxa"/>
            <w:shd w:val="clear" w:color="auto" w:fill="auto"/>
          </w:tcPr>
          <w:p w:rsidR="005F52C8" w:rsidRPr="00D07131" w:rsidRDefault="005F52C8" w:rsidP="00AF3F9E">
            <w:pPr>
              <w:pStyle w:val="normaltabel"/>
            </w:pPr>
            <w:r>
              <w:t>Nee</w:t>
            </w:r>
          </w:p>
        </w:tc>
        <w:tc>
          <w:tcPr>
            <w:tcW w:w="6237" w:type="dxa"/>
            <w:shd w:val="clear" w:color="auto" w:fill="auto"/>
          </w:tcPr>
          <w:p w:rsidR="005F52C8" w:rsidRPr="00D07131" w:rsidRDefault="00C325A0" w:rsidP="00AF3F9E">
            <w:pPr>
              <w:pStyle w:val="normaltabel"/>
            </w:pPr>
            <w:r>
              <w:fldChar w:fldCharType="begin"/>
            </w:r>
            <w:r w:rsidR="008202BB">
              <w:instrText xml:space="preserve"> klant </w:instrText>
            </w:r>
            <w:r>
              <w:fldChar w:fldCharType="separate"/>
            </w:r>
            <w:r w:rsidR="008102D8">
              <w:t xml:space="preserve">Vopak Terminal Eurotank NV </w:t>
            </w:r>
            <w:r>
              <w:fldChar w:fldCharType="end"/>
            </w:r>
            <w:r w:rsidR="008202BB">
              <w:t xml:space="preserve"> </w:t>
            </w:r>
            <w:r w:rsidR="005F52C8" w:rsidRPr="00D07131">
              <w:t xml:space="preserve">is gelegen </w:t>
            </w:r>
            <w:r w:rsidR="005F52C8">
              <w:t>buiten</w:t>
            </w:r>
            <w:r w:rsidR="005F52C8" w:rsidRPr="00D07131">
              <w:t xml:space="preserve"> de afbakeningslijn</w:t>
            </w:r>
            <w:r w:rsidR="005F52C8">
              <w:t>. De bestemmingswijzigingen in dit GRUP zijn bijgevolg niet relevant met betrekking tot onderhavig project.</w:t>
            </w:r>
          </w:p>
        </w:tc>
      </w:tr>
      <w:tr w:rsidR="003B1897" w:rsidRPr="00D07131" w:rsidTr="006E0211">
        <w:trPr>
          <w:trHeight w:val="247"/>
          <w:tblHeader/>
        </w:trPr>
        <w:tc>
          <w:tcPr>
            <w:tcW w:w="2298" w:type="dxa"/>
            <w:shd w:val="clear" w:color="auto" w:fill="auto"/>
          </w:tcPr>
          <w:p w:rsidR="003B1897" w:rsidRPr="00D07131" w:rsidRDefault="003B1897" w:rsidP="00AF3F9E">
            <w:pPr>
              <w:pStyle w:val="normaltabel"/>
            </w:pPr>
            <w:r>
              <w:t>GRUP Zeehavengebied Antwerpen rechteroever</w:t>
            </w:r>
          </w:p>
        </w:tc>
        <w:tc>
          <w:tcPr>
            <w:tcW w:w="4536" w:type="dxa"/>
            <w:shd w:val="clear" w:color="auto" w:fill="auto"/>
          </w:tcPr>
          <w:p w:rsidR="003B1897" w:rsidRPr="00D07131" w:rsidRDefault="003B1897" w:rsidP="00AF3F9E">
            <w:pPr>
              <w:pStyle w:val="normaltabel"/>
            </w:pPr>
          </w:p>
        </w:tc>
        <w:tc>
          <w:tcPr>
            <w:tcW w:w="993" w:type="dxa"/>
            <w:shd w:val="clear" w:color="auto" w:fill="auto"/>
          </w:tcPr>
          <w:p w:rsidR="003B1897" w:rsidRDefault="006E20BD" w:rsidP="00AF3F9E">
            <w:pPr>
              <w:pStyle w:val="normaltabel"/>
            </w:pPr>
            <w:r>
              <w:t>Ja</w:t>
            </w:r>
          </w:p>
        </w:tc>
        <w:tc>
          <w:tcPr>
            <w:tcW w:w="6237" w:type="dxa"/>
            <w:shd w:val="clear" w:color="auto" w:fill="auto"/>
          </w:tcPr>
          <w:p w:rsidR="003B1897" w:rsidRPr="00A94555" w:rsidRDefault="00C325A0" w:rsidP="00AF3F9E">
            <w:pPr>
              <w:pStyle w:val="normaltabel"/>
              <w:rPr>
                <w:highlight w:val="yellow"/>
              </w:rPr>
            </w:pPr>
            <w:fldSimple w:instr=" REF klant \h  \* MERGEFORMAT ">
              <w:r w:rsidR="008102D8">
                <w:t xml:space="preserve">Vopak Terminal Eurotank NV </w:t>
              </w:r>
            </w:fldSimple>
            <w:r w:rsidR="006E20BD" w:rsidRPr="00E537F6">
              <w:t xml:space="preserve"> </w:t>
            </w:r>
            <w:r w:rsidR="006E20BD">
              <w:t>is gelegen in zeehavengebied Antwerpen</w:t>
            </w:r>
          </w:p>
        </w:tc>
      </w:tr>
      <w:tr w:rsidR="005F52C8" w:rsidRPr="00211AAC" w:rsidTr="006E0211">
        <w:trPr>
          <w:trHeight w:val="247"/>
          <w:tblHeader/>
        </w:trPr>
        <w:tc>
          <w:tcPr>
            <w:tcW w:w="2298" w:type="dxa"/>
            <w:shd w:val="clear" w:color="auto" w:fill="auto"/>
          </w:tcPr>
          <w:p w:rsidR="005F52C8" w:rsidRDefault="005F52C8" w:rsidP="00AF3F9E">
            <w:pPr>
              <w:pStyle w:val="normaltabel0"/>
            </w:pPr>
            <w:r>
              <w:t>Vlaamse codex Ruimtelijke ordening (in voege sinds 1/9/2009)</w:t>
            </w:r>
          </w:p>
        </w:tc>
        <w:tc>
          <w:tcPr>
            <w:tcW w:w="4536" w:type="dxa"/>
            <w:shd w:val="clear" w:color="auto" w:fill="auto"/>
          </w:tcPr>
          <w:p w:rsidR="005F52C8" w:rsidRDefault="005F52C8" w:rsidP="00AF3F9E">
            <w:pPr>
              <w:pStyle w:val="normaltabel0"/>
            </w:pPr>
            <w:r w:rsidRPr="00B12642">
              <w:t>De Vlaa</w:t>
            </w:r>
            <w:r>
              <w:t xml:space="preserve">mse Codex Ruimtelijke Ordening is </w:t>
            </w:r>
            <w:r w:rsidRPr="00B12642">
              <w:t>een coördinatie van het</w:t>
            </w:r>
            <w:r>
              <w:t xml:space="preserve"> vroegere</w:t>
            </w:r>
            <w:r w:rsidRPr="00B12642">
              <w:t xml:space="preserve"> decreet ruimtelijk</w:t>
            </w:r>
            <w:r>
              <w:t>e ordening. In deze codex en bijhorende uitvoeringsbesluiten is oa. bepaald voor welke activiteiten een stedenbouwkundige vergunning dient aangevraagd te worden.</w:t>
            </w:r>
          </w:p>
        </w:tc>
        <w:tc>
          <w:tcPr>
            <w:tcW w:w="993" w:type="dxa"/>
            <w:shd w:val="clear" w:color="auto" w:fill="auto"/>
          </w:tcPr>
          <w:p w:rsidR="005F52C8" w:rsidRPr="005C307C" w:rsidRDefault="006E20BD" w:rsidP="00AF3F9E">
            <w:pPr>
              <w:pStyle w:val="normaltabel0"/>
            </w:pPr>
            <w:r>
              <w:t>Ja</w:t>
            </w:r>
          </w:p>
        </w:tc>
        <w:tc>
          <w:tcPr>
            <w:tcW w:w="6237" w:type="dxa"/>
            <w:shd w:val="clear" w:color="auto" w:fill="auto"/>
          </w:tcPr>
          <w:p w:rsidR="005F52C8" w:rsidRPr="005C307C" w:rsidRDefault="005F52C8" w:rsidP="00AF3F9E">
            <w:pPr>
              <w:pStyle w:val="normaltabel0"/>
            </w:pPr>
            <w:r>
              <w:t>De bouw van het voorziene tankenpark is onderworpen aan de bouwvergunningsplicht.</w:t>
            </w:r>
          </w:p>
        </w:tc>
      </w:tr>
      <w:tr w:rsidR="005F52C8" w:rsidRPr="00211AAC" w:rsidTr="006E0211">
        <w:trPr>
          <w:trHeight w:val="247"/>
          <w:tblHeader/>
        </w:trPr>
        <w:tc>
          <w:tcPr>
            <w:tcW w:w="2298" w:type="dxa"/>
            <w:tcBorders>
              <w:bottom w:val="single" w:sz="4" w:space="0" w:color="auto"/>
            </w:tcBorders>
            <w:shd w:val="clear" w:color="auto" w:fill="auto"/>
          </w:tcPr>
          <w:p w:rsidR="005F52C8" w:rsidRPr="00135361" w:rsidRDefault="005F52C8" w:rsidP="00AF3F9E">
            <w:pPr>
              <w:pStyle w:val="normaltabel0"/>
            </w:pPr>
            <w:r>
              <w:t>Stedenbouwkundige verordening inzake hemelwaterputten, infiltratievoorzieningen, …</w:t>
            </w:r>
            <w:r>
              <w:br/>
              <w:t>(1/10/2004)</w:t>
            </w:r>
          </w:p>
        </w:tc>
        <w:tc>
          <w:tcPr>
            <w:tcW w:w="4536" w:type="dxa"/>
            <w:tcBorders>
              <w:bottom w:val="single" w:sz="4" w:space="0" w:color="auto"/>
            </w:tcBorders>
            <w:shd w:val="clear" w:color="auto" w:fill="auto"/>
          </w:tcPr>
          <w:p w:rsidR="005F52C8" w:rsidRPr="00921A3E" w:rsidRDefault="005F52C8" w:rsidP="00AF3F9E">
            <w:pPr>
              <w:pStyle w:val="normaltabel0"/>
            </w:pPr>
            <w:r w:rsidRPr="00921A3E">
              <w:t>De verordening bevat minimale voorschriften voor de lozing van niet-verontreinigd hemelwater, afkomstig van verharde oppervlakken. Het algemeen uitgangsprincipe hierbij is dat hemelwater in eerste instantie zoveel mogelijk gebruikt wordt. In tweede instantie moet het resterende gedeelte van het hemelwater worden geïnfiltreerd of gebufferd, zodat in laatste instantie slechts een beperkt debiet vertraagd wordt afgevoerd. Ook de plaatsing van de overloop van de hemelwaterput en de infiltratievoorziening dient aan dit principe te beantwoorden.</w:t>
            </w:r>
          </w:p>
        </w:tc>
        <w:tc>
          <w:tcPr>
            <w:tcW w:w="993" w:type="dxa"/>
            <w:tcBorders>
              <w:bottom w:val="single" w:sz="4" w:space="0" w:color="auto"/>
            </w:tcBorders>
            <w:shd w:val="clear" w:color="auto" w:fill="auto"/>
          </w:tcPr>
          <w:p w:rsidR="005F52C8" w:rsidRPr="005C307C" w:rsidRDefault="006E20BD" w:rsidP="00AF3F9E">
            <w:pPr>
              <w:pStyle w:val="normaltabel0"/>
            </w:pPr>
            <w:r>
              <w:t>Ja</w:t>
            </w:r>
          </w:p>
        </w:tc>
        <w:tc>
          <w:tcPr>
            <w:tcW w:w="6237" w:type="dxa"/>
            <w:tcBorders>
              <w:bottom w:val="single" w:sz="4" w:space="0" w:color="auto"/>
            </w:tcBorders>
            <w:shd w:val="clear" w:color="auto" w:fill="auto"/>
          </w:tcPr>
          <w:p w:rsidR="005F52C8" w:rsidRPr="005C307C" w:rsidRDefault="005F52C8" w:rsidP="00AF3F9E">
            <w:pPr>
              <w:pStyle w:val="normaltabel0"/>
            </w:pPr>
            <w:r>
              <w:t>In kader van het project worden er nieuwe verhardingen aangelegd.</w:t>
            </w:r>
          </w:p>
        </w:tc>
      </w:tr>
    </w:tbl>
    <w:p w:rsidR="00EE4586" w:rsidRPr="00EE4586" w:rsidRDefault="00EE4586" w:rsidP="00AF3F9E"/>
    <w:p w:rsidR="0041080E" w:rsidRDefault="00613716" w:rsidP="004F40A7">
      <w:pPr>
        <w:pStyle w:val="tit-5"/>
        <w:outlineLvl w:val="0"/>
      </w:pPr>
      <w:r>
        <w:br w:type="page"/>
      </w:r>
      <w:r w:rsidR="0041080E">
        <w:lastRenderedPageBreak/>
        <w:t>Milieubeheerrecht</w:t>
      </w:r>
    </w:p>
    <w:tbl>
      <w:tblPr>
        <w:tblW w:w="14064" w:type="dxa"/>
        <w:tblInd w:w="40" w:type="dxa"/>
        <w:tblLayout w:type="fixed"/>
        <w:tblCellMar>
          <w:left w:w="70" w:type="dxa"/>
          <w:right w:w="70" w:type="dxa"/>
        </w:tblCellMar>
        <w:tblLook w:val="0000"/>
      </w:tblPr>
      <w:tblGrid>
        <w:gridCol w:w="2298"/>
        <w:gridCol w:w="4555"/>
        <w:gridCol w:w="974"/>
        <w:gridCol w:w="6237"/>
      </w:tblGrid>
      <w:tr w:rsidR="00EE4586" w:rsidRPr="00211AAC" w:rsidTr="006E0211">
        <w:trPr>
          <w:trHeight w:val="494"/>
          <w:tblHeader/>
        </w:trPr>
        <w:tc>
          <w:tcPr>
            <w:tcW w:w="2298" w:type="dxa"/>
            <w:tcBorders>
              <w:top w:val="single" w:sz="4" w:space="0" w:color="auto"/>
              <w:bottom w:val="single" w:sz="4" w:space="0" w:color="auto"/>
            </w:tcBorders>
            <w:shd w:val="clear" w:color="auto" w:fill="E0E0E0"/>
          </w:tcPr>
          <w:p w:rsidR="00EE4586" w:rsidRDefault="00EE4586" w:rsidP="00AF3F9E">
            <w:pPr>
              <w:pStyle w:val="normaltabel0"/>
            </w:pPr>
            <w:r>
              <w:rPr>
                <w:lang w:eastAsia="en-US"/>
              </w:rPr>
              <w:br w:type="page"/>
            </w:r>
          </w:p>
        </w:tc>
        <w:tc>
          <w:tcPr>
            <w:tcW w:w="4555" w:type="dxa"/>
            <w:tcBorders>
              <w:top w:val="single" w:sz="4" w:space="0" w:color="auto"/>
              <w:bottom w:val="single" w:sz="4" w:space="0" w:color="auto"/>
            </w:tcBorders>
            <w:shd w:val="clear" w:color="auto" w:fill="E0E0E0"/>
          </w:tcPr>
          <w:p w:rsidR="00EE4586" w:rsidRDefault="00EE4586" w:rsidP="00AF3F9E">
            <w:pPr>
              <w:pStyle w:val="normaltabel0"/>
            </w:pPr>
            <w:r>
              <w:t>Korte inhoud</w:t>
            </w:r>
          </w:p>
        </w:tc>
        <w:tc>
          <w:tcPr>
            <w:tcW w:w="974" w:type="dxa"/>
            <w:tcBorders>
              <w:top w:val="single" w:sz="4" w:space="0" w:color="auto"/>
              <w:bottom w:val="single" w:sz="4" w:space="0" w:color="auto"/>
            </w:tcBorders>
            <w:shd w:val="clear" w:color="auto" w:fill="E0E0E0"/>
          </w:tcPr>
          <w:p w:rsidR="00EE4586" w:rsidRPr="005C307C" w:rsidRDefault="00EE4586" w:rsidP="00AF3F9E">
            <w:pPr>
              <w:pStyle w:val="normaltabel0"/>
            </w:pPr>
            <w:r w:rsidRPr="005C307C">
              <w:t>Relevant?</w:t>
            </w:r>
          </w:p>
        </w:tc>
        <w:tc>
          <w:tcPr>
            <w:tcW w:w="6237" w:type="dxa"/>
            <w:tcBorders>
              <w:top w:val="single" w:sz="4" w:space="0" w:color="auto"/>
              <w:bottom w:val="single" w:sz="4" w:space="0" w:color="auto"/>
            </w:tcBorders>
            <w:shd w:val="clear" w:color="auto" w:fill="E0E0E0"/>
          </w:tcPr>
          <w:p w:rsidR="00EE4586" w:rsidRPr="005C307C" w:rsidRDefault="00EE4586" w:rsidP="00AF3F9E">
            <w:pPr>
              <w:pStyle w:val="normaltabel0"/>
            </w:pPr>
            <w:r w:rsidRPr="005C307C">
              <w:t>Bespreking relevantie</w:t>
            </w:r>
          </w:p>
        </w:tc>
      </w:tr>
      <w:tr w:rsidR="00EE4586" w:rsidRPr="00211AAC" w:rsidTr="006E0211">
        <w:trPr>
          <w:trHeight w:val="247"/>
        </w:trPr>
        <w:tc>
          <w:tcPr>
            <w:tcW w:w="2298" w:type="dxa"/>
            <w:shd w:val="clear" w:color="auto" w:fill="auto"/>
          </w:tcPr>
          <w:p w:rsidR="00EE4586" w:rsidRDefault="00EE4586" w:rsidP="00AF3F9E">
            <w:pPr>
              <w:pStyle w:val="normaltabel0"/>
            </w:pPr>
            <w:r>
              <w:t xml:space="preserve">Decreet natuurbehoud </w:t>
            </w:r>
            <w:r>
              <w:br/>
              <w:t>(d.d. 21/10/1997 en latere wijzgingen) – incl. bijhorende uitvoeringsbesluiten</w:t>
            </w:r>
          </w:p>
        </w:tc>
        <w:tc>
          <w:tcPr>
            <w:tcW w:w="4555" w:type="dxa"/>
            <w:shd w:val="clear" w:color="auto" w:fill="auto"/>
          </w:tcPr>
          <w:p w:rsidR="00EE4586" w:rsidRDefault="00EE4586" w:rsidP="00AF3F9E">
            <w:pPr>
              <w:pStyle w:val="normaltabel0"/>
            </w:pPr>
            <w:r>
              <w:t>Het decreet vormt de basis voor de afbakening van VEN-gebieden en legt verbods- en gebodsbepalingen voor handelingen in VEN-gebied, vogelrichtlijngebied en habitatrichtlijngebied alsmede de verplichting tot het uitvoeren van een habitattoets m.b.t. speciale beschermingszones.</w:t>
            </w:r>
          </w:p>
        </w:tc>
        <w:tc>
          <w:tcPr>
            <w:tcW w:w="974" w:type="dxa"/>
            <w:tcBorders>
              <w:top w:val="single" w:sz="4" w:space="0" w:color="auto"/>
            </w:tcBorders>
            <w:shd w:val="clear" w:color="auto" w:fill="auto"/>
          </w:tcPr>
          <w:p w:rsidR="00EE4586" w:rsidRPr="00D152DD" w:rsidRDefault="005F52C8" w:rsidP="00AF3F9E">
            <w:pPr>
              <w:pStyle w:val="normaltabel0"/>
            </w:pPr>
            <w:r>
              <w:t>Ja</w:t>
            </w:r>
          </w:p>
        </w:tc>
        <w:tc>
          <w:tcPr>
            <w:tcW w:w="6237" w:type="dxa"/>
            <w:tcBorders>
              <w:top w:val="single" w:sz="4" w:space="0" w:color="auto"/>
            </w:tcBorders>
            <w:shd w:val="clear" w:color="auto" w:fill="auto"/>
          </w:tcPr>
          <w:p w:rsidR="00EE4586" w:rsidRDefault="005F52C8" w:rsidP="00AF3F9E">
            <w:pPr>
              <w:pStyle w:val="normaltabel0"/>
            </w:pPr>
            <w:r>
              <w:t>De meest nabijgelegen VEN-gebieden zijn het Slikken en schorren langsheen de Schelde (linker en rechter Schelde-oever ten W en Z van het projectgebied</w:t>
            </w:r>
            <w:r w:rsidR="006D5B0C">
              <w:t xml:space="preserve"> op minstens 400 m</w:t>
            </w:r>
            <w:r>
              <w:t xml:space="preserve">) en </w:t>
            </w:r>
            <w:r w:rsidR="006D5B0C">
              <w:t>“</w:t>
            </w:r>
            <w:r>
              <w:t xml:space="preserve">De </w:t>
            </w:r>
            <w:r w:rsidR="006D5B0C">
              <w:t xml:space="preserve">blokkersdijk” </w:t>
            </w:r>
            <w:r>
              <w:t xml:space="preserve">op ca. </w:t>
            </w:r>
            <w:r w:rsidR="006D5B0C">
              <w:t>1,2</w:t>
            </w:r>
            <w:r>
              <w:t xml:space="preserve"> km ten </w:t>
            </w:r>
            <w:r w:rsidR="006D5B0C">
              <w:t>Z, en”De kuifeend” op ca. 3,5 km ten N.</w:t>
            </w:r>
          </w:p>
          <w:p w:rsidR="005F52C8" w:rsidRPr="00D152DD" w:rsidRDefault="005F52C8" w:rsidP="00AF3F9E">
            <w:pPr>
              <w:pStyle w:val="normaltabel0"/>
            </w:pPr>
            <w:r>
              <w:t>Specifieke aandacht wordt besteed aan de bepalingen van het vegetatiewijzigingsbesluit, de zorgplicht, het stand-still principe en het voorkomen van vermijdbare schade aan VEN-gebieden.</w:t>
            </w:r>
          </w:p>
        </w:tc>
      </w:tr>
      <w:tr w:rsidR="005F52C8" w:rsidRPr="00211AAC" w:rsidTr="006E0211">
        <w:trPr>
          <w:trHeight w:val="247"/>
        </w:trPr>
        <w:tc>
          <w:tcPr>
            <w:tcW w:w="2298" w:type="dxa"/>
            <w:shd w:val="clear" w:color="auto" w:fill="auto"/>
          </w:tcPr>
          <w:p w:rsidR="005F52C8" w:rsidRDefault="005F52C8" w:rsidP="00AF3F9E">
            <w:pPr>
              <w:pStyle w:val="normaltabel0"/>
            </w:pPr>
            <w:r>
              <w:t>Bosdecreet</w:t>
            </w:r>
          </w:p>
        </w:tc>
        <w:tc>
          <w:tcPr>
            <w:tcW w:w="4555" w:type="dxa"/>
            <w:shd w:val="clear" w:color="auto" w:fill="auto"/>
          </w:tcPr>
          <w:p w:rsidR="005F52C8" w:rsidRPr="005F52C8" w:rsidRDefault="005F52C8" w:rsidP="00AF3F9E">
            <w:pPr>
              <w:pStyle w:val="normaltabel0"/>
            </w:pPr>
            <w:r w:rsidRPr="005F52C8">
              <w:t>Regelt het behoud, bescherming, aanleg en beheer van bossen. Regelt ook kappingen, vergunningsvoorwaarden en compensaties</w:t>
            </w:r>
          </w:p>
        </w:tc>
        <w:tc>
          <w:tcPr>
            <w:tcW w:w="974" w:type="dxa"/>
            <w:shd w:val="clear" w:color="auto" w:fill="auto"/>
          </w:tcPr>
          <w:p w:rsidR="005F52C8" w:rsidRPr="00D152DD" w:rsidRDefault="005F52C8" w:rsidP="00AF3F9E">
            <w:pPr>
              <w:pStyle w:val="normaltabel0"/>
            </w:pPr>
            <w:r>
              <w:t>Nee</w:t>
            </w:r>
          </w:p>
        </w:tc>
        <w:tc>
          <w:tcPr>
            <w:tcW w:w="6237" w:type="dxa"/>
            <w:shd w:val="clear" w:color="auto" w:fill="auto"/>
          </w:tcPr>
          <w:p w:rsidR="005F52C8" w:rsidRDefault="005F52C8" w:rsidP="00AF3F9E">
            <w:pPr>
              <w:pStyle w:val="normaltabel0"/>
            </w:pPr>
            <w:r>
              <w:t>Ter hoogte van het projectgebied komen geen beboste percelen voor.</w:t>
            </w:r>
          </w:p>
        </w:tc>
      </w:tr>
      <w:tr w:rsidR="00EE4586" w:rsidRPr="00211AAC" w:rsidTr="006E0211">
        <w:trPr>
          <w:trHeight w:val="247"/>
        </w:trPr>
        <w:tc>
          <w:tcPr>
            <w:tcW w:w="2298" w:type="dxa"/>
            <w:shd w:val="clear" w:color="auto" w:fill="auto"/>
          </w:tcPr>
          <w:p w:rsidR="00EE4586" w:rsidRDefault="00EE4586" w:rsidP="00AF3F9E">
            <w:pPr>
              <w:pStyle w:val="normaltabel0"/>
            </w:pPr>
            <w:r>
              <w:t>Vogelrichtlijn (79/409/EEG met uitbreiding 85/411/EEG)</w:t>
            </w:r>
          </w:p>
          <w:p w:rsidR="00EE4586" w:rsidRDefault="00EE4586" w:rsidP="00AF3F9E">
            <w:pPr>
              <w:pStyle w:val="normaltabel0"/>
            </w:pPr>
          </w:p>
        </w:tc>
        <w:tc>
          <w:tcPr>
            <w:tcW w:w="4555" w:type="dxa"/>
            <w:shd w:val="clear" w:color="auto" w:fill="auto"/>
          </w:tcPr>
          <w:p w:rsidR="00EE4586" w:rsidRDefault="00EE4586" w:rsidP="00AF3F9E">
            <w:pPr>
              <w:pStyle w:val="normaltabel0"/>
            </w:pPr>
            <w:r>
              <w:t>De vogelrichtlijn heeft tot doel de instandhouding te bevorderen van alle natuurlijk in het wild levende vogelsoorten op het Europese grondgebied. Hiertoe worden speciale beschermingszones afgebakend en maatregelen voor deze zones opgelegd.</w:t>
            </w:r>
          </w:p>
        </w:tc>
        <w:tc>
          <w:tcPr>
            <w:tcW w:w="974" w:type="dxa"/>
            <w:shd w:val="clear" w:color="auto" w:fill="auto"/>
          </w:tcPr>
          <w:p w:rsidR="00EE4586" w:rsidRPr="00D152DD" w:rsidRDefault="00691731" w:rsidP="00AF3F9E">
            <w:pPr>
              <w:pStyle w:val="normaltabel0"/>
            </w:pPr>
            <w:r>
              <w:t>Nee</w:t>
            </w:r>
          </w:p>
        </w:tc>
        <w:tc>
          <w:tcPr>
            <w:tcW w:w="6237" w:type="dxa"/>
            <w:shd w:val="clear" w:color="auto" w:fill="auto"/>
          </w:tcPr>
          <w:p w:rsidR="00246AB9" w:rsidRDefault="005F52C8">
            <w:pPr>
              <w:pStyle w:val="normaltabel0"/>
            </w:pPr>
            <w:r>
              <w:t xml:space="preserve">De dichtstbijzijnde Vogelrichtlijn- en Ramsargebieden in de omgeving zijn </w:t>
            </w:r>
            <w:r w:rsidR="006D5B0C">
              <w:t>het estuarium van de Schelde en Durme (op minstens 400 m) en “De kuifeend en b</w:t>
            </w:r>
            <w:r>
              <w:t>lokkersdijk</w:t>
            </w:r>
            <w:r w:rsidR="006D5B0C">
              <w:t>”</w:t>
            </w:r>
            <w:r>
              <w:t xml:space="preserve"> op ca. </w:t>
            </w:r>
            <w:r w:rsidR="00702E27">
              <w:t>1,</w:t>
            </w:r>
            <w:r>
              <w:t>2 km ten Z</w:t>
            </w:r>
            <w:r w:rsidR="006D5B0C">
              <w:t xml:space="preserve">. </w:t>
            </w:r>
            <w:r>
              <w:t>Gezien de ligging van deze gebieden t.o.v. de inrichting is er geen impact te verwachten.</w:t>
            </w:r>
          </w:p>
        </w:tc>
      </w:tr>
      <w:tr w:rsidR="00EE4586" w:rsidRPr="00211AAC" w:rsidTr="006E0211">
        <w:trPr>
          <w:trHeight w:val="247"/>
        </w:trPr>
        <w:tc>
          <w:tcPr>
            <w:tcW w:w="2298" w:type="dxa"/>
            <w:shd w:val="clear" w:color="auto" w:fill="auto"/>
          </w:tcPr>
          <w:p w:rsidR="00EE4586" w:rsidRDefault="00EE4586" w:rsidP="00AF3F9E">
            <w:pPr>
              <w:pStyle w:val="normaltabel0"/>
            </w:pPr>
            <w:r>
              <w:t>Habitatrichtlijn (92/43/EEG)</w:t>
            </w:r>
          </w:p>
          <w:p w:rsidR="00EE4586" w:rsidRDefault="00EE4586" w:rsidP="00AF3F9E">
            <w:pPr>
              <w:pStyle w:val="normaltabel0"/>
            </w:pPr>
          </w:p>
        </w:tc>
        <w:tc>
          <w:tcPr>
            <w:tcW w:w="4555" w:type="dxa"/>
            <w:shd w:val="clear" w:color="auto" w:fill="auto"/>
          </w:tcPr>
          <w:p w:rsidR="00EE4586" w:rsidRDefault="00EE4586" w:rsidP="00AF3F9E">
            <w:pPr>
              <w:pStyle w:val="normaltabel0"/>
            </w:pPr>
            <w:r>
              <w:t>De habitatrichtlijn heeft tot doel om de biologische diversiteit  te waarborgen door het instandhouden van de natuurlijke habitats en van de wilde fauna en flora. Hiertoe worden speciale beschermingszones afgebakend en maatregelen voor deze zones opgelegd.</w:t>
            </w:r>
          </w:p>
        </w:tc>
        <w:tc>
          <w:tcPr>
            <w:tcW w:w="974" w:type="dxa"/>
            <w:shd w:val="clear" w:color="auto" w:fill="auto"/>
          </w:tcPr>
          <w:p w:rsidR="00EE4586" w:rsidRPr="00D152DD" w:rsidRDefault="00EE4586" w:rsidP="00AF3F9E">
            <w:pPr>
              <w:pStyle w:val="normaltabel0"/>
            </w:pPr>
            <w:r w:rsidRPr="00D152DD">
              <w:t>Nee</w:t>
            </w:r>
          </w:p>
        </w:tc>
        <w:tc>
          <w:tcPr>
            <w:tcW w:w="6237" w:type="dxa"/>
            <w:shd w:val="clear" w:color="auto" w:fill="auto"/>
          </w:tcPr>
          <w:p w:rsidR="00EE4586" w:rsidRPr="00D152DD" w:rsidRDefault="000A5D47" w:rsidP="00AF3F9E">
            <w:pPr>
              <w:pStyle w:val="normaltabel0"/>
            </w:pPr>
            <w:r>
              <w:t>Habitatrichtlijngebieden in de omgeving zijn Schelde en Durme estuarium van de Nederlandse grens tot Gent (o.a. linker en rechter Schelde-oever ten W en O van het projectgebied) en de rechter Schelde-oever op ca. 1000 m ten Z.</w:t>
            </w:r>
          </w:p>
        </w:tc>
      </w:tr>
      <w:tr w:rsidR="00EE4586" w:rsidRPr="00211AAC" w:rsidTr="006E0211">
        <w:trPr>
          <w:trHeight w:val="247"/>
        </w:trPr>
        <w:tc>
          <w:tcPr>
            <w:tcW w:w="2298" w:type="dxa"/>
            <w:shd w:val="clear" w:color="auto" w:fill="auto"/>
          </w:tcPr>
          <w:p w:rsidR="00EE4586" w:rsidRDefault="00EE4586" w:rsidP="00AF3F9E">
            <w:pPr>
              <w:pStyle w:val="normaltabel0"/>
            </w:pPr>
            <w:r>
              <w:t>Onbevaarbare waterlopen</w:t>
            </w:r>
          </w:p>
          <w:p w:rsidR="00EE4586" w:rsidRDefault="00EE4586" w:rsidP="00AF3F9E">
            <w:pPr>
              <w:pStyle w:val="normaltabel0"/>
            </w:pPr>
          </w:p>
        </w:tc>
        <w:tc>
          <w:tcPr>
            <w:tcW w:w="4555" w:type="dxa"/>
            <w:shd w:val="clear" w:color="auto" w:fill="auto"/>
          </w:tcPr>
          <w:p w:rsidR="00EE4586" w:rsidRPr="00695D81" w:rsidRDefault="00EE4586" w:rsidP="00AF3F9E">
            <w:pPr>
              <w:pStyle w:val="normaltabel0"/>
            </w:pPr>
            <w:r w:rsidRPr="00695D81">
              <w:t>Regelt ondermeer de bepalingen betreffende de ‘buitengewone werken van verbetering of wijziging’ aan waterlopen.</w:t>
            </w:r>
          </w:p>
        </w:tc>
        <w:tc>
          <w:tcPr>
            <w:tcW w:w="974" w:type="dxa"/>
            <w:shd w:val="clear" w:color="auto" w:fill="auto"/>
          </w:tcPr>
          <w:p w:rsidR="00EE4586" w:rsidRPr="00D152DD" w:rsidRDefault="00EE4586" w:rsidP="00AF3F9E">
            <w:pPr>
              <w:pStyle w:val="normaltabel0"/>
            </w:pPr>
            <w:r w:rsidRPr="00D152DD">
              <w:t>Nee</w:t>
            </w:r>
          </w:p>
        </w:tc>
        <w:tc>
          <w:tcPr>
            <w:tcW w:w="6237" w:type="dxa"/>
            <w:shd w:val="clear" w:color="auto" w:fill="auto"/>
          </w:tcPr>
          <w:p w:rsidR="00EE4586" w:rsidRPr="00D152DD" w:rsidRDefault="00EE4586" w:rsidP="00AF3F9E">
            <w:pPr>
              <w:pStyle w:val="normaltabel0"/>
            </w:pPr>
            <w:r w:rsidRPr="00D152DD">
              <w:t>Het project omvat geen werken of wijzigingen van een waterloop.</w:t>
            </w:r>
          </w:p>
        </w:tc>
      </w:tr>
      <w:tr w:rsidR="00EE4586" w:rsidRPr="00211AAC" w:rsidTr="006E0211">
        <w:trPr>
          <w:cantSplit/>
          <w:trHeight w:val="247"/>
        </w:trPr>
        <w:tc>
          <w:tcPr>
            <w:tcW w:w="2298" w:type="dxa"/>
            <w:shd w:val="clear" w:color="auto" w:fill="auto"/>
          </w:tcPr>
          <w:p w:rsidR="00EE4586" w:rsidRDefault="00EE4586" w:rsidP="00AF3F9E">
            <w:pPr>
              <w:pStyle w:val="normaltabel0"/>
            </w:pPr>
            <w:r>
              <w:lastRenderedPageBreak/>
              <w:t>Decreet houdende de bescherming archeologisch patrimonium (30/06/1993 en latere wijzgingen)</w:t>
            </w:r>
          </w:p>
        </w:tc>
        <w:tc>
          <w:tcPr>
            <w:tcW w:w="4555" w:type="dxa"/>
            <w:shd w:val="clear" w:color="auto" w:fill="auto"/>
          </w:tcPr>
          <w:p w:rsidR="00EE4586" w:rsidRPr="00B37B3B" w:rsidRDefault="00EE4586" w:rsidP="00AF3F9E">
            <w:pPr>
              <w:pStyle w:val="normaltabel0"/>
            </w:pPr>
            <w:r w:rsidRPr="00B37B3B">
              <w:t xml:space="preserve">Regelt de bescherming, het behoud en de instandhouding, het herstel en het beheer van het </w:t>
            </w:r>
            <w:r>
              <w:t xml:space="preserve">archeologisch patrimonium. Via dit decreet wordt o.m. de vondstmeldingsplicht en de zorgplicht van archeologische vondsten geregeld </w:t>
            </w:r>
          </w:p>
        </w:tc>
        <w:tc>
          <w:tcPr>
            <w:tcW w:w="974" w:type="dxa"/>
            <w:shd w:val="clear" w:color="auto" w:fill="auto"/>
          </w:tcPr>
          <w:p w:rsidR="00EE4586" w:rsidRPr="00D152DD" w:rsidRDefault="00EE4586" w:rsidP="00AF3F9E">
            <w:pPr>
              <w:pStyle w:val="normaltabel0"/>
            </w:pPr>
            <w:r w:rsidRPr="00D152DD">
              <w:t>Nee</w:t>
            </w:r>
          </w:p>
        </w:tc>
        <w:tc>
          <w:tcPr>
            <w:tcW w:w="6237" w:type="dxa"/>
            <w:shd w:val="clear" w:color="auto" w:fill="auto"/>
          </w:tcPr>
          <w:p w:rsidR="00EE4586" w:rsidRPr="00D152DD" w:rsidRDefault="00EE4586" w:rsidP="00AF3F9E">
            <w:pPr>
              <w:pStyle w:val="normaltabel0"/>
            </w:pPr>
            <w:r w:rsidRPr="00D152DD">
              <w:t xml:space="preserve">Er zijn geen indicaties dat een archeologische waardevolle site zich t.h.v. of in de nabijheid van het projectgebied bevindt. </w:t>
            </w:r>
          </w:p>
        </w:tc>
      </w:tr>
      <w:tr w:rsidR="00B37B3B" w:rsidRPr="00211AAC" w:rsidTr="006E0211">
        <w:trPr>
          <w:trHeight w:val="247"/>
        </w:trPr>
        <w:tc>
          <w:tcPr>
            <w:tcW w:w="2298" w:type="dxa"/>
            <w:tcBorders>
              <w:bottom w:val="single" w:sz="4" w:space="0" w:color="auto"/>
            </w:tcBorders>
            <w:shd w:val="clear" w:color="auto" w:fill="auto"/>
          </w:tcPr>
          <w:p w:rsidR="00B37B3B" w:rsidRDefault="00B37B3B" w:rsidP="00AF3F9E">
            <w:pPr>
              <w:pStyle w:val="normaltabel0"/>
            </w:pPr>
            <w:r w:rsidRPr="00B37B3B">
              <w:t>Decreet tot bescherming van monumenten, stads- en/of dorpsgezichten (20/3/1976 en latere wijzgingen) en het decreet tot bescherming van landschappen (16/04/1996).</w:t>
            </w:r>
          </w:p>
        </w:tc>
        <w:tc>
          <w:tcPr>
            <w:tcW w:w="4555" w:type="dxa"/>
            <w:tcBorders>
              <w:bottom w:val="single" w:sz="4" w:space="0" w:color="auto"/>
            </w:tcBorders>
            <w:shd w:val="clear" w:color="auto" w:fill="auto"/>
          </w:tcPr>
          <w:p w:rsidR="00B37B3B" w:rsidRPr="00B37B3B" w:rsidRDefault="00B37B3B" w:rsidP="00AF3F9E">
            <w:pPr>
              <w:pStyle w:val="normaltabel0"/>
            </w:pPr>
            <w:r w:rsidRPr="00B37B3B">
              <w:t>Via dit decreet wordt de beschermingsplicht van monumenten, stads- en/of dorpsgezichten en landschappen geregeld.</w:t>
            </w:r>
          </w:p>
          <w:p w:rsidR="00B37B3B" w:rsidRPr="00B37B3B" w:rsidRDefault="00B37B3B" w:rsidP="00AF3F9E">
            <w:pPr>
              <w:pStyle w:val="normaltabel0"/>
            </w:pPr>
          </w:p>
        </w:tc>
        <w:tc>
          <w:tcPr>
            <w:tcW w:w="974" w:type="dxa"/>
            <w:tcBorders>
              <w:bottom w:val="single" w:sz="4" w:space="0" w:color="auto"/>
            </w:tcBorders>
            <w:shd w:val="clear" w:color="auto" w:fill="auto"/>
          </w:tcPr>
          <w:p w:rsidR="00B37B3B" w:rsidRDefault="00B37B3B" w:rsidP="00AF3F9E">
            <w:pPr>
              <w:pStyle w:val="normaltabel0"/>
            </w:pPr>
            <w:r w:rsidRPr="00B37B3B">
              <w:t xml:space="preserve">Nee </w:t>
            </w:r>
          </w:p>
          <w:p w:rsidR="00B37B3B" w:rsidRPr="00D152DD" w:rsidRDefault="00B37B3B" w:rsidP="00AF3F9E">
            <w:pPr>
              <w:pStyle w:val="normaltabel0"/>
            </w:pPr>
          </w:p>
        </w:tc>
        <w:tc>
          <w:tcPr>
            <w:tcW w:w="6237" w:type="dxa"/>
            <w:tcBorders>
              <w:bottom w:val="single" w:sz="4" w:space="0" w:color="auto"/>
            </w:tcBorders>
            <w:shd w:val="clear" w:color="auto" w:fill="auto"/>
          </w:tcPr>
          <w:p w:rsidR="00B37B3B" w:rsidRPr="00D152DD" w:rsidRDefault="00B37B3B" w:rsidP="00AF3F9E">
            <w:pPr>
              <w:pStyle w:val="normaltabel0"/>
            </w:pPr>
            <w:r w:rsidRPr="00B37B3B">
              <w:t>Het project heef</w:t>
            </w:r>
            <w:r>
              <w:t>t geen directe impact op besche</w:t>
            </w:r>
            <w:r w:rsidRPr="00B37B3B">
              <w:t>rmde monumenten, stads- en/of dorpsgezichten en landschappen in de omgeving.</w:t>
            </w:r>
          </w:p>
        </w:tc>
      </w:tr>
    </w:tbl>
    <w:p w:rsidR="0041080E" w:rsidRPr="00695D81" w:rsidRDefault="00613716" w:rsidP="004F40A7">
      <w:pPr>
        <w:pStyle w:val="tit-5"/>
        <w:outlineLvl w:val="0"/>
      </w:pPr>
      <w:r>
        <w:br w:type="page"/>
      </w:r>
      <w:r w:rsidR="0041080E">
        <w:lastRenderedPageBreak/>
        <w:t>Milieubeschermingsrecht</w:t>
      </w:r>
    </w:p>
    <w:tbl>
      <w:tblPr>
        <w:tblW w:w="14064" w:type="dxa"/>
        <w:tblInd w:w="40" w:type="dxa"/>
        <w:tblLayout w:type="fixed"/>
        <w:tblCellMar>
          <w:left w:w="70" w:type="dxa"/>
          <w:right w:w="70" w:type="dxa"/>
        </w:tblCellMar>
        <w:tblLook w:val="0000"/>
      </w:tblPr>
      <w:tblGrid>
        <w:gridCol w:w="2298"/>
        <w:gridCol w:w="4555"/>
        <w:gridCol w:w="974"/>
        <w:gridCol w:w="6237"/>
      </w:tblGrid>
      <w:tr w:rsidR="00EE4586" w:rsidRPr="00211AAC" w:rsidTr="006E0211">
        <w:trPr>
          <w:trHeight w:val="494"/>
          <w:tblHeader/>
        </w:trPr>
        <w:tc>
          <w:tcPr>
            <w:tcW w:w="2298" w:type="dxa"/>
            <w:tcBorders>
              <w:top w:val="single" w:sz="4" w:space="0" w:color="auto"/>
              <w:bottom w:val="single" w:sz="4" w:space="0" w:color="auto"/>
            </w:tcBorders>
            <w:shd w:val="clear" w:color="auto" w:fill="E0E0E0"/>
          </w:tcPr>
          <w:p w:rsidR="00EE4586" w:rsidRDefault="00EE4586" w:rsidP="00AF3F9E">
            <w:pPr>
              <w:pStyle w:val="normaltabel0"/>
            </w:pPr>
          </w:p>
        </w:tc>
        <w:tc>
          <w:tcPr>
            <w:tcW w:w="4555" w:type="dxa"/>
            <w:tcBorders>
              <w:top w:val="single" w:sz="4" w:space="0" w:color="auto"/>
              <w:bottom w:val="single" w:sz="4" w:space="0" w:color="auto"/>
            </w:tcBorders>
            <w:shd w:val="clear" w:color="auto" w:fill="E0E0E0"/>
          </w:tcPr>
          <w:p w:rsidR="00EE4586" w:rsidRDefault="00EE4586" w:rsidP="00AF3F9E">
            <w:pPr>
              <w:pStyle w:val="normaltabel0"/>
            </w:pPr>
            <w:r>
              <w:t>Korte inhoud</w:t>
            </w:r>
          </w:p>
        </w:tc>
        <w:tc>
          <w:tcPr>
            <w:tcW w:w="974" w:type="dxa"/>
            <w:tcBorders>
              <w:top w:val="single" w:sz="4" w:space="0" w:color="auto"/>
              <w:bottom w:val="single" w:sz="4" w:space="0" w:color="auto"/>
            </w:tcBorders>
            <w:shd w:val="clear" w:color="auto" w:fill="E0E0E0"/>
          </w:tcPr>
          <w:p w:rsidR="00EE4586" w:rsidRPr="00D152DD" w:rsidRDefault="00EE4586" w:rsidP="00AF3F9E">
            <w:pPr>
              <w:pStyle w:val="normaltabel0"/>
            </w:pPr>
            <w:r w:rsidRPr="00D152DD">
              <w:t>Relevant?</w:t>
            </w:r>
          </w:p>
        </w:tc>
        <w:tc>
          <w:tcPr>
            <w:tcW w:w="6237" w:type="dxa"/>
            <w:tcBorders>
              <w:top w:val="single" w:sz="4" w:space="0" w:color="auto"/>
              <w:bottom w:val="single" w:sz="4" w:space="0" w:color="auto"/>
            </w:tcBorders>
            <w:shd w:val="clear" w:color="auto" w:fill="E0E0E0"/>
          </w:tcPr>
          <w:p w:rsidR="00EE4586" w:rsidRPr="00D152DD" w:rsidRDefault="00EE4586" w:rsidP="00AF3F9E">
            <w:pPr>
              <w:pStyle w:val="normaltabel0"/>
            </w:pPr>
            <w:r w:rsidRPr="00D152DD">
              <w:t>Bespreking relevantie</w:t>
            </w:r>
          </w:p>
        </w:tc>
      </w:tr>
      <w:tr w:rsidR="00EE4586" w:rsidRPr="00A70113" w:rsidTr="006E0211">
        <w:trPr>
          <w:trHeight w:val="247"/>
          <w:tblHeader/>
        </w:trPr>
        <w:tc>
          <w:tcPr>
            <w:tcW w:w="2298" w:type="dxa"/>
          </w:tcPr>
          <w:p w:rsidR="00EE4586" w:rsidRPr="00A70113" w:rsidRDefault="00EE4586" w:rsidP="00AF3F9E">
            <w:pPr>
              <w:pStyle w:val="normaltabel0"/>
            </w:pPr>
            <w:r w:rsidRPr="00A70113">
              <w:t>Bodemdecreet (27/10/06) en Vlarebo (14/12/2007)</w:t>
            </w:r>
          </w:p>
          <w:p w:rsidR="00EE4586" w:rsidRPr="00A70113" w:rsidRDefault="00EE4586" w:rsidP="00AF3F9E">
            <w:pPr>
              <w:pStyle w:val="normaltabel0"/>
            </w:pPr>
          </w:p>
        </w:tc>
        <w:tc>
          <w:tcPr>
            <w:tcW w:w="4555" w:type="dxa"/>
          </w:tcPr>
          <w:p w:rsidR="00EE4586" w:rsidRPr="00A70113" w:rsidRDefault="00EE4586" w:rsidP="00AF3F9E">
            <w:pPr>
              <w:pStyle w:val="normaltabel0"/>
              <w:rPr>
                <w:rFonts w:cs="TimesNewRoman"/>
                <w:szCs w:val="24"/>
                <w:lang w:eastAsia="nl-NL"/>
              </w:rPr>
            </w:pPr>
            <w:r w:rsidRPr="00A70113">
              <w:t>Via het bodemsaneringsdecreet en het Vlarebo worden kwaliteitsnormen voor bodem en grondwater vastgelegd, alsmede de regeling m.b.t. uitvoeren van onder</w:t>
            </w:r>
            <w:r w:rsidR="006E0211">
              <w:t>zoeken en sanering van gronden.</w:t>
            </w:r>
            <w:r w:rsidRPr="00A70113">
              <w:br/>
              <w:t>Hoofdstuk X van het Vlarebo stelt de regeling m.b.t. het hergebruik van uitgegraven bodem vast.</w:t>
            </w:r>
          </w:p>
        </w:tc>
        <w:tc>
          <w:tcPr>
            <w:tcW w:w="974" w:type="dxa"/>
            <w:tcBorders>
              <w:top w:val="single" w:sz="4" w:space="0" w:color="auto"/>
            </w:tcBorders>
            <w:shd w:val="clear" w:color="auto" w:fill="auto"/>
          </w:tcPr>
          <w:p w:rsidR="00EE4586" w:rsidRPr="00A70113" w:rsidRDefault="00EE4586" w:rsidP="00AF3F9E">
            <w:pPr>
              <w:pStyle w:val="normaltabel0"/>
            </w:pPr>
            <w:r w:rsidRPr="00A70113">
              <w:t>Ja</w:t>
            </w:r>
          </w:p>
        </w:tc>
        <w:tc>
          <w:tcPr>
            <w:tcW w:w="6237" w:type="dxa"/>
            <w:tcBorders>
              <w:top w:val="single" w:sz="4" w:space="0" w:color="auto"/>
            </w:tcBorders>
            <w:shd w:val="clear" w:color="auto" w:fill="auto"/>
          </w:tcPr>
          <w:p w:rsidR="00EE4586" w:rsidRPr="00A70113" w:rsidRDefault="00EE4586" w:rsidP="00AF3F9E">
            <w:pPr>
              <w:pStyle w:val="normaltabel0"/>
            </w:pPr>
            <w:r w:rsidRPr="00A70113">
              <w:t>Op het terrein zijn verschillende inrichtingen aanwezig die beschouwd worden als risico-inrichting m.b.t. bodem- en grondwaterverontreiniging.</w:t>
            </w:r>
            <w:r w:rsidR="00A70113">
              <w:t xml:space="preserve"> Tevens zal er tijdens de constructiefase een beperkt grondverzet optreden;</w:t>
            </w:r>
          </w:p>
        </w:tc>
      </w:tr>
      <w:tr w:rsidR="00EE4586" w:rsidRPr="00A70113" w:rsidTr="006E0211">
        <w:trPr>
          <w:trHeight w:val="247"/>
          <w:tblHeader/>
        </w:trPr>
        <w:tc>
          <w:tcPr>
            <w:tcW w:w="2298" w:type="dxa"/>
          </w:tcPr>
          <w:p w:rsidR="00EE4586" w:rsidRPr="00A70113" w:rsidRDefault="00EE4586" w:rsidP="00AF3F9E">
            <w:pPr>
              <w:pStyle w:val="normaltabel0"/>
            </w:pPr>
            <w:r w:rsidRPr="00A70113">
              <w:t>Grondwaterdecreet (24/1/1984)</w:t>
            </w:r>
          </w:p>
        </w:tc>
        <w:tc>
          <w:tcPr>
            <w:tcW w:w="4555" w:type="dxa"/>
          </w:tcPr>
          <w:p w:rsidR="00EE4586" w:rsidRPr="00A70113" w:rsidRDefault="00EE4586" w:rsidP="00AF3F9E">
            <w:pPr>
              <w:pStyle w:val="normaltabel0"/>
            </w:pPr>
            <w:r w:rsidRPr="00A70113">
              <w:t>Vaststellen principes inzake bescherming en beheer van grondwater.</w:t>
            </w:r>
          </w:p>
        </w:tc>
        <w:tc>
          <w:tcPr>
            <w:tcW w:w="974" w:type="dxa"/>
            <w:shd w:val="clear" w:color="auto" w:fill="auto"/>
          </w:tcPr>
          <w:p w:rsidR="00EE4586" w:rsidRPr="00A70113" w:rsidRDefault="00EE4586" w:rsidP="00AF3F9E">
            <w:pPr>
              <w:pStyle w:val="normaltabel0"/>
            </w:pPr>
            <w:r w:rsidRPr="00A70113">
              <w:t>Nee</w:t>
            </w:r>
          </w:p>
        </w:tc>
        <w:tc>
          <w:tcPr>
            <w:tcW w:w="6237" w:type="dxa"/>
            <w:shd w:val="clear" w:color="auto" w:fill="auto"/>
          </w:tcPr>
          <w:p w:rsidR="00EE4586" w:rsidRPr="00A70113" w:rsidRDefault="00A70113" w:rsidP="00AF3F9E">
            <w:pPr>
              <w:pStyle w:val="normaltabel0"/>
            </w:pPr>
            <w:r>
              <w:t>In de nabijheid van de inrichting zijn geen waterwingebieden gesitueerd.</w:t>
            </w:r>
          </w:p>
        </w:tc>
      </w:tr>
      <w:tr w:rsidR="00EE4586" w:rsidRPr="00A70113" w:rsidTr="006E0211">
        <w:trPr>
          <w:trHeight w:val="247"/>
          <w:tblHeader/>
        </w:trPr>
        <w:tc>
          <w:tcPr>
            <w:tcW w:w="2298" w:type="dxa"/>
          </w:tcPr>
          <w:p w:rsidR="00EE4586" w:rsidRPr="00A70113" w:rsidRDefault="00EE4586" w:rsidP="00AF3F9E">
            <w:pPr>
              <w:pStyle w:val="normaltabel0"/>
            </w:pPr>
            <w:r w:rsidRPr="00A70113">
              <w:t>Besluit m.b.t. het afleveren van een vergunning voor watervang (3/5/1991)</w:t>
            </w:r>
          </w:p>
        </w:tc>
        <w:tc>
          <w:tcPr>
            <w:tcW w:w="4555" w:type="dxa"/>
          </w:tcPr>
          <w:p w:rsidR="00EE4586" w:rsidRPr="00A70113" w:rsidRDefault="00EE4586" w:rsidP="00AF3F9E">
            <w:pPr>
              <w:pStyle w:val="normaltabel0"/>
            </w:pPr>
            <w:r w:rsidRPr="00A70113">
              <w:t>Via dit besluit worden de procedures en regelingen m.b.t. het winnen van oppervlaktewater vastgelegd.</w:t>
            </w:r>
          </w:p>
        </w:tc>
        <w:tc>
          <w:tcPr>
            <w:tcW w:w="974" w:type="dxa"/>
            <w:shd w:val="clear" w:color="auto" w:fill="auto"/>
          </w:tcPr>
          <w:p w:rsidR="00EE4586" w:rsidRPr="00A70113" w:rsidRDefault="00A70113" w:rsidP="00AF3F9E">
            <w:pPr>
              <w:pStyle w:val="normaltabel0"/>
            </w:pPr>
            <w:r>
              <w:t>Ja</w:t>
            </w:r>
            <w:r w:rsidR="00EE4586" w:rsidRPr="00A70113">
              <w:t xml:space="preserve"> </w:t>
            </w:r>
          </w:p>
        </w:tc>
        <w:tc>
          <w:tcPr>
            <w:tcW w:w="6237" w:type="dxa"/>
            <w:shd w:val="clear" w:color="auto" w:fill="auto"/>
          </w:tcPr>
          <w:p w:rsidR="00EE4586" w:rsidRPr="00A70113" w:rsidRDefault="00A70113" w:rsidP="00AF3F9E">
            <w:pPr>
              <w:pStyle w:val="normaltabel0"/>
            </w:pPr>
            <w:r>
              <w:t>Er is een (beperkte) captatie van oppervlaktewater uit de dokken.</w:t>
            </w:r>
          </w:p>
        </w:tc>
      </w:tr>
      <w:tr w:rsidR="00EE4586" w:rsidRPr="00A70113" w:rsidTr="006E0211">
        <w:trPr>
          <w:trHeight w:val="247"/>
          <w:tblHeader/>
        </w:trPr>
        <w:tc>
          <w:tcPr>
            <w:tcW w:w="2298" w:type="dxa"/>
          </w:tcPr>
          <w:p w:rsidR="00EE4586" w:rsidRPr="00A70113" w:rsidRDefault="00EE4586" w:rsidP="00AF3F9E">
            <w:pPr>
              <w:pStyle w:val="normaltabel0"/>
            </w:pPr>
            <w:r w:rsidRPr="00A70113">
              <w:t>Kwaliteitsdoelstellingen oppervlaktewater / aanduiding bestemming oppervlaktewater (8/12/1998)</w:t>
            </w:r>
          </w:p>
        </w:tc>
        <w:tc>
          <w:tcPr>
            <w:tcW w:w="4555" w:type="dxa"/>
          </w:tcPr>
          <w:p w:rsidR="00EE4586" w:rsidRPr="00A70113" w:rsidRDefault="00EE4586" w:rsidP="00AF3F9E">
            <w:pPr>
              <w:pStyle w:val="normaltabel0"/>
            </w:pPr>
            <w:r w:rsidRPr="00A70113">
              <w:t>Vastleggen van de doelstellingen waaraan de kwaliteit van oppervlaktewateren dienen te voldoen, rekening houdend met de bestemming van het oppervlaktewater.</w:t>
            </w:r>
          </w:p>
        </w:tc>
        <w:tc>
          <w:tcPr>
            <w:tcW w:w="974" w:type="dxa"/>
            <w:shd w:val="clear" w:color="auto" w:fill="auto"/>
          </w:tcPr>
          <w:p w:rsidR="00EE4586" w:rsidRPr="00A70113" w:rsidRDefault="00EE4586" w:rsidP="00AF3F9E">
            <w:pPr>
              <w:pStyle w:val="normaltabel0"/>
            </w:pPr>
            <w:r w:rsidRPr="00A70113">
              <w:t>Ja</w:t>
            </w:r>
          </w:p>
        </w:tc>
        <w:tc>
          <w:tcPr>
            <w:tcW w:w="6237" w:type="dxa"/>
            <w:shd w:val="clear" w:color="auto" w:fill="auto"/>
          </w:tcPr>
          <w:p w:rsidR="00EE4586" w:rsidRPr="00A70113" w:rsidRDefault="00A70113" w:rsidP="00AF3F9E">
            <w:pPr>
              <w:pStyle w:val="normaltabel0"/>
            </w:pPr>
            <w:r>
              <w:t>Het project omvat de lozing van afvalwater in de kanaaldokken. De kanaaldokken dienen te voldoen aan de algemene kwaliteitsdoelstellingen als tevens aan de doelstellingen die gelden voor oppervlaktewaters met als bestemming viswater.</w:t>
            </w:r>
          </w:p>
        </w:tc>
      </w:tr>
      <w:tr w:rsidR="00156040" w:rsidRPr="00211AAC" w:rsidTr="000A6D04">
        <w:trPr>
          <w:trHeight w:val="247"/>
          <w:tblHeader/>
        </w:trPr>
        <w:tc>
          <w:tcPr>
            <w:tcW w:w="2298" w:type="dxa"/>
          </w:tcPr>
          <w:p w:rsidR="00432CD2" w:rsidRPr="00A70113" w:rsidRDefault="00156040" w:rsidP="00AF3F9E">
            <w:pPr>
              <w:pStyle w:val="normaltabel0"/>
              <w:rPr>
                <w:szCs w:val="16"/>
              </w:rPr>
            </w:pPr>
            <w:r w:rsidRPr="00A70113">
              <w:t xml:space="preserve">Besl. Vl. Reg. voor wat betreft milieukwaliteitsnormen voor oppervlaktewater, waterbodem en grondwater (21/5/2010) </w:t>
            </w:r>
          </w:p>
        </w:tc>
        <w:tc>
          <w:tcPr>
            <w:tcW w:w="4555" w:type="dxa"/>
          </w:tcPr>
          <w:p w:rsidR="00156040" w:rsidRPr="00A70113" w:rsidRDefault="00156040" w:rsidP="00AF3F9E">
            <w:pPr>
              <w:pStyle w:val="normaltabel0"/>
            </w:pPr>
            <w:r w:rsidRPr="00A70113">
              <w:t>Dit besluit legt nieuwe milieukwaliteitsnormen vast voor oppervlaktewateren, waterbodem en grondwater.</w:t>
            </w:r>
          </w:p>
        </w:tc>
        <w:tc>
          <w:tcPr>
            <w:tcW w:w="974" w:type="dxa"/>
            <w:shd w:val="clear" w:color="auto" w:fill="auto"/>
          </w:tcPr>
          <w:p w:rsidR="00156040" w:rsidRPr="00A70113" w:rsidRDefault="00156040" w:rsidP="00AF3F9E">
            <w:pPr>
              <w:pStyle w:val="normaltabel0"/>
            </w:pPr>
            <w:r w:rsidRPr="00A70113">
              <w:t>Ja</w:t>
            </w:r>
          </w:p>
        </w:tc>
        <w:tc>
          <w:tcPr>
            <w:tcW w:w="6237" w:type="dxa"/>
            <w:shd w:val="clear" w:color="auto" w:fill="auto"/>
          </w:tcPr>
          <w:p w:rsidR="00156040" w:rsidRPr="00C80A8B" w:rsidRDefault="00A70113" w:rsidP="00AF3F9E">
            <w:pPr>
              <w:pStyle w:val="normaltabel0"/>
            </w:pPr>
            <w:r>
              <w:t>Het project omvat de lozing van afvalwater in oppervlaktewater.</w:t>
            </w:r>
          </w:p>
        </w:tc>
      </w:tr>
      <w:tr w:rsidR="000A6D04" w:rsidRPr="00211AAC" w:rsidTr="000A6D04">
        <w:trPr>
          <w:trHeight w:val="247"/>
          <w:tblHeader/>
        </w:trPr>
        <w:tc>
          <w:tcPr>
            <w:tcW w:w="2298" w:type="dxa"/>
          </w:tcPr>
          <w:p w:rsidR="000A6D04" w:rsidRPr="00A70113" w:rsidRDefault="000A6D04" w:rsidP="00AF3F9E">
            <w:pPr>
              <w:pStyle w:val="normaltabel0"/>
            </w:pPr>
          </w:p>
        </w:tc>
        <w:tc>
          <w:tcPr>
            <w:tcW w:w="4555" w:type="dxa"/>
          </w:tcPr>
          <w:p w:rsidR="000A6D04" w:rsidRPr="00A70113" w:rsidRDefault="000A6D04" w:rsidP="00AF3F9E">
            <w:pPr>
              <w:pStyle w:val="normaltabel0"/>
            </w:pPr>
          </w:p>
        </w:tc>
        <w:tc>
          <w:tcPr>
            <w:tcW w:w="974" w:type="dxa"/>
            <w:shd w:val="clear" w:color="auto" w:fill="auto"/>
          </w:tcPr>
          <w:p w:rsidR="000A6D04" w:rsidRPr="00A70113" w:rsidRDefault="000A6D04" w:rsidP="00AF3F9E">
            <w:pPr>
              <w:pStyle w:val="normaltabel0"/>
            </w:pPr>
          </w:p>
        </w:tc>
        <w:tc>
          <w:tcPr>
            <w:tcW w:w="6237" w:type="dxa"/>
            <w:shd w:val="clear" w:color="auto" w:fill="auto"/>
          </w:tcPr>
          <w:p w:rsidR="000A6D04" w:rsidRDefault="000A6D04" w:rsidP="00AF3F9E">
            <w:pPr>
              <w:pStyle w:val="normaltabel0"/>
            </w:pPr>
          </w:p>
        </w:tc>
      </w:tr>
      <w:tr w:rsidR="00EE4586" w:rsidRPr="00211AAC" w:rsidTr="000A6D04">
        <w:trPr>
          <w:trHeight w:val="494"/>
          <w:tblHeader/>
        </w:trPr>
        <w:tc>
          <w:tcPr>
            <w:tcW w:w="2298" w:type="dxa"/>
            <w:tcBorders>
              <w:bottom w:val="single" w:sz="4" w:space="0" w:color="auto"/>
            </w:tcBorders>
            <w:shd w:val="clear" w:color="auto" w:fill="E0E0E0"/>
          </w:tcPr>
          <w:p w:rsidR="00EE4586" w:rsidRDefault="00EE4586" w:rsidP="00AF3F9E">
            <w:pPr>
              <w:pStyle w:val="normaltabel0"/>
            </w:pPr>
          </w:p>
        </w:tc>
        <w:tc>
          <w:tcPr>
            <w:tcW w:w="4555" w:type="dxa"/>
            <w:tcBorders>
              <w:bottom w:val="single" w:sz="4" w:space="0" w:color="auto"/>
            </w:tcBorders>
            <w:shd w:val="clear" w:color="auto" w:fill="E0E0E0"/>
          </w:tcPr>
          <w:p w:rsidR="00EE4586" w:rsidRDefault="00EE4586" w:rsidP="00AF3F9E">
            <w:pPr>
              <w:pStyle w:val="normaltabel0"/>
            </w:pPr>
            <w:r>
              <w:t>Korte inhoud</w:t>
            </w:r>
          </w:p>
        </w:tc>
        <w:tc>
          <w:tcPr>
            <w:tcW w:w="974" w:type="dxa"/>
            <w:tcBorders>
              <w:bottom w:val="single" w:sz="4" w:space="0" w:color="auto"/>
            </w:tcBorders>
            <w:shd w:val="clear" w:color="auto" w:fill="E0E0E0"/>
          </w:tcPr>
          <w:p w:rsidR="00EE4586" w:rsidRPr="00D152DD" w:rsidRDefault="00EE4586" w:rsidP="00AF3F9E">
            <w:pPr>
              <w:pStyle w:val="normaltabel0"/>
            </w:pPr>
            <w:r w:rsidRPr="00D152DD">
              <w:t>Relevant?</w:t>
            </w:r>
          </w:p>
        </w:tc>
        <w:tc>
          <w:tcPr>
            <w:tcW w:w="6237" w:type="dxa"/>
            <w:tcBorders>
              <w:bottom w:val="single" w:sz="4" w:space="0" w:color="auto"/>
            </w:tcBorders>
            <w:shd w:val="clear" w:color="auto" w:fill="E0E0E0"/>
          </w:tcPr>
          <w:p w:rsidR="00EE4586" w:rsidRPr="00D152DD" w:rsidRDefault="00EE4586" w:rsidP="00AF3F9E">
            <w:pPr>
              <w:pStyle w:val="normaltabel0"/>
            </w:pPr>
            <w:r w:rsidRPr="00D152DD">
              <w:t>Bespreking relevantie</w:t>
            </w:r>
          </w:p>
        </w:tc>
      </w:tr>
      <w:tr w:rsidR="00EE4586" w:rsidRPr="00211AAC" w:rsidTr="006E0211">
        <w:trPr>
          <w:trHeight w:val="247"/>
          <w:tblHeader/>
        </w:trPr>
        <w:tc>
          <w:tcPr>
            <w:tcW w:w="2298" w:type="dxa"/>
            <w:tcBorders>
              <w:top w:val="single" w:sz="4" w:space="0" w:color="auto"/>
            </w:tcBorders>
          </w:tcPr>
          <w:p w:rsidR="00EE4586" w:rsidRDefault="00EE4586" w:rsidP="00AF3F9E">
            <w:pPr>
              <w:pStyle w:val="normaltabel0"/>
            </w:pPr>
            <w:r>
              <w:t>Decreet integraal waterbeleid (18/7/2003)</w:t>
            </w:r>
          </w:p>
        </w:tc>
        <w:tc>
          <w:tcPr>
            <w:tcW w:w="4555" w:type="dxa"/>
            <w:tcBorders>
              <w:top w:val="single" w:sz="4" w:space="0" w:color="auto"/>
            </w:tcBorders>
          </w:tcPr>
          <w:p w:rsidR="00EE4586" w:rsidRPr="00C80A8B" w:rsidRDefault="00EE4586" w:rsidP="00AF3F9E">
            <w:pPr>
              <w:pStyle w:val="normaltabel0"/>
            </w:pPr>
            <w:r w:rsidRPr="00C80A8B">
              <w:t>Via het decreet worden de doelstellingen en instrumenten m.b.t. integraal waterbeleid. Dit omvat o.m. het verplicht uitvoeren van een watertoets in het kader van de vergunningverlening.</w:t>
            </w:r>
          </w:p>
        </w:tc>
        <w:tc>
          <w:tcPr>
            <w:tcW w:w="974" w:type="dxa"/>
            <w:tcBorders>
              <w:top w:val="single" w:sz="4" w:space="0" w:color="auto"/>
            </w:tcBorders>
            <w:shd w:val="clear" w:color="auto" w:fill="auto"/>
          </w:tcPr>
          <w:p w:rsidR="00EE4586" w:rsidRPr="00C80A8B" w:rsidRDefault="00EE4586" w:rsidP="00AF3F9E">
            <w:pPr>
              <w:pStyle w:val="normaltabel0"/>
            </w:pPr>
            <w:r w:rsidRPr="00C80A8B">
              <w:t>Ja</w:t>
            </w:r>
          </w:p>
        </w:tc>
        <w:tc>
          <w:tcPr>
            <w:tcW w:w="6237" w:type="dxa"/>
            <w:tcBorders>
              <w:top w:val="single" w:sz="4" w:space="0" w:color="auto"/>
            </w:tcBorders>
            <w:shd w:val="clear" w:color="auto" w:fill="auto"/>
          </w:tcPr>
          <w:p w:rsidR="00EE4586" w:rsidRPr="00C80A8B" w:rsidRDefault="00EE4586" w:rsidP="00AF3F9E">
            <w:pPr>
              <w:pStyle w:val="normaltabel0"/>
            </w:pPr>
            <w:r w:rsidRPr="00C80A8B">
              <w:t xml:space="preserve">Het project omvat de lozing van </w:t>
            </w:r>
            <w:r w:rsidR="00A70113">
              <w:t xml:space="preserve">afvalwater in oppervlaktewater. Zoals bepaald in het decreet integraal waterbeleid zullen dan </w:t>
            </w:r>
            <w:r w:rsidR="0093345D">
              <w:t>ook in het kader van dit MER, d</w:t>
            </w:r>
            <w:r w:rsidR="00A70113">
              <w:t>e</w:t>
            </w:r>
            <w:r w:rsidR="0093345D">
              <w:t xml:space="preserve"> </w:t>
            </w:r>
            <w:r w:rsidR="00A70113">
              <w:t>nodige elementen ter uitvoering van de watertoets aangereikt worden.</w:t>
            </w:r>
          </w:p>
        </w:tc>
      </w:tr>
      <w:tr w:rsidR="00EE4586" w:rsidRPr="00211AAC" w:rsidTr="006E0211">
        <w:trPr>
          <w:trHeight w:val="247"/>
          <w:tblHeader/>
        </w:trPr>
        <w:tc>
          <w:tcPr>
            <w:tcW w:w="2298" w:type="dxa"/>
          </w:tcPr>
          <w:p w:rsidR="00EE4586" w:rsidRDefault="00EE4586" w:rsidP="00AF3F9E">
            <w:pPr>
              <w:pStyle w:val="normaltabel0"/>
            </w:pPr>
            <w:r>
              <w:t>Milieuvergunningendecreet (28/6/1985) &amp; VLAREM I (6/2/1991)</w:t>
            </w:r>
          </w:p>
        </w:tc>
        <w:tc>
          <w:tcPr>
            <w:tcW w:w="4555" w:type="dxa"/>
          </w:tcPr>
          <w:p w:rsidR="00EE4586" w:rsidRDefault="00EE4586" w:rsidP="00AF3F9E">
            <w:pPr>
              <w:pStyle w:val="normaltabel0"/>
            </w:pPr>
            <w:r>
              <w:t>Het decreet en VLAREM bepalen de inrichtingen waarvoor een milieuvergunning dient aangevraagd te worden en bepalen ook de procedures voor het aanvragen van een milieuvergunning.</w:t>
            </w:r>
          </w:p>
        </w:tc>
        <w:tc>
          <w:tcPr>
            <w:tcW w:w="974" w:type="dxa"/>
            <w:shd w:val="clear" w:color="auto" w:fill="auto"/>
          </w:tcPr>
          <w:p w:rsidR="00EE4586" w:rsidRPr="00C80A8B" w:rsidRDefault="00EE4586" w:rsidP="00AF3F9E">
            <w:pPr>
              <w:pStyle w:val="normaltabel0"/>
            </w:pPr>
            <w:r w:rsidRPr="00C80A8B">
              <w:t>Ja</w:t>
            </w:r>
          </w:p>
        </w:tc>
        <w:tc>
          <w:tcPr>
            <w:tcW w:w="6237" w:type="dxa"/>
            <w:shd w:val="clear" w:color="auto" w:fill="auto"/>
          </w:tcPr>
          <w:p w:rsidR="00EE4586" w:rsidRPr="00C80A8B" w:rsidRDefault="00EE4586" w:rsidP="00AF3F9E">
            <w:pPr>
              <w:pStyle w:val="normaltabel0"/>
            </w:pPr>
            <w:r w:rsidRPr="00C80A8B">
              <w:t>Het project omvat diverse vergunningsplichtige activiteiten.</w:t>
            </w:r>
          </w:p>
        </w:tc>
      </w:tr>
      <w:tr w:rsidR="00EE4586" w:rsidRPr="00211AAC" w:rsidTr="006E0211">
        <w:trPr>
          <w:trHeight w:val="247"/>
          <w:tblHeader/>
        </w:trPr>
        <w:tc>
          <w:tcPr>
            <w:tcW w:w="2298" w:type="dxa"/>
          </w:tcPr>
          <w:p w:rsidR="00EE4586" w:rsidRDefault="00EE4586" w:rsidP="00AF3F9E">
            <w:pPr>
              <w:pStyle w:val="normaltabel0"/>
            </w:pPr>
            <w:r>
              <w:t>VLAREM II (1/6/1995)</w:t>
            </w:r>
          </w:p>
          <w:p w:rsidR="00EE4586" w:rsidRDefault="00EE4586" w:rsidP="00AF3F9E">
            <w:pPr>
              <w:pStyle w:val="normaltabel0"/>
            </w:pPr>
          </w:p>
        </w:tc>
        <w:tc>
          <w:tcPr>
            <w:tcW w:w="4555" w:type="dxa"/>
          </w:tcPr>
          <w:p w:rsidR="00EE4586" w:rsidRDefault="00EE4586" w:rsidP="00AF3F9E">
            <w:pPr>
              <w:pStyle w:val="normaltabel0"/>
            </w:pPr>
            <w:r>
              <w:t>Voorwaarden voor vergunningsplichtige inrichtingen.</w:t>
            </w:r>
          </w:p>
        </w:tc>
        <w:tc>
          <w:tcPr>
            <w:tcW w:w="974" w:type="dxa"/>
            <w:shd w:val="clear" w:color="auto" w:fill="auto"/>
          </w:tcPr>
          <w:p w:rsidR="00EE4586" w:rsidRPr="00E537F6" w:rsidRDefault="00EE4586" w:rsidP="00AF3F9E">
            <w:pPr>
              <w:pStyle w:val="normaltabel0"/>
            </w:pPr>
            <w:r w:rsidRPr="00E537F6">
              <w:t>Ja</w:t>
            </w:r>
          </w:p>
        </w:tc>
        <w:tc>
          <w:tcPr>
            <w:tcW w:w="6237" w:type="dxa"/>
            <w:shd w:val="clear" w:color="auto" w:fill="auto"/>
          </w:tcPr>
          <w:p w:rsidR="00EE4586" w:rsidRPr="00E537F6" w:rsidRDefault="00EE4586" w:rsidP="00AF3F9E">
            <w:pPr>
              <w:pStyle w:val="normaltabel0"/>
            </w:pPr>
            <w:r w:rsidRPr="00E537F6">
              <w:t>Het project omvat diverse activiteiten die dienen te voldoen aan de voorwaarden van VLAREM II.</w:t>
            </w:r>
          </w:p>
        </w:tc>
      </w:tr>
      <w:tr w:rsidR="00EE4586" w:rsidRPr="00211AAC" w:rsidTr="006E0211">
        <w:trPr>
          <w:trHeight w:val="247"/>
          <w:tblHeader/>
        </w:trPr>
        <w:tc>
          <w:tcPr>
            <w:tcW w:w="2298" w:type="dxa"/>
          </w:tcPr>
          <w:p w:rsidR="00EE4586" w:rsidRDefault="00EE4586" w:rsidP="00AF3F9E">
            <w:pPr>
              <w:pStyle w:val="normaltabel0"/>
            </w:pPr>
            <w:r>
              <w:t>Besluit energieplanning (14/5/2004)</w:t>
            </w:r>
          </w:p>
          <w:p w:rsidR="00EE4586" w:rsidRDefault="00EE4586" w:rsidP="00AF3F9E">
            <w:pPr>
              <w:pStyle w:val="normaltabel0"/>
            </w:pPr>
          </w:p>
        </w:tc>
        <w:tc>
          <w:tcPr>
            <w:tcW w:w="4555" w:type="dxa"/>
          </w:tcPr>
          <w:p w:rsidR="00EE4586" w:rsidRDefault="00EE4586" w:rsidP="00AF3F9E">
            <w:pPr>
              <w:pStyle w:val="normaltabel0"/>
            </w:pPr>
            <w:r>
              <w:t>Het besluit legt specifieke voorwaarden vast voor zogenaamde energie-intensieve inrichtingen (inrichtingen met een primair energieverbruik van meer dan 0,1 PJ/jaar). Een van de voorwaarden is de verplichting tot het opstellen van een energieplan of een energiestudie.</w:t>
            </w:r>
          </w:p>
        </w:tc>
        <w:tc>
          <w:tcPr>
            <w:tcW w:w="974" w:type="dxa"/>
            <w:shd w:val="clear" w:color="auto" w:fill="auto"/>
          </w:tcPr>
          <w:p w:rsidR="00EE4586" w:rsidRPr="00E537F6" w:rsidRDefault="00EE4586" w:rsidP="00AF3F9E">
            <w:pPr>
              <w:pStyle w:val="normaltabel0"/>
            </w:pPr>
            <w:r w:rsidRPr="00E537F6">
              <w:t>Nee</w:t>
            </w:r>
          </w:p>
        </w:tc>
        <w:tc>
          <w:tcPr>
            <w:tcW w:w="6237" w:type="dxa"/>
            <w:shd w:val="clear" w:color="auto" w:fill="auto"/>
          </w:tcPr>
          <w:p w:rsidR="00EE4586" w:rsidRPr="00E537F6" w:rsidRDefault="00EE4586" w:rsidP="00AF3F9E">
            <w:pPr>
              <w:pStyle w:val="normaltabel0"/>
            </w:pPr>
            <w:r w:rsidRPr="00E537F6">
              <w:t xml:space="preserve">Het primaire energieverbruik van de inrichting is lager dan 0,1 PJ/jaar. </w:t>
            </w:r>
          </w:p>
        </w:tc>
      </w:tr>
      <w:tr w:rsidR="00EE4586" w:rsidRPr="00211AAC" w:rsidTr="006E0211">
        <w:trPr>
          <w:trHeight w:val="247"/>
          <w:tblHeader/>
        </w:trPr>
        <w:tc>
          <w:tcPr>
            <w:tcW w:w="2298" w:type="dxa"/>
            <w:tcBorders>
              <w:bottom w:val="single" w:sz="4" w:space="0" w:color="auto"/>
            </w:tcBorders>
          </w:tcPr>
          <w:p w:rsidR="00EE4586" w:rsidRDefault="00EE4586" w:rsidP="00AF3F9E">
            <w:pPr>
              <w:pStyle w:val="normaltabel0"/>
            </w:pPr>
            <w:r>
              <w:t>Besluit verhandelbare emissierechten (14/5/2004)</w:t>
            </w:r>
          </w:p>
          <w:p w:rsidR="00EE4586" w:rsidRDefault="00EE4586" w:rsidP="00AF3F9E">
            <w:pPr>
              <w:pStyle w:val="normaltabel0"/>
            </w:pPr>
          </w:p>
        </w:tc>
        <w:tc>
          <w:tcPr>
            <w:tcW w:w="4555" w:type="dxa"/>
            <w:tcBorders>
              <w:bottom w:val="single" w:sz="4" w:space="0" w:color="auto"/>
            </w:tcBorders>
          </w:tcPr>
          <w:p w:rsidR="00EE4586" w:rsidRDefault="00EE4586" w:rsidP="00AF3F9E">
            <w:pPr>
              <w:pStyle w:val="normaltabel0"/>
            </w:pPr>
            <w:r>
              <w:t>Vaststellen van specifieke voorwaarden voor BKG-inrichtingen en het vastleggen van een regeling m.b.t. het toekennen van emissierechten.</w:t>
            </w:r>
          </w:p>
        </w:tc>
        <w:tc>
          <w:tcPr>
            <w:tcW w:w="974" w:type="dxa"/>
            <w:tcBorders>
              <w:bottom w:val="single" w:sz="4" w:space="0" w:color="auto"/>
            </w:tcBorders>
            <w:shd w:val="clear" w:color="auto" w:fill="auto"/>
          </w:tcPr>
          <w:p w:rsidR="00EE4586" w:rsidRPr="00E537F6" w:rsidRDefault="00EE4586" w:rsidP="00AF3F9E">
            <w:pPr>
              <w:pStyle w:val="normaltabel0"/>
            </w:pPr>
            <w:r w:rsidRPr="00E537F6">
              <w:t>Nee</w:t>
            </w:r>
          </w:p>
        </w:tc>
        <w:tc>
          <w:tcPr>
            <w:tcW w:w="6237" w:type="dxa"/>
            <w:tcBorders>
              <w:bottom w:val="single" w:sz="4" w:space="0" w:color="auto"/>
            </w:tcBorders>
            <w:shd w:val="clear" w:color="auto" w:fill="auto"/>
          </w:tcPr>
          <w:p w:rsidR="00EE4586" w:rsidRPr="00E537F6" w:rsidRDefault="00EE4586" w:rsidP="00AF3F9E">
            <w:pPr>
              <w:pStyle w:val="normaltabel0"/>
            </w:pPr>
            <w:r w:rsidRPr="00E537F6">
              <w:t>Er is geen BKG-inrichting aanwezig.</w:t>
            </w:r>
          </w:p>
        </w:tc>
      </w:tr>
    </w:tbl>
    <w:p w:rsidR="00D07131" w:rsidRDefault="00D07131" w:rsidP="00A1276F">
      <w:pPr>
        <w:keepNext/>
      </w:pPr>
    </w:p>
    <w:tbl>
      <w:tblPr>
        <w:tblW w:w="14064" w:type="dxa"/>
        <w:tblInd w:w="40" w:type="dxa"/>
        <w:tblLayout w:type="fixed"/>
        <w:tblCellMar>
          <w:left w:w="70" w:type="dxa"/>
          <w:right w:w="70" w:type="dxa"/>
        </w:tblCellMar>
        <w:tblLook w:val="0000"/>
      </w:tblPr>
      <w:tblGrid>
        <w:gridCol w:w="2298"/>
        <w:gridCol w:w="4555"/>
        <w:gridCol w:w="974"/>
        <w:gridCol w:w="6237"/>
      </w:tblGrid>
      <w:tr w:rsidR="00D07131" w:rsidRPr="00211AAC" w:rsidTr="006E0211">
        <w:trPr>
          <w:trHeight w:val="494"/>
          <w:tblHeader/>
        </w:trPr>
        <w:tc>
          <w:tcPr>
            <w:tcW w:w="2298" w:type="dxa"/>
            <w:tcBorders>
              <w:top w:val="single" w:sz="4" w:space="0" w:color="auto"/>
              <w:bottom w:val="single" w:sz="4" w:space="0" w:color="auto"/>
            </w:tcBorders>
            <w:shd w:val="clear" w:color="auto" w:fill="E0E0E0"/>
          </w:tcPr>
          <w:p w:rsidR="00D07131" w:rsidRDefault="00D07131" w:rsidP="00A1276F">
            <w:pPr>
              <w:pStyle w:val="normaltabel0"/>
              <w:keepNext/>
              <w:widowControl/>
            </w:pPr>
          </w:p>
        </w:tc>
        <w:tc>
          <w:tcPr>
            <w:tcW w:w="4555" w:type="dxa"/>
            <w:tcBorders>
              <w:top w:val="single" w:sz="4" w:space="0" w:color="auto"/>
              <w:bottom w:val="single" w:sz="4" w:space="0" w:color="auto"/>
            </w:tcBorders>
            <w:shd w:val="clear" w:color="auto" w:fill="E0E0E0"/>
          </w:tcPr>
          <w:p w:rsidR="00D07131" w:rsidRDefault="00D07131" w:rsidP="00A1276F">
            <w:pPr>
              <w:pStyle w:val="normaltabel0"/>
              <w:keepNext/>
              <w:widowControl/>
            </w:pPr>
            <w:r>
              <w:t>Korte inhoud</w:t>
            </w:r>
          </w:p>
        </w:tc>
        <w:tc>
          <w:tcPr>
            <w:tcW w:w="974" w:type="dxa"/>
            <w:tcBorders>
              <w:top w:val="single" w:sz="4" w:space="0" w:color="auto"/>
              <w:bottom w:val="single" w:sz="4" w:space="0" w:color="auto"/>
            </w:tcBorders>
            <w:shd w:val="clear" w:color="auto" w:fill="E0E0E0"/>
          </w:tcPr>
          <w:p w:rsidR="00D07131" w:rsidRPr="00D152DD" w:rsidRDefault="00D07131" w:rsidP="00A1276F">
            <w:pPr>
              <w:pStyle w:val="normaltabel0"/>
              <w:keepNext/>
              <w:widowControl/>
            </w:pPr>
            <w:r w:rsidRPr="00D152DD">
              <w:t>Relevant?</w:t>
            </w:r>
          </w:p>
        </w:tc>
        <w:tc>
          <w:tcPr>
            <w:tcW w:w="6237" w:type="dxa"/>
            <w:tcBorders>
              <w:top w:val="single" w:sz="4" w:space="0" w:color="auto"/>
              <w:bottom w:val="single" w:sz="4" w:space="0" w:color="auto"/>
            </w:tcBorders>
            <w:shd w:val="clear" w:color="auto" w:fill="E0E0E0"/>
          </w:tcPr>
          <w:p w:rsidR="00D07131" w:rsidRPr="00D152DD" w:rsidRDefault="00D07131" w:rsidP="00A1276F">
            <w:pPr>
              <w:pStyle w:val="normaltabel0"/>
              <w:keepNext/>
              <w:widowControl/>
            </w:pPr>
            <w:r w:rsidRPr="00D152DD">
              <w:t>Bespreking relevantie</w:t>
            </w:r>
          </w:p>
        </w:tc>
      </w:tr>
      <w:tr w:rsidR="00EE4586" w:rsidRPr="00211AAC" w:rsidTr="006E0211">
        <w:trPr>
          <w:trHeight w:val="247"/>
          <w:tblHeader/>
        </w:trPr>
        <w:tc>
          <w:tcPr>
            <w:tcW w:w="2298" w:type="dxa"/>
            <w:tcBorders>
              <w:top w:val="single" w:sz="4" w:space="0" w:color="auto"/>
            </w:tcBorders>
            <w:shd w:val="clear" w:color="auto" w:fill="auto"/>
          </w:tcPr>
          <w:p w:rsidR="00EE4586" w:rsidRDefault="00EE4586" w:rsidP="00A1276F">
            <w:pPr>
              <w:pStyle w:val="normaltabel0"/>
              <w:keepNext/>
              <w:widowControl/>
            </w:pPr>
            <w:r>
              <w:t>Legionella besluit (9/2/2007)</w:t>
            </w:r>
          </w:p>
          <w:p w:rsidR="00EE4586" w:rsidRDefault="00EE4586" w:rsidP="00A1276F">
            <w:pPr>
              <w:pStyle w:val="normaltabel0"/>
              <w:keepNext/>
              <w:widowControl/>
            </w:pPr>
          </w:p>
        </w:tc>
        <w:tc>
          <w:tcPr>
            <w:tcW w:w="4555" w:type="dxa"/>
            <w:tcBorders>
              <w:top w:val="single" w:sz="4" w:space="0" w:color="auto"/>
            </w:tcBorders>
            <w:shd w:val="clear" w:color="auto" w:fill="auto"/>
          </w:tcPr>
          <w:p w:rsidR="00EE4586" w:rsidRDefault="00EE4586" w:rsidP="00A1276F">
            <w:pPr>
              <w:pStyle w:val="normaltabel0"/>
              <w:keepNext/>
              <w:widowControl/>
            </w:pPr>
            <w:r>
              <w:t>Vaststellen van voorwaarden ter voorkoming van legionellabesmettingen uitgaande van zogenaamde risico-inrichtingen.</w:t>
            </w:r>
          </w:p>
        </w:tc>
        <w:tc>
          <w:tcPr>
            <w:tcW w:w="974" w:type="dxa"/>
            <w:tcBorders>
              <w:top w:val="single" w:sz="4" w:space="0" w:color="auto"/>
            </w:tcBorders>
            <w:shd w:val="clear" w:color="auto" w:fill="auto"/>
          </w:tcPr>
          <w:p w:rsidR="00EE4586" w:rsidRPr="00E537F6" w:rsidRDefault="006A392F" w:rsidP="00A1276F">
            <w:pPr>
              <w:pStyle w:val="normaltabel0"/>
              <w:keepNext/>
              <w:widowControl/>
            </w:pPr>
            <w:r>
              <w:t>ja</w:t>
            </w:r>
          </w:p>
        </w:tc>
        <w:tc>
          <w:tcPr>
            <w:tcW w:w="6237" w:type="dxa"/>
            <w:tcBorders>
              <w:top w:val="single" w:sz="4" w:space="0" w:color="auto"/>
            </w:tcBorders>
            <w:shd w:val="clear" w:color="auto" w:fill="auto"/>
          </w:tcPr>
          <w:p w:rsidR="00EE4586" w:rsidRPr="00E537F6" w:rsidRDefault="006A392F" w:rsidP="00A1276F">
            <w:pPr>
              <w:pStyle w:val="normaltabel0"/>
              <w:keepNext/>
              <w:widowControl/>
            </w:pPr>
            <w:r>
              <w:t>Er zijn douches voor het personeel aanwezig waarvoor deze wetgeving relevant is.</w:t>
            </w:r>
          </w:p>
        </w:tc>
      </w:tr>
      <w:tr w:rsidR="001A6421" w:rsidRPr="00211AAC" w:rsidTr="006E0211">
        <w:trPr>
          <w:trHeight w:val="247"/>
          <w:tblHeader/>
        </w:trPr>
        <w:tc>
          <w:tcPr>
            <w:tcW w:w="2298" w:type="dxa"/>
            <w:tcBorders>
              <w:bottom w:val="single" w:sz="4" w:space="0" w:color="auto"/>
            </w:tcBorders>
            <w:shd w:val="clear" w:color="auto" w:fill="auto"/>
          </w:tcPr>
          <w:p w:rsidR="001A6421" w:rsidRDefault="001A6421" w:rsidP="00A1276F">
            <w:pPr>
              <w:pStyle w:val="normaltabel0"/>
              <w:keepNext/>
              <w:widowControl/>
            </w:pPr>
            <w:r>
              <w:t>Afvalstoffendecreet (20/04/1994) en VLAREA (5/12/2003)</w:t>
            </w:r>
          </w:p>
        </w:tc>
        <w:tc>
          <w:tcPr>
            <w:tcW w:w="4555" w:type="dxa"/>
            <w:tcBorders>
              <w:bottom w:val="single" w:sz="4" w:space="0" w:color="auto"/>
            </w:tcBorders>
            <w:shd w:val="clear" w:color="auto" w:fill="auto"/>
          </w:tcPr>
          <w:p w:rsidR="001A6421" w:rsidRPr="003F1A6F" w:rsidRDefault="001A6421" w:rsidP="00A1276F">
            <w:pPr>
              <w:pStyle w:val="normaltabel0"/>
              <w:keepNext/>
              <w:widowControl/>
            </w:pPr>
            <w:r w:rsidRPr="003F1A6F">
              <w:t>Het afvalstoffendecreet vormt de wettelijke basis voor het realiseren van het afvalstoffenbeleid in Vlaanderen.</w:t>
            </w:r>
          </w:p>
          <w:p w:rsidR="001A6421" w:rsidRDefault="001A6421" w:rsidP="00A1276F">
            <w:pPr>
              <w:pStyle w:val="normaltabel0"/>
              <w:keepNext/>
              <w:widowControl/>
            </w:pPr>
            <w:r w:rsidRPr="003F1A6F">
              <w:t>Het Vlarea geeft uitvoering aan het afvalstoffenbeleid van Vlaanderen. Dit besluit regelt de indeling van afvalstoffen, de inzameling, het transport en de verwerking van afvalstoffen, de aanvaardingsplicht van bepaalde soorten afvalstoffen, …</w:t>
            </w:r>
          </w:p>
        </w:tc>
        <w:tc>
          <w:tcPr>
            <w:tcW w:w="974" w:type="dxa"/>
            <w:tcBorders>
              <w:bottom w:val="single" w:sz="4" w:space="0" w:color="auto"/>
            </w:tcBorders>
            <w:shd w:val="clear" w:color="auto" w:fill="auto"/>
          </w:tcPr>
          <w:p w:rsidR="001A6421" w:rsidRPr="00E537F6" w:rsidRDefault="006A392F" w:rsidP="00A1276F">
            <w:pPr>
              <w:pStyle w:val="normaltabel0"/>
              <w:keepNext/>
              <w:widowControl/>
            </w:pPr>
            <w:r>
              <w:t>ja</w:t>
            </w:r>
          </w:p>
        </w:tc>
        <w:tc>
          <w:tcPr>
            <w:tcW w:w="6237" w:type="dxa"/>
            <w:tcBorders>
              <w:bottom w:val="single" w:sz="4" w:space="0" w:color="auto"/>
            </w:tcBorders>
            <w:shd w:val="clear" w:color="auto" w:fill="auto"/>
          </w:tcPr>
          <w:p w:rsidR="001A6421" w:rsidRPr="00E537F6" w:rsidRDefault="006A392F" w:rsidP="00A1276F">
            <w:pPr>
              <w:pStyle w:val="normaltabel0"/>
              <w:keepNext/>
              <w:widowControl/>
            </w:pPr>
            <w:r>
              <w:t>Er worden afvalstoffen geproduceerd tijdens de realisatie van het project en de exploitatie ervan.</w:t>
            </w:r>
          </w:p>
        </w:tc>
      </w:tr>
    </w:tbl>
    <w:p w:rsidR="00682010" w:rsidRDefault="00682010" w:rsidP="00AF3F9E">
      <w:pPr>
        <w:pStyle w:val="tit-5"/>
      </w:pPr>
    </w:p>
    <w:p w:rsidR="0041080E" w:rsidRPr="00A81CD2" w:rsidRDefault="00613716" w:rsidP="004F40A7">
      <w:pPr>
        <w:pStyle w:val="tit-5"/>
        <w:outlineLvl w:val="0"/>
      </w:pPr>
      <w:r>
        <w:br w:type="page"/>
      </w:r>
      <w:r w:rsidR="0041080E">
        <w:lastRenderedPageBreak/>
        <w:t>Gewestelijk beleid</w:t>
      </w:r>
    </w:p>
    <w:tbl>
      <w:tblPr>
        <w:tblpPr w:leftFromText="180" w:rightFromText="180" w:vertAnchor="text" w:tblpY="1"/>
        <w:tblOverlap w:val="never"/>
        <w:tblW w:w="14064" w:type="dxa"/>
        <w:tblInd w:w="40" w:type="dxa"/>
        <w:tblLayout w:type="fixed"/>
        <w:tblCellMar>
          <w:left w:w="70" w:type="dxa"/>
          <w:right w:w="70" w:type="dxa"/>
        </w:tblCellMar>
        <w:tblLook w:val="0000"/>
      </w:tblPr>
      <w:tblGrid>
        <w:gridCol w:w="2298"/>
        <w:gridCol w:w="4555"/>
        <w:gridCol w:w="974"/>
        <w:gridCol w:w="6237"/>
      </w:tblGrid>
      <w:tr w:rsidR="00EE4586" w:rsidRPr="00211AAC" w:rsidTr="00541212">
        <w:trPr>
          <w:trHeight w:val="494"/>
          <w:tblHeader/>
        </w:trPr>
        <w:tc>
          <w:tcPr>
            <w:tcW w:w="2298" w:type="dxa"/>
            <w:tcBorders>
              <w:top w:val="single" w:sz="4" w:space="0" w:color="auto"/>
              <w:bottom w:val="single" w:sz="4" w:space="0" w:color="auto"/>
            </w:tcBorders>
            <w:shd w:val="clear" w:color="auto" w:fill="E0E0E0"/>
          </w:tcPr>
          <w:p w:rsidR="00EE4586" w:rsidRDefault="00EE4586" w:rsidP="00AF3F9E">
            <w:pPr>
              <w:pStyle w:val="normaltabel0"/>
            </w:pPr>
            <w:bookmarkStart w:id="342" w:name="OLE_LINK2"/>
          </w:p>
        </w:tc>
        <w:tc>
          <w:tcPr>
            <w:tcW w:w="4555" w:type="dxa"/>
            <w:tcBorders>
              <w:top w:val="single" w:sz="4" w:space="0" w:color="auto"/>
              <w:bottom w:val="single" w:sz="4" w:space="0" w:color="auto"/>
            </w:tcBorders>
            <w:shd w:val="clear" w:color="auto" w:fill="E0E0E0"/>
          </w:tcPr>
          <w:p w:rsidR="00EE4586" w:rsidRDefault="00EE4586" w:rsidP="00AF3F9E">
            <w:pPr>
              <w:pStyle w:val="normaltabel0"/>
            </w:pPr>
            <w:r>
              <w:t>Korte inhoud</w:t>
            </w:r>
          </w:p>
        </w:tc>
        <w:tc>
          <w:tcPr>
            <w:tcW w:w="974" w:type="dxa"/>
            <w:tcBorders>
              <w:top w:val="single" w:sz="4" w:space="0" w:color="auto"/>
              <w:bottom w:val="single" w:sz="4" w:space="0" w:color="auto"/>
            </w:tcBorders>
            <w:shd w:val="clear" w:color="auto" w:fill="E0E0E0"/>
          </w:tcPr>
          <w:p w:rsidR="00EE4586" w:rsidRPr="00E537F6" w:rsidRDefault="00EE4586" w:rsidP="00AF3F9E">
            <w:pPr>
              <w:pStyle w:val="normaltabel0"/>
            </w:pPr>
            <w:r w:rsidRPr="00E537F6">
              <w:t>Relevant?</w:t>
            </w:r>
          </w:p>
        </w:tc>
        <w:tc>
          <w:tcPr>
            <w:tcW w:w="6237" w:type="dxa"/>
            <w:tcBorders>
              <w:top w:val="single" w:sz="4" w:space="0" w:color="auto"/>
              <w:bottom w:val="single" w:sz="4" w:space="0" w:color="auto"/>
            </w:tcBorders>
            <w:shd w:val="clear" w:color="auto" w:fill="E0E0E0"/>
          </w:tcPr>
          <w:p w:rsidR="00EE4586" w:rsidRPr="00E537F6" w:rsidRDefault="00EE4586" w:rsidP="00AF3F9E">
            <w:pPr>
              <w:pStyle w:val="normaltabel0"/>
            </w:pPr>
            <w:r w:rsidRPr="00E537F6">
              <w:t>Bespreking relevantie</w:t>
            </w:r>
          </w:p>
        </w:tc>
      </w:tr>
      <w:bookmarkEnd w:id="342"/>
      <w:tr w:rsidR="00EE4586" w:rsidRPr="00211AAC" w:rsidTr="00541212">
        <w:trPr>
          <w:trHeight w:val="247"/>
        </w:trPr>
        <w:tc>
          <w:tcPr>
            <w:tcW w:w="2298" w:type="dxa"/>
          </w:tcPr>
          <w:p w:rsidR="00EE4586" w:rsidRPr="00154281" w:rsidRDefault="00EE4586" w:rsidP="00AF3F9E">
            <w:pPr>
              <w:pStyle w:val="normaltabel0"/>
            </w:pPr>
            <w:r w:rsidRPr="00154281">
              <w:t xml:space="preserve">Ruimtelijk structuurplan Vlaanderen </w:t>
            </w:r>
          </w:p>
          <w:p w:rsidR="00EE4586" w:rsidRPr="00154281" w:rsidRDefault="00EE4586" w:rsidP="00AF3F9E">
            <w:pPr>
              <w:pStyle w:val="normaltabel0"/>
            </w:pPr>
          </w:p>
        </w:tc>
        <w:tc>
          <w:tcPr>
            <w:tcW w:w="4555" w:type="dxa"/>
          </w:tcPr>
          <w:p w:rsidR="00EE4586" w:rsidRPr="00154281" w:rsidRDefault="00EE4586" w:rsidP="00AF3F9E">
            <w:pPr>
              <w:pStyle w:val="normaltabel0"/>
              <w:rPr>
                <w:szCs w:val="20"/>
                <w:lang w:eastAsia="nl-NL"/>
              </w:rPr>
            </w:pPr>
            <w:r w:rsidRPr="00154281">
              <w:rPr>
                <w:lang w:eastAsia="nl-NL"/>
              </w:rPr>
              <w:t>Geeft een visie op de ruimtelijke ontwikkeling van Vlaanderen en legt de krachtlijnen vast van het ruimtelijk beleid naar de toekomst.</w:t>
            </w:r>
          </w:p>
        </w:tc>
        <w:tc>
          <w:tcPr>
            <w:tcW w:w="974" w:type="dxa"/>
            <w:tcBorders>
              <w:top w:val="single" w:sz="4" w:space="0" w:color="auto"/>
            </w:tcBorders>
            <w:shd w:val="clear" w:color="auto" w:fill="auto"/>
          </w:tcPr>
          <w:p w:rsidR="00EE4586" w:rsidRPr="00E537F6" w:rsidRDefault="00EE4586" w:rsidP="00AF3F9E">
            <w:pPr>
              <w:pStyle w:val="normaltabel0"/>
            </w:pPr>
            <w:r w:rsidRPr="00E537F6">
              <w:t>Nee</w:t>
            </w:r>
          </w:p>
        </w:tc>
        <w:tc>
          <w:tcPr>
            <w:tcW w:w="6237" w:type="dxa"/>
            <w:tcBorders>
              <w:top w:val="single" w:sz="4" w:space="0" w:color="auto"/>
            </w:tcBorders>
            <w:shd w:val="clear" w:color="auto" w:fill="auto"/>
          </w:tcPr>
          <w:p w:rsidR="003B1897" w:rsidRPr="003B1897" w:rsidRDefault="00C325A0" w:rsidP="00AF3F9E">
            <w:pPr>
              <w:pStyle w:val="normaltabel0"/>
            </w:pPr>
            <w:fldSimple w:instr=" REF klant \h  \* MERGEFORMAT ">
              <w:r w:rsidR="008102D8">
                <w:t xml:space="preserve">Vopak Terminal Eurotank NV </w:t>
              </w:r>
            </w:fldSimple>
            <w:r w:rsidR="006E0211" w:rsidRPr="00E537F6">
              <w:t xml:space="preserve"> </w:t>
            </w:r>
            <w:r w:rsidR="006E0211">
              <w:t xml:space="preserve">is gelegen in </w:t>
            </w:r>
            <w:r w:rsidR="003B1897">
              <w:t>zeehavengebied Antwerpen</w:t>
            </w:r>
            <w:r w:rsidR="006E0211">
              <w:t>. In het RSV wordt de haven van Antwerpen gerekend tot een gebied van economische activiteiten. De Antwerpse</w:t>
            </w:r>
            <w:r w:rsidR="003B1897">
              <w:t xml:space="preserve"> haven wordt zelfs omschreven als een ‘Poort’ wat inhoudt dat de ruimtelijke ontwikkeling van o.m. industriële activiteiten in dit gebied gewaarborgd blijft.</w:t>
            </w:r>
          </w:p>
        </w:tc>
      </w:tr>
      <w:tr w:rsidR="00EE4586" w:rsidRPr="00211AAC" w:rsidTr="00541212">
        <w:trPr>
          <w:trHeight w:val="247"/>
        </w:trPr>
        <w:tc>
          <w:tcPr>
            <w:tcW w:w="2298" w:type="dxa"/>
          </w:tcPr>
          <w:p w:rsidR="00EE4586" w:rsidRDefault="00EE4586" w:rsidP="00AF3F9E">
            <w:pPr>
              <w:pStyle w:val="normaltabel0"/>
            </w:pPr>
            <w:r>
              <w:t xml:space="preserve">Vlaams Ecologisch Netwerk (VEN) </w:t>
            </w:r>
          </w:p>
        </w:tc>
        <w:tc>
          <w:tcPr>
            <w:tcW w:w="4555" w:type="dxa"/>
          </w:tcPr>
          <w:p w:rsidR="00EE4586" w:rsidRDefault="00EE4586" w:rsidP="00AF3F9E">
            <w:pPr>
              <w:pStyle w:val="normaltabel0"/>
            </w:pPr>
            <w:r>
              <w:t xml:space="preserve">Afbakening VEN-gebieden. Binnen VEN-gebieden gelden er specifieke voorschriften m.b.t. handelingen die toegelaten zijn binnen dergelijke gebieden. </w:t>
            </w:r>
          </w:p>
        </w:tc>
        <w:tc>
          <w:tcPr>
            <w:tcW w:w="974" w:type="dxa"/>
            <w:shd w:val="clear" w:color="auto" w:fill="auto"/>
          </w:tcPr>
          <w:p w:rsidR="00EE4586" w:rsidRPr="00E537F6" w:rsidRDefault="00EE4586" w:rsidP="00AF3F9E">
            <w:pPr>
              <w:pStyle w:val="normaltabel0"/>
            </w:pPr>
            <w:r w:rsidRPr="00E537F6">
              <w:t>Nee</w:t>
            </w:r>
          </w:p>
        </w:tc>
        <w:tc>
          <w:tcPr>
            <w:tcW w:w="6237" w:type="dxa"/>
            <w:shd w:val="clear" w:color="auto" w:fill="auto"/>
          </w:tcPr>
          <w:p w:rsidR="00EE4586" w:rsidRPr="00E537F6" w:rsidRDefault="00EE4586" w:rsidP="00AF3F9E">
            <w:pPr>
              <w:pStyle w:val="normaltabel0"/>
            </w:pPr>
            <w:r w:rsidRPr="00E537F6">
              <w:t>De inrichting is niet gelegen in een VEN-gebied.</w:t>
            </w:r>
          </w:p>
        </w:tc>
      </w:tr>
      <w:tr w:rsidR="00EE4586" w:rsidRPr="00211AAC" w:rsidTr="00541212">
        <w:trPr>
          <w:trHeight w:val="247"/>
        </w:trPr>
        <w:tc>
          <w:tcPr>
            <w:tcW w:w="2298" w:type="dxa"/>
          </w:tcPr>
          <w:p w:rsidR="00EE4586" w:rsidRDefault="00EE4586" w:rsidP="00AF3F9E">
            <w:pPr>
              <w:pStyle w:val="normaltabel0"/>
            </w:pPr>
            <w:r>
              <w:t>Minaplan</w:t>
            </w:r>
          </w:p>
          <w:p w:rsidR="00EE4586" w:rsidRDefault="00EE4586" w:rsidP="00AF3F9E">
            <w:pPr>
              <w:pStyle w:val="normaltabel0"/>
            </w:pPr>
          </w:p>
        </w:tc>
        <w:tc>
          <w:tcPr>
            <w:tcW w:w="4555" w:type="dxa"/>
          </w:tcPr>
          <w:p w:rsidR="00EE4586" w:rsidRPr="001D1FFC" w:rsidRDefault="00EE4586" w:rsidP="00AF3F9E">
            <w:pPr>
              <w:pStyle w:val="normaltabel0"/>
            </w:pPr>
            <w:r w:rsidRPr="001D1FFC">
              <w:t>Legt de krachtlijnen vast van het Vlaamse milieubeleid naar de toekomst.</w:t>
            </w:r>
          </w:p>
        </w:tc>
        <w:tc>
          <w:tcPr>
            <w:tcW w:w="974" w:type="dxa"/>
            <w:shd w:val="clear" w:color="auto" w:fill="auto"/>
          </w:tcPr>
          <w:p w:rsidR="00EE4586" w:rsidRPr="00E537F6" w:rsidRDefault="00EE4586" w:rsidP="00AF3F9E">
            <w:pPr>
              <w:pStyle w:val="normaltabel0"/>
            </w:pPr>
            <w:r w:rsidRPr="00E537F6">
              <w:t>Ja</w:t>
            </w:r>
          </w:p>
        </w:tc>
        <w:tc>
          <w:tcPr>
            <w:tcW w:w="6237" w:type="dxa"/>
            <w:shd w:val="clear" w:color="auto" w:fill="auto"/>
          </w:tcPr>
          <w:p w:rsidR="00EE4586" w:rsidRPr="00E537F6" w:rsidRDefault="00EE4586" w:rsidP="00AF3F9E">
            <w:pPr>
              <w:pStyle w:val="normaltabel0"/>
            </w:pPr>
            <w:r w:rsidRPr="00E537F6">
              <w:t>Diverse thema’s uit het Mina-plan zijn relevant voor het project.</w:t>
            </w:r>
          </w:p>
        </w:tc>
      </w:tr>
      <w:tr w:rsidR="00EE4586" w:rsidRPr="00211AAC" w:rsidTr="00541212">
        <w:trPr>
          <w:trHeight w:val="247"/>
        </w:trPr>
        <w:tc>
          <w:tcPr>
            <w:tcW w:w="2298" w:type="dxa"/>
          </w:tcPr>
          <w:p w:rsidR="00EE4586" w:rsidRDefault="00EE4586" w:rsidP="00AF3F9E">
            <w:pPr>
              <w:pStyle w:val="normaltabel0"/>
            </w:pPr>
            <w:r>
              <w:t xml:space="preserve">Protocol van Kyoto </w:t>
            </w:r>
          </w:p>
        </w:tc>
        <w:tc>
          <w:tcPr>
            <w:tcW w:w="4555" w:type="dxa"/>
          </w:tcPr>
          <w:p w:rsidR="00EE4586" w:rsidRPr="001D1FFC" w:rsidRDefault="00EE4586" w:rsidP="00AF3F9E">
            <w:pPr>
              <w:pStyle w:val="normaltabel0"/>
            </w:pPr>
            <w:r>
              <w:t xml:space="preserve">Protocol ter reductie van emissie broeikasgassen </w:t>
            </w:r>
          </w:p>
        </w:tc>
        <w:tc>
          <w:tcPr>
            <w:tcW w:w="974" w:type="dxa"/>
            <w:shd w:val="clear" w:color="auto" w:fill="auto"/>
          </w:tcPr>
          <w:p w:rsidR="00EE4586" w:rsidRPr="00E537F6" w:rsidRDefault="00EE4586" w:rsidP="00AF3F9E">
            <w:pPr>
              <w:pStyle w:val="normaltabel0"/>
            </w:pPr>
            <w:r w:rsidRPr="00E537F6">
              <w:t>Nee</w:t>
            </w:r>
          </w:p>
        </w:tc>
        <w:tc>
          <w:tcPr>
            <w:tcW w:w="6237" w:type="dxa"/>
            <w:shd w:val="clear" w:color="auto" w:fill="auto"/>
          </w:tcPr>
          <w:p w:rsidR="00EE4586" w:rsidRPr="00E537F6" w:rsidRDefault="00C325A0" w:rsidP="00AF3F9E">
            <w:pPr>
              <w:pStyle w:val="normaltabel0"/>
            </w:pPr>
            <w:fldSimple w:instr=" REF klant \h  \* MERGEFORMAT ">
              <w:r w:rsidR="008102D8">
                <w:t xml:space="preserve">Vopak Terminal Eurotank NV </w:t>
              </w:r>
            </w:fldSimple>
            <w:r w:rsidR="00EE4586" w:rsidRPr="00E537F6">
              <w:rPr>
                <w:lang w:val="nl-BE"/>
              </w:rPr>
              <w:t xml:space="preserve"> </w:t>
            </w:r>
            <w:r w:rsidR="00EE4586" w:rsidRPr="00E537F6">
              <w:t>wordt niet beschouwd als een energie-intensieve inrichting.</w:t>
            </w:r>
          </w:p>
        </w:tc>
      </w:tr>
      <w:tr w:rsidR="003B1897" w:rsidRPr="00211AAC" w:rsidTr="00541212">
        <w:trPr>
          <w:trHeight w:val="247"/>
        </w:trPr>
        <w:tc>
          <w:tcPr>
            <w:tcW w:w="2298" w:type="dxa"/>
          </w:tcPr>
          <w:p w:rsidR="003B1897" w:rsidRDefault="003B1897" w:rsidP="00AF3F9E">
            <w:pPr>
              <w:pStyle w:val="normaltabel0"/>
            </w:pPr>
            <w:r>
              <w:t>Vlaams Klimaatsbeleidsplan</w:t>
            </w:r>
          </w:p>
        </w:tc>
        <w:tc>
          <w:tcPr>
            <w:tcW w:w="4555" w:type="dxa"/>
          </w:tcPr>
          <w:p w:rsidR="003B1897" w:rsidRDefault="003B1897" w:rsidP="00AF3F9E">
            <w:pPr>
              <w:pStyle w:val="normaltabel0"/>
            </w:pPr>
            <w:r>
              <w:t>Het klimaatbeleidsplan bevat meetregelen ter uitvoering van Kyoto-protocol</w:t>
            </w:r>
          </w:p>
        </w:tc>
        <w:tc>
          <w:tcPr>
            <w:tcW w:w="974" w:type="dxa"/>
            <w:shd w:val="clear" w:color="auto" w:fill="auto"/>
          </w:tcPr>
          <w:p w:rsidR="003B1897" w:rsidRPr="00E537F6" w:rsidRDefault="003B1897" w:rsidP="00AF3F9E">
            <w:pPr>
              <w:pStyle w:val="normaltabel0"/>
            </w:pPr>
            <w:r w:rsidRPr="00E537F6">
              <w:t>Nee</w:t>
            </w:r>
          </w:p>
        </w:tc>
        <w:tc>
          <w:tcPr>
            <w:tcW w:w="6237" w:type="dxa"/>
            <w:shd w:val="clear" w:color="auto" w:fill="auto"/>
          </w:tcPr>
          <w:p w:rsidR="003B1897" w:rsidRPr="00E537F6" w:rsidRDefault="00C325A0" w:rsidP="00AF3F9E">
            <w:pPr>
              <w:pStyle w:val="normaltabel0"/>
            </w:pPr>
            <w:fldSimple w:instr=" REF klant \h  \* MERGEFORMAT ">
              <w:r w:rsidR="008102D8">
                <w:t xml:space="preserve">Vopak Terminal Eurotank NV </w:t>
              </w:r>
            </w:fldSimple>
            <w:r w:rsidR="003B1897" w:rsidRPr="00E537F6">
              <w:rPr>
                <w:lang w:val="nl-BE"/>
              </w:rPr>
              <w:t xml:space="preserve"> </w:t>
            </w:r>
            <w:r w:rsidR="003B1897" w:rsidRPr="00E537F6">
              <w:t>wordt niet beschouwd als een energie-intensieve inrichting.</w:t>
            </w:r>
          </w:p>
        </w:tc>
      </w:tr>
      <w:tr w:rsidR="003B1897" w:rsidRPr="00211AAC" w:rsidTr="00541212">
        <w:trPr>
          <w:trHeight w:val="247"/>
        </w:trPr>
        <w:tc>
          <w:tcPr>
            <w:tcW w:w="2298" w:type="dxa"/>
          </w:tcPr>
          <w:p w:rsidR="003B1897" w:rsidRDefault="003B1897" w:rsidP="00AF3F9E">
            <w:pPr>
              <w:pStyle w:val="normaltabel0"/>
            </w:pPr>
            <w:r>
              <w:t>Protocol van Göteborg / NEC-richtlijn</w:t>
            </w:r>
          </w:p>
          <w:p w:rsidR="003B1897" w:rsidRDefault="003B1897" w:rsidP="00AF3F9E">
            <w:pPr>
              <w:pStyle w:val="normaltabel0"/>
            </w:pPr>
            <w:r>
              <w:t xml:space="preserve"> </w:t>
            </w:r>
            <w:r w:rsidRPr="001D1FFC">
              <w:t>NEC-reductieprogramma</w:t>
            </w:r>
          </w:p>
        </w:tc>
        <w:tc>
          <w:tcPr>
            <w:tcW w:w="4555" w:type="dxa"/>
          </w:tcPr>
          <w:p w:rsidR="003B1897" w:rsidRPr="00D04FDA" w:rsidRDefault="003B1897" w:rsidP="00AF3F9E">
            <w:pPr>
              <w:pStyle w:val="normaltabel0"/>
            </w:pPr>
            <w:r w:rsidRPr="00D04FDA">
              <w:t xml:space="preserve">Protocol / richtlijn ter reductie van o.m. emissies VOS en NOx. </w:t>
            </w:r>
          </w:p>
          <w:p w:rsidR="003B1897" w:rsidRPr="00D04FDA" w:rsidRDefault="003B1897" w:rsidP="00AF3F9E">
            <w:pPr>
              <w:pStyle w:val="normaltabel0"/>
            </w:pPr>
            <w:r w:rsidRPr="00D04FDA">
              <w:t>Het NEC – reductieprogramma bevat maatregelen ter realisatie van de doelstellingen van de NEC-richtlijn.</w:t>
            </w:r>
          </w:p>
        </w:tc>
        <w:tc>
          <w:tcPr>
            <w:tcW w:w="974" w:type="dxa"/>
            <w:shd w:val="clear" w:color="auto" w:fill="auto"/>
          </w:tcPr>
          <w:p w:rsidR="003B1897" w:rsidRPr="00E537F6" w:rsidRDefault="0093345D" w:rsidP="00AF3F9E">
            <w:pPr>
              <w:pStyle w:val="normaltabel0"/>
            </w:pPr>
            <w:r>
              <w:t>Ja</w:t>
            </w:r>
          </w:p>
        </w:tc>
        <w:tc>
          <w:tcPr>
            <w:tcW w:w="6237" w:type="dxa"/>
            <w:shd w:val="clear" w:color="auto" w:fill="auto"/>
          </w:tcPr>
          <w:p w:rsidR="003B1897" w:rsidRPr="00E537F6" w:rsidRDefault="003B1897" w:rsidP="00AF3F9E">
            <w:pPr>
              <w:pStyle w:val="normaltabel0"/>
            </w:pPr>
            <w:r>
              <w:t>De activiteiten van VTE geven aanleiding tot emissies van VOS. Wat betreft VOS wordt een reductie van de totale VOS-uitstoot op Vlaams niveau van 70,9 kton beoogd. Ter realisatie hiervan zijn in het NEC-reductieprogramma specifieke maatregelen voor de chemische sector voorzien. Gezien de totale VOS-emissie van VTE wordt dan ook specifiek nagegaan welke (aanvullende) emissiereducerende maatregegelen haalbaar zijn.</w:t>
            </w:r>
          </w:p>
        </w:tc>
      </w:tr>
      <w:tr w:rsidR="00541212" w:rsidRPr="00211AAC" w:rsidTr="00541212">
        <w:trPr>
          <w:trHeight w:val="247"/>
        </w:trPr>
        <w:tc>
          <w:tcPr>
            <w:tcW w:w="2298" w:type="dxa"/>
          </w:tcPr>
          <w:p w:rsidR="00541212" w:rsidRDefault="00541212" w:rsidP="00AF3F9E">
            <w:pPr>
              <w:pStyle w:val="normaltabel0"/>
            </w:pPr>
            <w:r>
              <w:t>Vlaams stofplan</w:t>
            </w:r>
          </w:p>
        </w:tc>
        <w:tc>
          <w:tcPr>
            <w:tcW w:w="4555" w:type="dxa"/>
          </w:tcPr>
          <w:p w:rsidR="00541212" w:rsidRDefault="00541212" w:rsidP="00AF3F9E">
            <w:pPr>
              <w:pStyle w:val="normaltabel0"/>
            </w:pPr>
            <w:r>
              <w:t>Beleidsplan ter beperking van de concentratie aan fijn stof</w:t>
            </w:r>
          </w:p>
        </w:tc>
        <w:tc>
          <w:tcPr>
            <w:tcW w:w="974" w:type="dxa"/>
            <w:shd w:val="clear" w:color="auto" w:fill="auto"/>
          </w:tcPr>
          <w:p w:rsidR="00541212" w:rsidRPr="00E537F6" w:rsidRDefault="00541212" w:rsidP="00AF3F9E">
            <w:pPr>
              <w:pStyle w:val="normaltabel0"/>
            </w:pPr>
            <w:r>
              <w:t>Nee</w:t>
            </w:r>
          </w:p>
        </w:tc>
        <w:tc>
          <w:tcPr>
            <w:tcW w:w="6237" w:type="dxa"/>
            <w:shd w:val="clear" w:color="auto" w:fill="auto"/>
          </w:tcPr>
          <w:p w:rsidR="00541212" w:rsidRPr="00E537F6" w:rsidRDefault="00541212" w:rsidP="00AF3F9E">
            <w:pPr>
              <w:pStyle w:val="normaltabel0"/>
            </w:pPr>
            <w:r w:rsidRPr="00E537F6">
              <w:t xml:space="preserve">De activiteiten </w:t>
            </w:r>
            <w:r>
              <w:t>van het bedrijf geven geen aanleiding tot emissies van fijn stof.</w:t>
            </w:r>
          </w:p>
        </w:tc>
      </w:tr>
      <w:tr w:rsidR="00541212" w:rsidRPr="00211AAC" w:rsidTr="00541212">
        <w:trPr>
          <w:trHeight w:val="247"/>
        </w:trPr>
        <w:tc>
          <w:tcPr>
            <w:tcW w:w="2298" w:type="dxa"/>
          </w:tcPr>
          <w:p w:rsidR="00541212" w:rsidRPr="00D04FDA" w:rsidRDefault="00541212" w:rsidP="00AF3F9E">
            <w:pPr>
              <w:pStyle w:val="XPntabel"/>
            </w:pPr>
            <w:r w:rsidRPr="00D04FDA">
              <w:t xml:space="preserve">Reductieprogramma </w:t>
            </w:r>
            <w:r w:rsidRPr="00D04FDA">
              <w:lastRenderedPageBreak/>
              <w:t>gevaarlijke stoffen</w:t>
            </w:r>
          </w:p>
        </w:tc>
        <w:tc>
          <w:tcPr>
            <w:tcW w:w="4555" w:type="dxa"/>
          </w:tcPr>
          <w:p w:rsidR="00541212" w:rsidRPr="00D04FDA" w:rsidRDefault="00541212" w:rsidP="00AF3F9E">
            <w:pPr>
              <w:pStyle w:val="XPntabel"/>
            </w:pPr>
            <w:r w:rsidRPr="00D04FDA">
              <w:lastRenderedPageBreak/>
              <w:t xml:space="preserve">Het Reductieprogramma gevaarlijke stoffen kadert de </w:t>
            </w:r>
            <w:r w:rsidRPr="00D04FDA">
              <w:lastRenderedPageBreak/>
              <w:t>diverse elementen van het beleid inzake lozing van gevaarlijke stoffen in het oppervlaktewater.</w:t>
            </w:r>
          </w:p>
        </w:tc>
        <w:tc>
          <w:tcPr>
            <w:tcW w:w="974" w:type="dxa"/>
            <w:shd w:val="clear" w:color="auto" w:fill="auto"/>
          </w:tcPr>
          <w:p w:rsidR="00541212" w:rsidRPr="00D04FDA" w:rsidRDefault="00541212" w:rsidP="00AF3F9E">
            <w:pPr>
              <w:pStyle w:val="normaltabel0"/>
            </w:pPr>
            <w:r w:rsidRPr="00D04FDA">
              <w:lastRenderedPageBreak/>
              <w:t>Ja</w:t>
            </w:r>
          </w:p>
        </w:tc>
        <w:tc>
          <w:tcPr>
            <w:tcW w:w="6237" w:type="dxa"/>
            <w:shd w:val="clear" w:color="auto" w:fill="auto"/>
          </w:tcPr>
          <w:p w:rsidR="00541212" w:rsidRPr="00D04FDA" w:rsidRDefault="00541212" w:rsidP="00AF3F9E">
            <w:pPr>
              <w:pStyle w:val="normaltabel0"/>
            </w:pPr>
            <w:r>
              <w:t xml:space="preserve">Het geloosde arfvalwater bevat diverse stoffen die opgenomen zijn in het </w:t>
            </w:r>
            <w:r>
              <w:lastRenderedPageBreak/>
              <w:t>reductieprogramma. Bij de effectvoorspelling en –beoordeling binnen de discipline oppervlaktewater zal hieraan dan ook de nodige aandacht besteed worden.</w:t>
            </w:r>
          </w:p>
        </w:tc>
      </w:tr>
      <w:tr w:rsidR="00541212" w:rsidRPr="00211AAC" w:rsidTr="00541212">
        <w:trPr>
          <w:trHeight w:val="247"/>
        </w:trPr>
        <w:tc>
          <w:tcPr>
            <w:tcW w:w="2298" w:type="dxa"/>
          </w:tcPr>
          <w:p w:rsidR="00541212" w:rsidRPr="001A6421" w:rsidRDefault="00541212" w:rsidP="00AF3F9E">
            <w:pPr>
              <w:pStyle w:val="XPntabel"/>
            </w:pPr>
            <w:r w:rsidRPr="001A6421">
              <w:lastRenderedPageBreak/>
              <w:t>Waterbeleidsnota</w:t>
            </w:r>
          </w:p>
        </w:tc>
        <w:tc>
          <w:tcPr>
            <w:tcW w:w="4555" w:type="dxa"/>
          </w:tcPr>
          <w:p w:rsidR="00541212" w:rsidRPr="001A6421" w:rsidRDefault="00541212" w:rsidP="00AF3F9E">
            <w:pPr>
              <w:pStyle w:val="XPntabel"/>
            </w:pPr>
            <w:r w:rsidRPr="001A6421">
              <w:t>De waterbeleidsnota legt de krachtlijnen vast van de visie van de Vlaamse Regering op het integraal waterbeleid in het Vlaamse Gewest.</w:t>
            </w:r>
          </w:p>
        </w:tc>
        <w:tc>
          <w:tcPr>
            <w:tcW w:w="974" w:type="dxa"/>
            <w:shd w:val="clear" w:color="auto" w:fill="auto"/>
          </w:tcPr>
          <w:p w:rsidR="00541212" w:rsidRPr="001A6421" w:rsidRDefault="00541212" w:rsidP="00AF3F9E">
            <w:pPr>
              <w:pStyle w:val="XPntabel"/>
            </w:pPr>
            <w:r w:rsidRPr="001A6421">
              <w:t>Ja</w:t>
            </w:r>
          </w:p>
        </w:tc>
        <w:tc>
          <w:tcPr>
            <w:tcW w:w="6237" w:type="dxa"/>
            <w:shd w:val="clear" w:color="auto" w:fill="auto"/>
          </w:tcPr>
          <w:p w:rsidR="00541212" w:rsidRPr="001A6421" w:rsidRDefault="00541212" w:rsidP="00AF3F9E">
            <w:pPr>
              <w:pStyle w:val="XPntabel"/>
            </w:pPr>
            <w:r>
              <w:t>Het project omvat het lozen van afvalwater.</w:t>
            </w:r>
          </w:p>
        </w:tc>
      </w:tr>
      <w:tr w:rsidR="00541212" w:rsidRPr="00211AAC" w:rsidTr="00541212">
        <w:trPr>
          <w:trHeight w:val="247"/>
        </w:trPr>
        <w:tc>
          <w:tcPr>
            <w:tcW w:w="2298" w:type="dxa"/>
            <w:tcBorders>
              <w:bottom w:val="single" w:sz="4" w:space="0" w:color="auto"/>
            </w:tcBorders>
          </w:tcPr>
          <w:p w:rsidR="00541212" w:rsidRPr="001A6421" w:rsidRDefault="00541212" w:rsidP="00AF3F9E">
            <w:pPr>
              <w:pStyle w:val="XPntabel"/>
            </w:pPr>
            <w:r>
              <w:t>Bekkenbeheerplan Benedenscheldebekken</w:t>
            </w:r>
          </w:p>
        </w:tc>
        <w:tc>
          <w:tcPr>
            <w:tcW w:w="4555" w:type="dxa"/>
            <w:tcBorders>
              <w:bottom w:val="single" w:sz="4" w:space="0" w:color="auto"/>
            </w:tcBorders>
          </w:tcPr>
          <w:p w:rsidR="00541212" w:rsidRPr="001A6421" w:rsidRDefault="00541212" w:rsidP="00AF3F9E">
            <w:pPr>
              <w:pStyle w:val="XPntabel"/>
            </w:pPr>
            <w:r>
              <w:t>Binnen het bekkenbeheerplan wordt de beleidsvisie op het integrale waterbeleid binnen het bekken van de Benedenschelde omschreven.</w:t>
            </w:r>
          </w:p>
        </w:tc>
        <w:tc>
          <w:tcPr>
            <w:tcW w:w="974" w:type="dxa"/>
            <w:tcBorders>
              <w:bottom w:val="single" w:sz="4" w:space="0" w:color="auto"/>
            </w:tcBorders>
            <w:shd w:val="clear" w:color="auto" w:fill="auto"/>
          </w:tcPr>
          <w:p w:rsidR="00541212" w:rsidRPr="001A6421" w:rsidRDefault="00394D88" w:rsidP="00AF3F9E">
            <w:pPr>
              <w:pStyle w:val="XPntabel"/>
            </w:pPr>
            <w:r>
              <w:t>Ja</w:t>
            </w:r>
          </w:p>
        </w:tc>
        <w:tc>
          <w:tcPr>
            <w:tcW w:w="6237" w:type="dxa"/>
            <w:tcBorders>
              <w:bottom w:val="single" w:sz="4" w:space="0" w:color="auto"/>
            </w:tcBorders>
            <w:shd w:val="clear" w:color="auto" w:fill="auto"/>
          </w:tcPr>
          <w:p w:rsidR="00541212" w:rsidRDefault="00394D88" w:rsidP="00AF3F9E">
            <w:pPr>
              <w:pStyle w:val="XPntabel"/>
            </w:pPr>
            <w:r>
              <w:t>Het project omvat de lozing van afvalwater.</w:t>
            </w:r>
          </w:p>
        </w:tc>
      </w:tr>
    </w:tbl>
    <w:p w:rsidR="0041080E" w:rsidRDefault="0041080E" w:rsidP="00AF3F9E">
      <w:pPr>
        <w:pStyle w:val="tit-5"/>
      </w:pPr>
      <w:r>
        <w:t>Provinciaal beleid</w:t>
      </w:r>
    </w:p>
    <w:tbl>
      <w:tblPr>
        <w:tblW w:w="14064" w:type="dxa"/>
        <w:tblInd w:w="40" w:type="dxa"/>
        <w:tblLayout w:type="fixed"/>
        <w:tblCellMar>
          <w:left w:w="70" w:type="dxa"/>
          <w:right w:w="70" w:type="dxa"/>
        </w:tblCellMar>
        <w:tblLook w:val="0000"/>
      </w:tblPr>
      <w:tblGrid>
        <w:gridCol w:w="2298"/>
        <w:gridCol w:w="4555"/>
        <w:gridCol w:w="974"/>
        <w:gridCol w:w="6237"/>
      </w:tblGrid>
      <w:tr w:rsidR="001C1EA3" w:rsidRPr="00211AAC" w:rsidTr="008202BB">
        <w:trPr>
          <w:trHeight w:val="494"/>
          <w:tblHeader/>
        </w:trPr>
        <w:tc>
          <w:tcPr>
            <w:tcW w:w="2298" w:type="dxa"/>
            <w:tcBorders>
              <w:top w:val="single" w:sz="4" w:space="0" w:color="auto"/>
              <w:bottom w:val="single" w:sz="4" w:space="0" w:color="auto"/>
            </w:tcBorders>
            <w:shd w:val="clear" w:color="auto" w:fill="E0E0E0"/>
          </w:tcPr>
          <w:p w:rsidR="001C1EA3" w:rsidRDefault="001C1EA3" w:rsidP="00AF3F9E">
            <w:pPr>
              <w:pStyle w:val="normaltabel0"/>
            </w:pPr>
          </w:p>
        </w:tc>
        <w:tc>
          <w:tcPr>
            <w:tcW w:w="4555" w:type="dxa"/>
            <w:tcBorders>
              <w:top w:val="single" w:sz="4" w:space="0" w:color="auto"/>
              <w:bottom w:val="single" w:sz="4" w:space="0" w:color="auto"/>
            </w:tcBorders>
            <w:shd w:val="clear" w:color="auto" w:fill="E0E0E0"/>
          </w:tcPr>
          <w:p w:rsidR="001C1EA3" w:rsidRDefault="001C1EA3" w:rsidP="00AF3F9E">
            <w:pPr>
              <w:pStyle w:val="normaltabel0"/>
            </w:pPr>
            <w:r>
              <w:t>Korte inhoud</w:t>
            </w:r>
          </w:p>
        </w:tc>
        <w:tc>
          <w:tcPr>
            <w:tcW w:w="974" w:type="dxa"/>
            <w:tcBorders>
              <w:top w:val="single" w:sz="4" w:space="0" w:color="auto"/>
              <w:bottom w:val="single" w:sz="4" w:space="0" w:color="auto"/>
            </w:tcBorders>
            <w:shd w:val="clear" w:color="auto" w:fill="E0E0E0"/>
          </w:tcPr>
          <w:p w:rsidR="001C1EA3" w:rsidRPr="00482C10" w:rsidRDefault="001C1EA3" w:rsidP="00AF3F9E">
            <w:pPr>
              <w:pStyle w:val="normaltabel0"/>
            </w:pPr>
            <w:r w:rsidRPr="00482C10">
              <w:t>Relevant?</w:t>
            </w:r>
          </w:p>
        </w:tc>
        <w:tc>
          <w:tcPr>
            <w:tcW w:w="6237" w:type="dxa"/>
            <w:tcBorders>
              <w:top w:val="single" w:sz="4" w:space="0" w:color="auto"/>
              <w:bottom w:val="single" w:sz="4" w:space="0" w:color="auto"/>
            </w:tcBorders>
            <w:shd w:val="clear" w:color="auto" w:fill="E0E0E0"/>
          </w:tcPr>
          <w:p w:rsidR="001C1EA3" w:rsidRPr="00482C10" w:rsidRDefault="001C1EA3" w:rsidP="00AF3F9E">
            <w:pPr>
              <w:pStyle w:val="normaltabel0"/>
            </w:pPr>
            <w:r w:rsidRPr="00482C10">
              <w:t>Bespreking relevantie</w:t>
            </w:r>
          </w:p>
        </w:tc>
      </w:tr>
      <w:tr w:rsidR="001C1EA3" w:rsidRPr="001A6421" w:rsidTr="008202BB">
        <w:trPr>
          <w:trHeight w:val="247"/>
          <w:tblHeader/>
        </w:trPr>
        <w:tc>
          <w:tcPr>
            <w:tcW w:w="2298" w:type="dxa"/>
            <w:shd w:val="clear" w:color="auto" w:fill="auto"/>
          </w:tcPr>
          <w:p w:rsidR="001C1EA3" w:rsidRPr="001A6421" w:rsidRDefault="001C1EA3" w:rsidP="00AF3F9E">
            <w:pPr>
              <w:pStyle w:val="XPntabel"/>
            </w:pPr>
            <w:r w:rsidRPr="001A6421">
              <w:t xml:space="preserve">Ruimtelijk structuurplan provincie </w:t>
            </w:r>
            <w:r w:rsidR="003B1897">
              <w:t>Antwerpen</w:t>
            </w:r>
          </w:p>
        </w:tc>
        <w:tc>
          <w:tcPr>
            <w:tcW w:w="4555" w:type="dxa"/>
            <w:shd w:val="clear" w:color="auto" w:fill="auto"/>
          </w:tcPr>
          <w:p w:rsidR="001C1EA3" w:rsidRPr="001A6421" w:rsidRDefault="001C1EA3" w:rsidP="00AF3F9E">
            <w:pPr>
              <w:pStyle w:val="XPntabel"/>
            </w:pPr>
            <w:r w:rsidRPr="001A6421">
              <w:rPr>
                <w:lang w:eastAsia="nl-NL"/>
              </w:rPr>
              <w:t xml:space="preserve">Geeft een visie op de ruimtelijke ontwikkeling van de provincie </w:t>
            </w:r>
            <w:r w:rsidR="003B1897">
              <w:rPr>
                <w:lang w:eastAsia="nl-NL"/>
              </w:rPr>
              <w:t>Antwerpen</w:t>
            </w:r>
            <w:r w:rsidRPr="001A6421">
              <w:rPr>
                <w:lang w:eastAsia="nl-NL"/>
              </w:rPr>
              <w:t xml:space="preserve"> en legt de krachtlijnen vast van het ruimtelijk beleid naar de toekomst.</w:t>
            </w:r>
          </w:p>
        </w:tc>
        <w:tc>
          <w:tcPr>
            <w:tcW w:w="974" w:type="dxa"/>
            <w:tcBorders>
              <w:top w:val="single" w:sz="4" w:space="0" w:color="auto"/>
            </w:tcBorders>
            <w:shd w:val="clear" w:color="auto" w:fill="auto"/>
          </w:tcPr>
          <w:p w:rsidR="001C1EA3" w:rsidRPr="001A6421" w:rsidRDefault="001C1EA3" w:rsidP="00AF3F9E">
            <w:pPr>
              <w:pStyle w:val="XPntabel"/>
            </w:pPr>
            <w:r w:rsidRPr="001A6421">
              <w:t>Nee</w:t>
            </w:r>
          </w:p>
        </w:tc>
        <w:tc>
          <w:tcPr>
            <w:tcW w:w="6237" w:type="dxa"/>
            <w:tcBorders>
              <w:top w:val="single" w:sz="4" w:space="0" w:color="auto"/>
            </w:tcBorders>
            <w:shd w:val="clear" w:color="auto" w:fill="auto"/>
          </w:tcPr>
          <w:p w:rsidR="001C1EA3" w:rsidRPr="001A6421" w:rsidRDefault="00903B9B" w:rsidP="00AF3F9E">
            <w:r>
              <w:t>In het provinciaal structuurplan provincie Antwerpen wordt het belang van de haven voor de ruimtelijk-economische structuur van het Vlaams gewest en van de provincie onderschreven. In het structuurplan wordt de verdere uitbouw van de haven als doelstelling naar voor geschoven.</w:t>
            </w:r>
          </w:p>
        </w:tc>
      </w:tr>
      <w:tr w:rsidR="001C1EA3" w:rsidRPr="001A6421" w:rsidTr="008202BB">
        <w:trPr>
          <w:trHeight w:val="247"/>
          <w:tblHeader/>
        </w:trPr>
        <w:tc>
          <w:tcPr>
            <w:tcW w:w="2298" w:type="dxa"/>
            <w:tcBorders>
              <w:bottom w:val="single" w:sz="4" w:space="0" w:color="auto"/>
            </w:tcBorders>
            <w:shd w:val="clear" w:color="auto" w:fill="auto"/>
          </w:tcPr>
          <w:p w:rsidR="001C1EA3" w:rsidRPr="001A6421" w:rsidRDefault="001C1EA3" w:rsidP="00AF3F9E">
            <w:pPr>
              <w:pStyle w:val="XPntabel"/>
              <w:rPr>
                <w:highlight w:val="yellow"/>
              </w:rPr>
            </w:pPr>
            <w:r w:rsidRPr="001A6421">
              <w:t xml:space="preserve">Provinciaal milieubeleidsplan </w:t>
            </w:r>
            <w:r w:rsidR="00F2413F">
              <w:t>Antwerpen</w:t>
            </w:r>
          </w:p>
        </w:tc>
        <w:tc>
          <w:tcPr>
            <w:tcW w:w="4555" w:type="dxa"/>
            <w:tcBorders>
              <w:bottom w:val="single" w:sz="4" w:space="0" w:color="auto"/>
            </w:tcBorders>
            <w:shd w:val="clear" w:color="auto" w:fill="auto"/>
          </w:tcPr>
          <w:p w:rsidR="001C1EA3" w:rsidRPr="001A6421" w:rsidRDefault="001C1EA3" w:rsidP="00AF3F9E">
            <w:pPr>
              <w:pStyle w:val="XPntabel"/>
            </w:pPr>
            <w:r w:rsidRPr="001A6421">
              <w:t xml:space="preserve">Legt de krachtlijnen vast van het provinciaal milieubeleid naar de toekomst. </w:t>
            </w:r>
          </w:p>
        </w:tc>
        <w:tc>
          <w:tcPr>
            <w:tcW w:w="974" w:type="dxa"/>
            <w:tcBorders>
              <w:bottom w:val="single" w:sz="4" w:space="0" w:color="auto"/>
            </w:tcBorders>
            <w:shd w:val="clear" w:color="auto" w:fill="auto"/>
          </w:tcPr>
          <w:p w:rsidR="001C1EA3" w:rsidRPr="001A6421" w:rsidRDefault="001C1EA3" w:rsidP="00AF3F9E">
            <w:pPr>
              <w:pStyle w:val="XPntabel"/>
            </w:pPr>
            <w:r w:rsidRPr="001A6421">
              <w:t>Ja</w:t>
            </w:r>
          </w:p>
        </w:tc>
        <w:tc>
          <w:tcPr>
            <w:tcW w:w="6237" w:type="dxa"/>
            <w:tcBorders>
              <w:bottom w:val="single" w:sz="4" w:space="0" w:color="auto"/>
            </w:tcBorders>
            <w:shd w:val="clear" w:color="auto" w:fill="auto"/>
          </w:tcPr>
          <w:p w:rsidR="001C1EA3" w:rsidRPr="001A6421" w:rsidRDefault="00F2413F" w:rsidP="00AF3F9E">
            <w:pPr>
              <w:pStyle w:val="XPntabel"/>
            </w:pPr>
            <w:r>
              <w:t>Het provinciaal milieubeleidsplan omvat heel wat doelstellingen en projecten zonder dat deze evenwel een directe, te verwachten of te bepalen impact hebben op de ‘grote industrie’.</w:t>
            </w:r>
          </w:p>
        </w:tc>
      </w:tr>
    </w:tbl>
    <w:p w:rsidR="0041080E" w:rsidRDefault="0041080E" w:rsidP="0033067F">
      <w:pPr>
        <w:pStyle w:val="tit-5"/>
      </w:pPr>
      <w:r>
        <w:lastRenderedPageBreak/>
        <w:t>Gemeentelijk beleid</w:t>
      </w:r>
    </w:p>
    <w:tbl>
      <w:tblPr>
        <w:tblW w:w="14064" w:type="dxa"/>
        <w:tblInd w:w="40" w:type="dxa"/>
        <w:tblLayout w:type="fixed"/>
        <w:tblCellMar>
          <w:left w:w="70" w:type="dxa"/>
          <w:right w:w="70" w:type="dxa"/>
        </w:tblCellMar>
        <w:tblLook w:val="0000"/>
      </w:tblPr>
      <w:tblGrid>
        <w:gridCol w:w="2298"/>
        <w:gridCol w:w="4555"/>
        <w:gridCol w:w="974"/>
        <w:gridCol w:w="6237"/>
      </w:tblGrid>
      <w:tr w:rsidR="001C1EA3" w:rsidRPr="00211AAC" w:rsidTr="008202BB">
        <w:trPr>
          <w:trHeight w:val="494"/>
          <w:tblHeader/>
        </w:trPr>
        <w:tc>
          <w:tcPr>
            <w:tcW w:w="2298" w:type="dxa"/>
            <w:tcBorders>
              <w:top w:val="single" w:sz="4" w:space="0" w:color="auto"/>
              <w:bottom w:val="single" w:sz="4" w:space="0" w:color="auto"/>
            </w:tcBorders>
            <w:shd w:val="clear" w:color="auto" w:fill="E0E0E0"/>
          </w:tcPr>
          <w:p w:rsidR="001C1EA3" w:rsidRDefault="001C1EA3" w:rsidP="0033067F">
            <w:pPr>
              <w:pStyle w:val="normaltabel0"/>
              <w:keepNext/>
              <w:widowControl/>
            </w:pPr>
          </w:p>
        </w:tc>
        <w:tc>
          <w:tcPr>
            <w:tcW w:w="4555" w:type="dxa"/>
            <w:tcBorders>
              <w:top w:val="single" w:sz="4" w:space="0" w:color="auto"/>
              <w:bottom w:val="single" w:sz="4" w:space="0" w:color="auto"/>
            </w:tcBorders>
            <w:shd w:val="clear" w:color="auto" w:fill="E0E0E0"/>
          </w:tcPr>
          <w:p w:rsidR="001C1EA3" w:rsidRDefault="001C1EA3" w:rsidP="0033067F">
            <w:pPr>
              <w:pStyle w:val="normaltabel0"/>
              <w:keepNext/>
              <w:widowControl/>
            </w:pPr>
            <w:r>
              <w:t>Korte inhoud</w:t>
            </w:r>
          </w:p>
        </w:tc>
        <w:tc>
          <w:tcPr>
            <w:tcW w:w="974" w:type="dxa"/>
            <w:tcBorders>
              <w:top w:val="single" w:sz="4" w:space="0" w:color="auto"/>
              <w:bottom w:val="single" w:sz="4" w:space="0" w:color="auto"/>
            </w:tcBorders>
            <w:shd w:val="clear" w:color="auto" w:fill="E0E0E0"/>
          </w:tcPr>
          <w:p w:rsidR="001C1EA3" w:rsidRPr="00482C10" w:rsidRDefault="001C1EA3" w:rsidP="0033067F">
            <w:pPr>
              <w:pStyle w:val="normaltabel0"/>
              <w:keepNext/>
              <w:widowControl/>
            </w:pPr>
            <w:r w:rsidRPr="00482C10">
              <w:t>Relevant?</w:t>
            </w:r>
          </w:p>
        </w:tc>
        <w:tc>
          <w:tcPr>
            <w:tcW w:w="6237" w:type="dxa"/>
            <w:tcBorders>
              <w:top w:val="single" w:sz="4" w:space="0" w:color="auto"/>
              <w:bottom w:val="single" w:sz="4" w:space="0" w:color="auto"/>
            </w:tcBorders>
            <w:shd w:val="clear" w:color="auto" w:fill="E0E0E0"/>
          </w:tcPr>
          <w:p w:rsidR="001C1EA3" w:rsidRPr="00482C10" w:rsidRDefault="001C1EA3" w:rsidP="0033067F">
            <w:pPr>
              <w:pStyle w:val="normaltabel0"/>
              <w:keepNext/>
              <w:widowControl/>
            </w:pPr>
            <w:r w:rsidRPr="00482C10">
              <w:t>Bespreking relevantie</w:t>
            </w:r>
          </w:p>
        </w:tc>
      </w:tr>
      <w:tr w:rsidR="001C1EA3" w:rsidRPr="001A6421" w:rsidTr="008202BB">
        <w:trPr>
          <w:trHeight w:val="247"/>
          <w:tblHeader/>
        </w:trPr>
        <w:tc>
          <w:tcPr>
            <w:tcW w:w="2298" w:type="dxa"/>
            <w:tcBorders>
              <w:top w:val="single" w:sz="4" w:space="0" w:color="auto"/>
            </w:tcBorders>
            <w:shd w:val="clear" w:color="auto" w:fill="auto"/>
          </w:tcPr>
          <w:p w:rsidR="001C1EA3" w:rsidRPr="001A6421" w:rsidRDefault="001C1EA3" w:rsidP="0033067F">
            <w:pPr>
              <w:pStyle w:val="XPntabel"/>
              <w:keepNext/>
              <w:widowControl/>
            </w:pPr>
            <w:r w:rsidRPr="001A6421">
              <w:t>Gemee</w:t>
            </w:r>
            <w:r w:rsidR="00541212">
              <w:t>ntelijk ruimtelijk structuurplan stad Antwerpen</w:t>
            </w:r>
          </w:p>
        </w:tc>
        <w:tc>
          <w:tcPr>
            <w:tcW w:w="4555" w:type="dxa"/>
            <w:tcBorders>
              <w:top w:val="single" w:sz="4" w:space="0" w:color="auto"/>
            </w:tcBorders>
            <w:shd w:val="clear" w:color="auto" w:fill="auto"/>
          </w:tcPr>
          <w:p w:rsidR="001C1EA3" w:rsidRPr="001A6421" w:rsidRDefault="001C1EA3" w:rsidP="0033067F">
            <w:pPr>
              <w:pStyle w:val="XPntabel"/>
              <w:keepNext/>
              <w:widowControl/>
            </w:pPr>
            <w:r w:rsidRPr="001A6421">
              <w:t xml:space="preserve">Geeft een visie op </w:t>
            </w:r>
            <w:r w:rsidR="00541212">
              <w:t>de ruimtelijke ontwikkeling van de stad Antwerpen</w:t>
            </w:r>
            <w:r w:rsidRPr="001A6421">
              <w:t xml:space="preserve"> en legt de krachtlijnen vast van het ruimtelijk beleid naar de toekomst.</w:t>
            </w:r>
          </w:p>
        </w:tc>
        <w:tc>
          <w:tcPr>
            <w:tcW w:w="974" w:type="dxa"/>
            <w:tcBorders>
              <w:top w:val="single" w:sz="4" w:space="0" w:color="auto"/>
            </w:tcBorders>
            <w:shd w:val="clear" w:color="auto" w:fill="auto"/>
          </w:tcPr>
          <w:p w:rsidR="001C1EA3" w:rsidRPr="001A6421" w:rsidRDefault="001C1EA3" w:rsidP="0033067F">
            <w:pPr>
              <w:pStyle w:val="XPntabel"/>
              <w:keepNext/>
              <w:widowControl/>
            </w:pPr>
            <w:r w:rsidRPr="001A6421">
              <w:t>Nee</w:t>
            </w:r>
          </w:p>
        </w:tc>
        <w:tc>
          <w:tcPr>
            <w:tcW w:w="6237" w:type="dxa"/>
            <w:tcBorders>
              <w:top w:val="single" w:sz="4" w:space="0" w:color="auto"/>
            </w:tcBorders>
            <w:shd w:val="clear" w:color="auto" w:fill="auto"/>
          </w:tcPr>
          <w:p w:rsidR="001C1EA3" w:rsidRPr="001A6421" w:rsidRDefault="00541212" w:rsidP="0033067F">
            <w:pPr>
              <w:pStyle w:val="XPntabel"/>
              <w:keepNext/>
              <w:widowControl/>
              <w:rPr>
                <w:lang w:val="nl-BE"/>
              </w:rPr>
            </w:pPr>
            <w:r>
              <w:t>Een doelstelling voor de haven in het ruimtelijk structuurplan is dat de bereikbaarheid van de haven en het logistieke aspecten moeten verbeterd worden, zonder hieromtrent concrete projecten te voorzien</w:t>
            </w:r>
            <w:r w:rsidR="001C1EA3" w:rsidRPr="001A6421">
              <w:t>.</w:t>
            </w:r>
            <w:r>
              <w:t xml:space="preserve"> Tevens wordt ook aandacht besteed aan het verbeteren van de interactie tussen de rand van de haven en omliggende dorpen en poldergebieden door het creëren van bufferzones, contactzones, … Gezien het feit dat </w:t>
            </w:r>
            <w:r w:rsidR="00C325A0">
              <w:fldChar w:fldCharType="begin"/>
            </w:r>
            <w:r w:rsidR="00F077DA">
              <w:instrText xml:space="preserve"> klant </w:instrText>
            </w:r>
            <w:r w:rsidR="00C325A0">
              <w:fldChar w:fldCharType="separate"/>
            </w:r>
            <w:r w:rsidR="008102D8">
              <w:t xml:space="preserve">Vopak Terminal Eurotank NV </w:t>
            </w:r>
            <w:r w:rsidR="00C325A0">
              <w:fldChar w:fldCharType="end"/>
            </w:r>
            <w:r w:rsidR="00CE13DA">
              <w:t xml:space="preserve"> </w:t>
            </w:r>
            <w:r>
              <w:t>niet aan de rand gelgen is, heeft dit geen impact.</w:t>
            </w:r>
          </w:p>
        </w:tc>
      </w:tr>
      <w:tr w:rsidR="00ED6B13" w:rsidRPr="001A6421" w:rsidTr="008202BB">
        <w:trPr>
          <w:trHeight w:val="247"/>
          <w:tblHeader/>
        </w:trPr>
        <w:tc>
          <w:tcPr>
            <w:tcW w:w="2298" w:type="dxa"/>
            <w:tcBorders>
              <w:bottom w:val="single" w:sz="4" w:space="0" w:color="auto"/>
            </w:tcBorders>
            <w:shd w:val="clear" w:color="auto" w:fill="auto"/>
          </w:tcPr>
          <w:p w:rsidR="00ED6B13" w:rsidRPr="001A6421" w:rsidRDefault="00541212" w:rsidP="0033067F">
            <w:pPr>
              <w:pStyle w:val="XPntabel"/>
              <w:keepNext/>
              <w:widowControl/>
            </w:pPr>
            <w:r>
              <w:t>Gemeentelijk milieubeleidsplan</w:t>
            </w:r>
          </w:p>
        </w:tc>
        <w:tc>
          <w:tcPr>
            <w:tcW w:w="4555" w:type="dxa"/>
            <w:tcBorders>
              <w:bottom w:val="single" w:sz="4" w:space="0" w:color="auto"/>
            </w:tcBorders>
            <w:shd w:val="clear" w:color="auto" w:fill="auto"/>
          </w:tcPr>
          <w:p w:rsidR="00ED6B13" w:rsidRPr="001A6421" w:rsidRDefault="00541212" w:rsidP="0033067F">
            <w:pPr>
              <w:pStyle w:val="XPntabel"/>
              <w:keepNext/>
              <w:widowControl/>
            </w:pPr>
            <w:r>
              <w:t>Legt de krachtlijnen vast van het gemeentelijk milieubeleid naar de toekomst.</w:t>
            </w:r>
          </w:p>
        </w:tc>
        <w:tc>
          <w:tcPr>
            <w:tcW w:w="974" w:type="dxa"/>
            <w:tcBorders>
              <w:bottom w:val="single" w:sz="4" w:space="0" w:color="auto"/>
            </w:tcBorders>
            <w:shd w:val="clear" w:color="auto" w:fill="auto"/>
          </w:tcPr>
          <w:p w:rsidR="00ED6B13" w:rsidRPr="001A6421" w:rsidRDefault="00541212" w:rsidP="0033067F">
            <w:pPr>
              <w:pStyle w:val="XPntabel"/>
              <w:keepNext/>
              <w:widowControl/>
            </w:pPr>
            <w:r>
              <w:t>Nee</w:t>
            </w:r>
          </w:p>
        </w:tc>
        <w:tc>
          <w:tcPr>
            <w:tcW w:w="6237" w:type="dxa"/>
            <w:tcBorders>
              <w:bottom w:val="single" w:sz="4" w:space="0" w:color="auto"/>
            </w:tcBorders>
            <w:shd w:val="clear" w:color="auto" w:fill="auto"/>
          </w:tcPr>
          <w:p w:rsidR="00ED6B13" w:rsidRPr="001A6421" w:rsidRDefault="00541212" w:rsidP="0033067F">
            <w:pPr>
              <w:pStyle w:val="XPntabel"/>
              <w:keepNext/>
              <w:widowControl/>
              <w:rPr>
                <w:lang w:val="nl-BE"/>
              </w:rPr>
            </w:pPr>
            <w:r>
              <w:t>In het gemeentelijk milieubeleidsplan wordt specifiek aandacht besteed aan de Haven en industrie. Acties die gericht zijn naar de haven en industrie zijn evenwel geïncorporeerd in wetgeving en/of het milieubeleid op gewestelijk niveau.</w:t>
            </w:r>
          </w:p>
        </w:tc>
      </w:tr>
    </w:tbl>
    <w:p w:rsidR="00A81CD2" w:rsidRDefault="00A81CD2" w:rsidP="00AF3F9E"/>
    <w:p w:rsidR="001C1EA3" w:rsidRPr="0041080E" w:rsidRDefault="001C1EA3" w:rsidP="00AF3F9E">
      <w:pPr>
        <w:sectPr w:rsidR="001C1EA3" w:rsidRPr="0041080E" w:rsidSect="00CF0E27">
          <w:headerReference w:type="default" r:id="rId40"/>
          <w:pgSz w:w="16834" w:h="11909" w:orient="landscape" w:code="9"/>
          <w:pgMar w:top="1440" w:right="1242" w:bottom="1440" w:left="1440" w:header="454" w:footer="709" w:gutter="0"/>
          <w:pgNumType w:start="1" w:chapStyle="1" w:chapSep="period"/>
          <w:cols w:space="708"/>
        </w:sectPr>
      </w:pPr>
    </w:p>
    <w:p w:rsidR="00AF5F28" w:rsidRDefault="008C34EB" w:rsidP="004F40A7">
      <w:pPr>
        <w:pStyle w:val="Heading1"/>
      </w:pPr>
      <w:bookmarkStart w:id="343" w:name="_Toc107126339"/>
      <w:bookmarkStart w:id="344" w:name="_Toc154566639"/>
      <w:bookmarkStart w:id="345" w:name="_Toc155591936"/>
      <w:bookmarkStart w:id="346" w:name="_Toc160437866"/>
      <w:bookmarkStart w:id="347" w:name="_Toc161021340"/>
      <w:bookmarkStart w:id="348" w:name="_Toc161649794"/>
      <w:bookmarkStart w:id="349" w:name="_Toc162148825"/>
      <w:bookmarkStart w:id="350" w:name="_Toc162939438"/>
      <w:bookmarkStart w:id="351" w:name="_Toc162940217"/>
      <w:bookmarkStart w:id="352" w:name="_Toc163300615"/>
      <w:bookmarkStart w:id="353" w:name="_Toc163303332"/>
      <w:bookmarkStart w:id="354" w:name="_Toc163545171"/>
      <w:bookmarkStart w:id="355" w:name="_Toc163622434"/>
      <w:bookmarkStart w:id="356" w:name="_Toc169529774"/>
      <w:bookmarkStart w:id="357" w:name="_Toc170203108"/>
      <w:bookmarkStart w:id="358" w:name="_Toc171153379"/>
      <w:bookmarkStart w:id="359" w:name="_Toc171438851"/>
      <w:bookmarkStart w:id="360" w:name="_Toc173232385"/>
      <w:bookmarkStart w:id="361" w:name="_Toc180228916"/>
      <w:bookmarkStart w:id="362" w:name="_Toc181154067"/>
      <w:bookmarkStart w:id="363" w:name="_Toc182486230"/>
      <w:bookmarkStart w:id="364" w:name="_Toc183519515"/>
      <w:bookmarkStart w:id="365" w:name="_Toc183832313"/>
      <w:bookmarkStart w:id="366" w:name="_Toc183851260"/>
      <w:bookmarkStart w:id="367" w:name="_Toc183851492"/>
      <w:bookmarkStart w:id="368" w:name="_Toc184443562"/>
      <w:bookmarkStart w:id="369" w:name="_Toc185067502"/>
      <w:bookmarkStart w:id="370" w:name="_Toc189406893"/>
      <w:bookmarkStart w:id="371" w:name="_Toc189451434"/>
      <w:bookmarkStart w:id="372" w:name="_Toc189629830"/>
      <w:bookmarkStart w:id="373" w:name="_Toc224380781"/>
      <w:bookmarkStart w:id="374" w:name="_Toc225309168"/>
      <w:bookmarkStart w:id="375" w:name="_Toc225840113"/>
      <w:bookmarkStart w:id="376" w:name="_Toc225909943"/>
      <w:bookmarkStart w:id="377" w:name="_Toc230432998"/>
      <w:bookmarkStart w:id="378" w:name="_Toc230433547"/>
      <w:bookmarkStart w:id="379" w:name="_Toc236217808"/>
      <w:bookmarkStart w:id="380" w:name="_Toc241482701"/>
      <w:bookmarkStart w:id="381" w:name="_Toc248029422"/>
      <w:bookmarkStart w:id="382" w:name="_Toc251256950"/>
      <w:bookmarkStart w:id="383" w:name="_Toc251767752"/>
      <w:bookmarkStart w:id="384" w:name="_Toc253038350"/>
      <w:bookmarkStart w:id="385" w:name="_Toc259197815"/>
      <w:bookmarkStart w:id="386" w:name="_Toc263434205"/>
      <w:bookmarkStart w:id="387" w:name="_Toc271806496"/>
      <w:bookmarkStart w:id="388" w:name="_Toc272754329"/>
      <w:bookmarkStart w:id="389" w:name="_Toc272754487"/>
      <w:bookmarkStart w:id="390" w:name="_Toc272754645"/>
      <w:bookmarkStart w:id="391" w:name="_Toc278442267"/>
      <w:bookmarkStart w:id="392" w:name="_Toc279411652"/>
      <w:bookmarkStart w:id="393" w:name="hfdst4"/>
      <w:bookmarkStart w:id="394" w:name="_Toc279480156"/>
      <w:bookmarkStart w:id="395" w:name="_Toc282505680"/>
      <w:bookmarkStart w:id="396" w:name="_Ref290984593"/>
      <w:bookmarkStart w:id="397" w:name="_Ref291152841"/>
      <w:bookmarkStart w:id="398" w:name="_Ref291153018"/>
      <w:bookmarkStart w:id="399" w:name="_Toc295920111"/>
      <w:bookmarkStart w:id="400" w:name="_Toc295923342"/>
      <w:bookmarkStart w:id="401" w:name="_Toc295923654"/>
      <w:bookmarkStart w:id="402" w:name="_Toc295995252"/>
      <w:bookmarkStart w:id="403" w:name="_Toc296004834"/>
      <w:bookmarkStart w:id="404" w:name="_Toc296085785"/>
      <w:bookmarkStart w:id="405" w:name="_Toc296330692"/>
      <w:bookmarkStart w:id="406" w:name="_Toc296419408"/>
      <w:bookmarkStart w:id="407" w:name="_Toc297286154"/>
      <w:bookmarkStart w:id="408" w:name="_Toc297542454"/>
      <w:bookmarkStart w:id="409" w:name="_Toc297546593"/>
      <w:bookmarkStart w:id="410" w:name="_Toc297546758"/>
      <w:bookmarkStart w:id="411" w:name="_Toc297546923"/>
      <w:bookmarkStart w:id="412" w:name="_Toc297547088"/>
      <w:bookmarkStart w:id="413" w:name="_Toc297553589"/>
      <w:bookmarkStart w:id="414" w:name="_Toc297649755"/>
      <w:bookmarkStart w:id="415" w:name="_Toc297722555"/>
      <w:bookmarkStart w:id="416" w:name="_Toc297725573"/>
      <w:bookmarkStart w:id="417" w:name="_Toc298161691"/>
      <w:bookmarkStart w:id="418" w:name="_Toc299981039"/>
      <w:bookmarkStart w:id="419" w:name="_Toc299981222"/>
      <w:bookmarkStart w:id="420" w:name="_Toc299981405"/>
      <w:bookmarkStart w:id="421" w:name="_Toc299982620"/>
      <w:bookmarkStart w:id="422" w:name="_Toc299982803"/>
      <w:bookmarkStart w:id="423" w:name="_Toc299985092"/>
      <w:bookmarkStart w:id="424" w:name="_Toc299986191"/>
      <w:bookmarkStart w:id="425" w:name="_Toc299986374"/>
      <w:bookmarkStart w:id="426" w:name="_Toc300045580"/>
      <w:bookmarkStart w:id="427" w:name="_Toc300232269"/>
      <w:bookmarkStart w:id="428" w:name="_Toc300303633"/>
      <w:bookmarkStart w:id="429" w:name="_Toc300559557"/>
      <w:bookmarkStart w:id="430" w:name="_Toc300560965"/>
      <w:bookmarkStart w:id="431" w:name="_Toc300561581"/>
      <w:bookmarkStart w:id="432" w:name="_Toc300561764"/>
      <w:bookmarkStart w:id="433" w:name="_Toc300562711"/>
      <w:bookmarkStart w:id="434" w:name="_Toc311109212"/>
      <w:bookmarkStart w:id="435" w:name="_Toc311212577"/>
      <w:bookmarkStart w:id="436" w:name="_Toc311451844"/>
      <w:bookmarkStart w:id="437" w:name="_Toc312069205"/>
      <w:r>
        <w:lastRenderedPageBreak/>
        <w:t>Beschrijving van de inrichting</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AF5F28" w:rsidRDefault="00AF5F28" w:rsidP="00AF3F9E">
      <w:pPr>
        <w:rPr>
          <w:lang w:val="nl"/>
        </w:rPr>
      </w:pPr>
    </w:p>
    <w:p w:rsidR="00AF5F28" w:rsidRDefault="00AF5F28" w:rsidP="00AF3F9E">
      <w:pPr>
        <w:rPr>
          <w:lang w:val="nl"/>
        </w:rPr>
        <w:sectPr w:rsidR="00AF5F28" w:rsidSect="00C54545">
          <w:headerReference w:type="even" r:id="rId41"/>
          <w:headerReference w:type="default" r:id="rId42"/>
          <w:headerReference w:type="first" r:id="rId43"/>
          <w:pgSz w:w="11909" w:h="16834" w:code="9"/>
          <w:pgMar w:top="1240" w:right="1440" w:bottom="1440" w:left="1440" w:header="454" w:footer="709" w:gutter="0"/>
          <w:pgNumType w:start="1" w:chapStyle="1" w:chapSep="period"/>
          <w:cols w:space="708"/>
        </w:sectPr>
      </w:pPr>
    </w:p>
    <w:p w:rsidR="008C0859" w:rsidRDefault="008C0859" w:rsidP="004F40A7">
      <w:pPr>
        <w:pStyle w:val="Heading2"/>
      </w:pPr>
      <w:bookmarkStart w:id="438" w:name="_Toc244407741"/>
      <w:bookmarkStart w:id="439" w:name="_Toc312069206"/>
      <w:bookmarkStart w:id="440" w:name="_Toc244407752"/>
      <w:r w:rsidRPr="00CE13DA">
        <w:lastRenderedPageBreak/>
        <w:t>Algemeen</w:t>
      </w:r>
      <w:bookmarkEnd w:id="438"/>
      <w:bookmarkEnd w:id="439"/>
    </w:p>
    <w:p w:rsidR="00A12934" w:rsidRDefault="00A12934" w:rsidP="00AF3F9E">
      <w:pPr>
        <w:rPr>
          <w:snapToGrid w:val="0"/>
          <w:color w:val="000000"/>
        </w:rPr>
      </w:pPr>
      <w:r>
        <w:t>Zoals hoger vermeld omvat de</w:t>
      </w:r>
      <w:r w:rsidRPr="00BF4E7C">
        <w:rPr>
          <w:b/>
        </w:rPr>
        <w:t xml:space="preserve"> hoofdactiviteit</w:t>
      </w:r>
      <w:r>
        <w:t xml:space="preserve"> van </w:t>
      </w:r>
      <w:r w:rsidR="00C325A0">
        <w:fldChar w:fldCharType="begin"/>
      </w:r>
      <w:r w:rsidR="00F077DA">
        <w:instrText xml:space="preserve"> klant </w:instrText>
      </w:r>
      <w:r w:rsidR="00C325A0">
        <w:fldChar w:fldCharType="separate"/>
      </w:r>
      <w:r w:rsidR="008102D8">
        <w:t xml:space="preserve">Vopak Terminal Eurotank NV </w:t>
      </w:r>
      <w:r w:rsidR="00C325A0">
        <w:fldChar w:fldCharType="end"/>
      </w:r>
      <w:r>
        <w:t xml:space="preserve"> de exploitatie van een terminal voor de opslag van vloeistoffen voor derden en de hieraan verbonden behandelingen waaronder het laden en lossen van transport</w:t>
      </w:r>
      <w:r>
        <w:softHyphen/>
        <w:t xml:space="preserve">middelen. </w:t>
      </w:r>
      <w:r>
        <w:rPr>
          <w:snapToGrid w:val="0"/>
          <w:color w:val="000000"/>
        </w:rPr>
        <w:t>De aan- en afvoer van vloeistoffen in bulk gebeurt zowel via tankwagens, spoorwegketelwagens als via schepen.</w:t>
      </w:r>
    </w:p>
    <w:p w:rsidR="00A12934" w:rsidRDefault="00A12934" w:rsidP="00AF3F9E">
      <w:r>
        <w:rPr>
          <w:snapToGrid w:val="0"/>
          <w:color w:val="000000"/>
        </w:rPr>
        <w:t>Een beperkt deel van de vloei</w:t>
      </w:r>
      <w:r>
        <w:rPr>
          <w:snapToGrid w:val="0"/>
          <w:color w:val="000000"/>
        </w:rPr>
        <w:softHyphen/>
        <w:t xml:space="preserve">stoffen wordt afgevuld in eenheidsverpakkingen </w:t>
      </w:r>
      <w:r>
        <w:t xml:space="preserve">waarvoor er </w:t>
      </w:r>
      <w:r w:rsidR="00BE252B">
        <w:t xml:space="preserve">twee </w:t>
      </w:r>
      <w:r>
        <w:t>vast</w:t>
      </w:r>
      <w:r w:rsidR="00BE252B">
        <w:t>e</w:t>
      </w:r>
      <w:r>
        <w:t xml:space="preserve"> en één mobiel afvulstation beschikbaar is. In afwachting van afvoer worden deze verpakkingen opgeslagen in de inrichting. </w:t>
      </w:r>
    </w:p>
    <w:p w:rsidR="00A12934" w:rsidRDefault="00A12934" w:rsidP="00AF3F9E">
      <w:r>
        <w:t>In figuur </w:t>
      </w:r>
      <w:r w:rsidR="00C325A0">
        <w:fldChar w:fldCharType="begin"/>
      </w:r>
      <w:r w:rsidR="00F077DA">
        <w:instrText xml:space="preserve"> f_schemaactiviteiten </w:instrText>
      </w:r>
      <w:r w:rsidR="00C325A0">
        <w:fldChar w:fldCharType="separate"/>
      </w:r>
      <w:r w:rsidR="008102D8">
        <w:t>IV.</w:t>
      </w:r>
      <w:r w:rsidR="008102D8">
        <w:rPr>
          <w:noProof/>
        </w:rPr>
        <w:t>1</w:t>
      </w:r>
      <w:r w:rsidR="00C325A0">
        <w:fldChar w:fldCharType="end"/>
      </w:r>
      <w:r>
        <w:t xml:space="preserve"> wordt er een schematisch overzicht gegeven van op- en overslagactiviteiten. </w:t>
      </w:r>
    </w:p>
    <w:p w:rsidR="00A12934" w:rsidRDefault="00A12934" w:rsidP="00AF3F9E">
      <w:pPr>
        <w:pStyle w:val="tabel0"/>
      </w:pPr>
      <w:r>
        <w:t xml:space="preserve">Figuur </w:t>
      </w:r>
      <w:r w:rsidR="00C325A0">
        <w:rPr>
          <w:lang w:val="nl-BE"/>
        </w:rPr>
        <w:fldChar w:fldCharType="begin"/>
      </w:r>
      <w:r>
        <w:rPr>
          <w:lang w:val="nl-BE"/>
        </w:rPr>
        <w:instrText xml:space="preserve"> f_schemaactiviteiten </w:instrText>
      </w:r>
      <w:r w:rsidR="00C325A0">
        <w:rPr>
          <w:lang w:val="nl-BE"/>
        </w:rPr>
        <w:fldChar w:fldCharType="separate"/>
      </w:r>
      <w:r w:rsidR="008102D8">
        <w:t>IV.</w:t>
      </w:r>
      <w:r w:rsidR="008102D8">
        <w:rPr>
          <w:noProof/>
        </w:rPr>
        <w:t>1</w:t>
      </w:r>
      <w:r w:rsidR="00C325A0">
        <w:rPr>
          <w:lang w:val="nl-BE"/>
        </w:rPr>
        <w:fldChar w:fldCharType="end"/>
      </w:r>
      <w:r>
        <w:tab/>
        <w:t>Schematisch overzicht activiteiten op- en overslag van vloeistoffen</w:t>
      </w:r>
    </w:p>
    <w:p w:rsidR="001B1A4B" w:rsidRPr="001B1A4B" w:rsidRDefault="001B1A4B" w:rsidP="00AF3F9E">
      <w:pPr>
        <w:rPr>
          <w:lang w:val="nl-NL"/>
        </w:rPr>
      </w:pPr>
      <w:r w:rsidRPr="001B1A4B">
        <w:rPr>
          <w:noProof/>
        </w:rPr>
        <w:drawing>
          <wp:inline distT="0" distB="0" distL="0" distR="0">
            <wp:extent cx="5733415" cy="4412456"/>
            <wp:effectExtent l="1905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srcRect/>
                    <a:stretch>
                      <a:fillRect/>
                    </a:stretch>
                  </pic:blipFill>
                  <pic:spPr bwMode="auto">
                    <a:xfrm>
                      <a:off x="0" y="0"/>
                      <a:ext cx="5733415" cy="4412456"/>
                    </a:xfrm>
                    <a:prstGeom prst="rect">
                      <a:avLst/>
                    </a:prstGeom>
                    <a:noFill/>
                    <a:ln w="9525">
                      <a:noFill/>
                      <a:miter lim="800000"/>
                      <a:headEnd/>
                      <a:tailEnd/>
                    </a:ln>
                  </pic:spPr>
                </pic:pic>
              </a:graphicData>
            </a:graphic>
          </wp:inline>
        </w:drawing>
      </w:r>
    </w:p>
    <w:p w:rsidR="001B1A4B" w:rsidRDefault="001B1A4B" w:rsidP="00AF3F9E">
      <w:pPr>
        <w:pStyle w:val="voetnoottabel"/>
        <w:rPr>
          <w:snapToGrid w:val="0"/>
        </w:rPr>
      </w:pPr>
    </w:p>
    <w:p w:rsidR="00A12934" w:rsidRPr="00012AAA" w:rsidRDefault="00A12934" w:rsidP="00AF3F9E">
      <w:pPr>
        <w:pStyle w:val="voetnoottabel"/>
        <w:rPr>
          <w:snapToGrid w:val="0"/>
        </w:rPr>
      </w:pPr>
      <w:r>
        <w:rPr>
          <w:snapToGrid w:val="0"/>
        </w:rPr>
        <w:t>*</w:t>
      </w:r>
      <w:r>
        <w:rPr>
          <w:snapToGrid w:val="0"/>
        </w:rPr>
        <w:tab/>
      </w:r>
      <w:r w:rsidRPr="00012AAA">
        <w:rPr>
          <w:snapToGrid w:val="0"/>
        </w:rPr>
        <w:t>fysische bijmenging betreft o.a. het toevoegen van water aan een zuur, het toevoegen van additieven aan olieproducten, het denatureren van alcohol, het toevoegen van inhibitoren aan polymeriserende stoffen, ...</w:t>
      </w:r>
    </w:p>
    <w:p w:rsidR="00A12934" w:rsidRPr="00A12934" w:rsidRDefault="00A12934" w:rsidP="00AF3F9E">
      <w:pPr>
        <w:rPr>
          <w:lang w:val="nl-NL"/>
        </w:rPr>
      </w:pPr>
      <w:r>
        <w:t>Voor een situering van de installaties wordt verwezen naar figuur </w:t>
      </w:r>
      <w:r w:rsidR="00C325A0">
        <w:fldChar w:fldCharType="begin"/>
      </w:r>
      <w:r>
        <w:instrText xml:space="preserve"> REF f_project_plattegrond \h </w:instrText>
      </w:r>
      <w:r w:rsidR="00C325A0">
        <w:fldChar w:fldCharType="separate"/>
      </w:r>
      <w:r w:rsidR="008102D8">
        <w:t>IV.</w:t>
      </w:r>
      <w:r w:rsidR="008102D8">
        <w:rPr>
          <w:noProof/>
        </w:rPr>
        <w:t>2</w:t>
      </w:r>
      <w:r w:rsidR="00C325A0">
        <w:fldChar w:fldCharType="end"/>
      </w:r>
      <w:r>
        <w:t xml:space="preserve"> waarin een plat</w:t>
      </w:r>
      <w:r>
        <w:softHyphen/>
        <w:t>te</w:t>
      </w:r>
      <w:r>
        <w:softHyphen/>
        <w:t>grond van de terminal met de ligging van de be</w:t>
      </w:r>
      <w:r>
        <w:softHyphen/>
        <w:t>langrijkste installaties is opgenomen.</w:t>
      </w:r>
    </w:p>
    <w:p w:rsidR="00C56647" w:rsidRDefault="00C56647" w:rsidP="004F40A7">
      <w:pPr>
        <w:pStyle w:val="Heading3"/>
      </w:pPr>
      <w:bookmarkStart w:id="441" w:name="_Toc312069207"/>
      <w:r>
        <w:lastRenderedPageBreak/>
        <w:t>Op- en overslag van vloeistoffen</w:t>
      </w:r>
      <w:bookmarkEnd w:id="441"/>
    </w:p>
    <w:p w:rsidR="00A12934" w:rsidRPr="00A12934" w:rsidRDefault="00A12934" w:rsidP="004F40A7">
      <w:pPr>
        <w:pStyle w:val="Heading4"/>
      </w:pPr>
      <w:bookmarkStart w:id="442" w:name="_Toc312069208"/>
      <w:r>
        <w:t>Op- en overslag van vloeistoffen in bulk</w:t>
      </w:r>
      <w:bookmarkEnd w:id="442"/>
    </w:p>
    <w:p w:rsidR="00C56647" w:rsidRDefault="00C56647" w:rsidP="004F40A7">
      <w:pPr>
        <w:pStyle w:val="Heading5"/>
      </w:pPr>
      <w:bookmarkStart w:id="443" w:name="_Toc312069209"/>
      <w:r>
        <w:t>Aard vloeistoffen</w:t>
      </w:r>
      <w:bookmarkEnd w:id="443"/>
    </w:p>
    <w:p w:rsidR="00A12934" w:rsidRDefault="00A12934" w:rsidP="00AF3F9E">
      <w:r>
        <w:t>Het gamma aan producten dat wordt op- en overgeslagen bij VT</w:t>
      </w:r>
      <w:r w:rsidR="00BE252B">
        <w:t>E</w:t>
      </w:r>
      <w:r>
        <w:t xml:space="preserve"> is divers en varieert in functie van het marktaanbod. In tabel </w:t>
      </w:r>
      <w:r w:rsidR="00C325A0">
        <w:fldChar w:fldCharType="begin"/>
      </w:r>
      <w:r w:rsidR="00F077DA">
        <w:instrText xml:space="preserve"> t_overzicht_gev_stoffen </w:instrText>
      </w:r>
      <w:r w:rsidR="00C325A0">
        <w:fldChar w:fldCharType="separate"/>
      </w:r>
      <w:r w:rsidR="008102D8">
        <w:t>IV.</w:t>
      </w:r>
      <w:r w:rsidR="008102D8">
        <w:rPr>
          <w:noProof/>
        </w:rPr>
        <w:t>1</w:t>
      </w:r>
      <w:r w:rsidR="00C325A0">
        <w:fldChar w:fldCharType="end"/>
      </w:r>
      <w:r w:rsidR="001B30C5">
        <w:rPr>
          <w:rStyle w:val="FootnoteReference"/>
        </w:rPr>
        <w:footnoteReference w:id="13"/>
      </w:r>
      <w:r>
        <w:t xml:space="preserve"> wordt er een over</w:t>
      </w:r>
      <w:r>
        <w:softHyphen/>
        <w:t>zicht gegeven van de representatieve gevaarlijke stoffen in opslag bij VT</w:t>
      </w:r>
      <w:r w:rsidR="00BE252B">
        <w:t>E</w:t>
      </w:r>
      <w:r>
        <w:t>. In deze tabel </w:t>
      </w:r>
      <w:r w:rsidR="00C325A0">
        <w:fldChar w:fldCharType="begin"/>
      </w:r>
      <w:r w:rsidR="00F077DA">
        <w:instrText xml:space="preserve"> t_overzicht_gev_stoffen </w:instrText>
      </w:r>
      <w:r w:rsidR="00C325A0">
        <w:fldChar w:fldCharType="separate"/>
      </w:r>
      <w:r w:rsidR="008102D8">
        <w:t>IV.</w:t>
      </w:r>
      <w:r w:rsidR="008102D8">
        <w:rPr>
          <w:noProof/>
        </w:rPr>
        <w:t>1</w:t>
      </w:r>
      <w:r w:rsidR="00C325A0">
        <w:fldChar w:fldCharType="end"/>
      </w:r>
      <w:r>
        <w:t xml:space="preserve"> zijn voorts de belangrijkste eigen</w:t>
      </w:r>
      <w:r>
        <w:softHyphen/>
        <w:t>schappen van deze stoffen opge</w:t>
      </w:r>
      <w:r>
        <w:softHyphen/>
        <w:t>nomen.</w:t>
      </w:r>
    </w:p>
    <w:p w:rsidR="00A12934" w:rsidRDefault="00A12934" w:rsidP="004F40A7">
      <w:pPr>
        <w:pStyle w:val="Heading5"/>
      </w:pPr>
      <w:bookmarkStart w:id="444" w:name="_Toc312069210"/>
      <w:r>
        <w:t>Opslagfaciliteiten</w:t>
      </w:r>
      <w:bookmarkEnd w:id="444"/>
    </w:p>
    <w:p w:rsidR="00A12934" w:rsidRDefault="00A12934" w:rsidP="004F40A7">
      <w:pPr>
        <w:pStyle w:val="Heading6"/>
      </w:pPr>
      <w:bookmarkStart w:id="445" w:name="_Toc312069211"/>
      <w:r>
        <w:t>Aanwezige tanks en tankenparken</w:t>
      </w:r>
      <w:bookmarkEnd w:id="445"/>
    </w:p>
    <w:p w:rsidR="00382806" w:rsidRDefault="00A12934" w:rsidP="00AF3F9E">
      <w:r>
        <w:t>VTE beschikt momenteel over</w:t>
      </w:r>
      <w:r w:rsidR="00485ABF">
        <w:t xml:space="preserve"> </w:t>
      </w:r>
      <w:r>
        <w:t> tankenparken die in totaal 1</w:t>
      </w:r>
      <w:r w:rsidR="00382806">
        <w:t>8</w:t>
      </w:r>
      <w:r w:rsidR="00485ABF">
        <w:t>7</w:t>
      </w:r>
      <w:r>
        <w:t> tanks om</w:t>
      </w:r>
      <w:r>
        <w:softHyphen/>
        <w:t>vatten voor de bulkopslag van vloeistoffen voor derden</w:t>
      </w:r>
      <w:r w:rsidR="00382806">
        <w:rPr>
          <w:rStyle w:val="FootnoteReference"/>
        </w:rPr>
        <w:footnoteReference w:id="14"/>
      </w:r>
      <w:r>
        <w:t xml:space="preserve">. </w:t>
      </w:r>
      <w:r w:rsidR="00382806" w:rsidRPr="00C57E6A">
        <w:t>In figuur </w:t>
      </w:r>
      <w:r w:rsidR="00C325A0">
        <w:fldChar w:fldCharType="begin"/>
      </w:r>
      <w:r w:rsidR="00382806">
        <w:instrText xml:space="preserve"> REF f_project_plattegrond \h </w:instrText>
      </w:r>
      <w:r w:rsidR="00C325A0">
        <w:fldChar w:fldCharType="separate"/>
      </w:r>
      <w:r w:rsidR="008102D8">
        <w:t>IV.</w:t>
      </w:r>
      <w:r w:rsidR="008102D8">
        <w:rPr>
          <w:noProof/>
        </w:rPr>
        <w:t>2</w:t>
      </w:r>
      <w:r w:rsidR="00C325A0">
        <w:fldChar w:fldCharType="end"/>
      </w:r>
      <w:r w:rsidR="00382806" w:rsidRPr="00C57E6A">
        <w:t xml:space="preserve"> wordt de ligging van de tanken</w:t>
      </w:r>
      <w:r w:rsidR="00382806" w:rsidRPr="00C57E6A">
        <w:softHyphen/>
        <w:t>parken en de tanks op een plattegrond weer</w:t>
      </w:r>
      <w:r w:rsidR="00382806" w:rsidRPr="00C57E6A">
        <w:softHyphen/>
        <w:t xml:space="preserve">gegeven. In tabel </w:t>
      </w:r>
      <w:bookmarkStart w:id="446" w:name="OLE_LINK14"/>
      <w:bookmarkStart w:id="447" w:name="OLE_LINK15"/>
      <w:r w:rsidR="00C325A0" w:rsidRPr="00C57E6A">
        <w:fldChar w:fldCharType="begin"/>
      </w:r>
      <w:r w:rsidR="00382806" w:rsidRPr="00C57E6A">
        <w:instrText xml:space="preserve"> REF t_project_opslagtanks \h </w:instrText>
      </w:r>
      <w:r w:rsidR="00382806">
        <w:instrText xml:space="preserve"> \* MERGEFORMAT </w:instrText>
      </w:r>
      <w:r w:rsidR="00C325A0" w:rsidRPr="00C57E6A">
        <w:fldChar w:fldCharType="separate"/>
      </w:r>
      <w:r w:rsidR="008102D8">
        <w:t>IV.2</w:t>
      </w:r>
      <w:r w:rsidR="00C325A0" w:rsidRPr="00C57E6A">
        <w:fldChar w:fldCharType="end"/>
      </w:r>
      <w:bookmarkEnd w:id="446"/>
      <w:bookmarkEnd w:id="447"/>
      <w:r w:rsidR="00382806" w:rsidRPr="00C57E6A">
        <w:t xml:space="preserve"> wordt een overzicht gegeven van de </w:t>
      </w:r>
      <w:r w:rsidR="00382806">
        <w:t xml:space="preserve">momenteel </w:t>
      </w:r>
      <w:r w:rsidR="00382806" w:rsidRPr="00C57E6A">
        <w:t>aanwezige opslagtanks.</w:t>
      </w:r>
    </w:p>
    <w:p w:rsidR="00382806" w:rsidRDefault="00382806" w:rsidP="00AF3F9E">
      <w:r>
        <w:t>De totale waterinhoud</w:t>
      </w:r>
      <w:r w:rsidR="00883CD7">
        <w:rPr>
          <w:rStyle w:val="FootnoteReference"/>
        </w:rPr>
        <w:footnoteReference w:id="15"/>
      </w:r>
      <w:r>
        <w:t xml:space="preserve"> van deze tanks bedraagt 477.855 m³.</w:t>
      </w:r>
    </w:p>
    <w:p w:rsidR="00A12934" w:rsidRDefault="00A12934" w:rsidP="00AF3F9E">
      <w:r>
        <w:t>De keuze voor de opslag van een product in een bepaalde tank houdt uiteraard ver</w:t>
      </w:r>
      <w:r>
        <w:softHyphen/>
        <w:t>band met de fysische en chemische eigenschappen van een product als eveneens met o.m. de volgende aspecten :</w:t>
      </w:r>
    </w:p>
    <w:p w:rsidR="00F077DA" w:rsidRDefault="00A12934" w:rsidP="00F077DA">
      <w:pPr>
        <w:pStyle w:val="ListParagraph"/>
        <w:numPr>
          <w:ilvl w:val="0"/>
          <w:numId w:val="118"/>
        </w:numPr>
      </w:pPr>
      <w:r>
        <w:t xml:space="preserve">de geldende milieuvergunningen </w:t>
      </w:r>
    </w:p>
    <w:p w:rsidR="00F077DA" w:rsidRDefault="00A12934" w:rsidP="00F077DA">
      <w:pPr>
        <w:pStyle w:val="ListParagraph"/>
        <w:numPr>
          <w:ilvl w:val="0"/>
          <w:numId w:val="118"/>
        </w:numPr>
      </w:pPr>
      <w:r>
        <w:t>de vraag van de markt</w:t>
      </w:r>
    </w:p>
    <w:p w:rsidR="00F077DA" w:rsidRDefault="00A12934" w:rsidP="00F077DA">
      <w:pPr>
        <w:pStyle w:val="ListParagraph"/>
        <w:numPr>
          <w:ilvl w:val="0"/>
          <w:numId w:val="118"/>
        </w:numPr>
      </w:pPr>
      <w:r>
        <w:t>de uitrusting van de tank alhoewel deze kan aangepast worden om een bepaalde opslag mogelijk te maken.</w:t>
      </w:r>
    </w:p>
    <w:p w:rsidR="00382806" w:rsidRDefault="00382806" w:rsidP="00AF3F9E">
      <w:r>
        <w:t xml:space="preserve">Zowel op figuur </w:t>
      </w:r>
      <w:r w:rsidR="00C325A0">
        <w:fldChar w:fldCharType="begin"/>
      </w:r>
      <w:r>
        <w:instrText xml:space="preserve"> REF f_project_plattegrond \h </w:instrText>
      </w:r>
      <w:r w:rsidR="00C325A0">
        <w:fldChar w:fldCharType="separate"/>
      </w:r>
      <w:r w:rsidR="008102D8">
        <w:t>IV.</w:t>
      </w:r>
      <w:r w:rsidR="008102D8">
        <w:rPr>
          <w:noProof/>
        </w:rPr>
        <w:t>2</w:t>
      </w:r>
      <w:r w:rsidR="00C325A0">
        <w:fldChar w:fldCharType="end"/>
      </w:r>
      <w:r>
        <w:t xml:space="preserve"> als in tabel </w:t>
      </w:r>
      <w:fldSimple w:instr=" REF t_project_opslagtanks \h  \* MERGEFORMAT ">
        <w:r w:rsidR="008102D8">
          <w:t>IV.2</w:t>
        </w:r>
      </w:fldSimple>
      <w:r>
        <w:t xml:space="preserve"> is aangegeven welk type van gevaarlijke stoffen in welke opslagtanks conform de huidige vergunningen mogen opgeslagen worden.</w:t>
      </w:r>
    </w:p>
    <w:p w:rsidR="00382806" w:rsidRDefault="00382806" w:rsidP="004F40A7">
      <w:pPr>
        <w:pStyle w:val="Heading6"/>
      </w:pPr>
      <w:bookmarkStart w:id="448" w:name="_Toc312069212"/>
      <w:r>
        <w:t>Inkuiping opslagtanks</w:t>
      </w:r>
      <w:bookmarkEnd w:id="448"/>
    </w:p>
    <w:p w:rsidR="00A2671A" w:rsidRDefault="00382806" w:rsidP="00AF3F9E">
      <w:r>
        <w:t>Alle tanks van de tankenparken zijn in een inkuiping geplaatst.</w:t>
      </w:r>
      <w:r w:rsidR="004C2EA5">
        <w:t xml:space="preserve"> Het betreft hier alle</w:t>
      </w:r>
      <w:r w:rsidR="004C2EA5" w:rsidRPr="004C2EA5">
        <w:t>maal z</w:t>
      </w:r>
      <w:r w:rsidR="004C2EA5">
        <w:t>gn. bestaande tankenparken (Vla</w:t>
      </w:r>
      <w:r w:rsidR="004C2EA5" w:rsidRPr="004C2EA5">
        <w:t>rem) die dateren van vóór 1993. De inkuipingen zi</w:t>
      </w:r>
      <w:r w:rsidR="004C2EA5">
        <w:t>jn in overeenstemming met de betrokken eisen van Vla</w:t>
      </w:r>
      <w:r w:rsidR="004C2EA5" w:rsidRPr="004C2EA5">
        <w:t>rem II. De bodem van TP660 werd vloeistofdicht gemaakt door middel van een kleimat met grindbelasting terwijl in de overige tankenparken de bodem onverhard (aarde) is uitgevoerd.</w:t>
      </w:r>
    </w:p>
    <w:p w:rsidR="00A2671A" w:rsidRDefault="004C2EA5" w:rsidP="00AF3F9E">
      <w:r w:rsidRPr="004C2EA5">
        <w:t>Binnen de inkuipingen zij</w:t>
      </w:r>
      <w:r>
        <w:t>n goten aanwezig waarnaar vloei</w:t>
      </w:r>
      <w:r w:rsidRPr="004C2EA5">
        <w:t>stoffen gravitair aflopen. Deze goten monden</w:t>
      </w:r>
      <w:r>
        <w:t xml:space="preserve"> uit in verzamelputten met olie</w:t>
      </w:r>
      <w:r w:rsidRPr="004C2EA5">
        <w:t>afscheider (API-putten). Vanuit deze putten worden de vloeistoffen automatisch verder naar de afvalwaterzuivering gepompt (gestuurd met vlotter). Het hemelwater alsook evt. lekvloeistoffen die worden opgevangen in de inkuipingen, wordt via deze goten en opvangputten afgeleid naar de waterzuivering.</w:t>
      </w:r>
    </w:p>
    <w:p w:rsidR="00382806" w:rsidRDefault="00A2671A" w:rsidP="00AF3F9E">
      <w:r>
        <w:t>Tenslotte wordt vermeld dat er overeenkomstig de voorschriften van Vlarem peilbuizen zijn geplaatst rond de tankenparken voor de monitoring van het grondwater.</w:t>
      </w:r>
      <w:r w:rsidR="00382806">
        <w:t xml:space="preserve">  </w:t>
      </w:r>
    </w:p>
    <w:p w:rsidR="00C56647" w:rsidRDefault="00C56647" w:rsidP="004F40A7">
      <w:pPr>
        <w:pStyle w:val="Heading5"/>
      </w:pPr>
      <w:bookmarkStart w:id="449" w:name="_Toc312069213"/>
      <w:r>
        <w:lastRenderedPageBreak/>
        <w:t>O</w:t>
      </w:r>
      <w:r w:rsidR="00A2671A">
        <w:t>verslag</w:t>
      </w:r>
      <w:r>
        <w:t>faciliteiten</w:t>
      </w:r>
      <w:bookmarkEnd w:id="449"/>
    </w:p>
    <w:p w:rsidR="00DE114F" w:rsidRDefault="004C2EA5" w:rsidP="00AF3F9E">
      <w:r w:rsidRPr="004C2EA5">
        <w:t>De belangrijkste overslagactiviteiten betreffen het la</w:t>
      </w:r>
      <w:r>
        <w:t>den en lossen van schepen, tank</w:t>
      </w:r>
      <w:r w:rsidRPr="004C2EA5">
        <w:t>wa</w:t>
      </w:r>
      <w:r>
        <w:t>gens/con</w:t>
      </w:r>
      <w:r w:rsidRPr="004C2EA5">
        <w:t>tainers en spoorwagons met daarnaast de aan- en afvoer via pijpleiding.</w:t>
      </w:r>
      <w:r w:rsidR="00DE114F">
        <w:rPr>
          <w:rStyle w:val="FootnoteReference"/>
        </w:rPr>
        <w:footnoteReference w:id="16"/>
      </w:r>
      <w:r w:rsidR="00DE114F">
        <w:rPr>
          <w:vertAlign w:val="superscript"/>
        </w:rPr>
        <w:t>,</w:t>
      </w:r>
      <w:r w:rsidR="00DE114F" w:rsidRPr="00C57E6A">
        <w:rPr>
          <w:rStyle w:val="FootnoteReference"/>
        </w:rPr>
        <w:footnoteReference w:id="17"/>
      </w:r>
      <w:r w:rsidR="00DE114F">
        <w:t>.</w:t>
      </w:r>
    </w:p>
    <w:p w:rsidR="002C6984" w:rsidRDefault="002C6984" w:rsidP="002C6984">
      <w:r>
        <w:t>Jaarlijks wordt er in de actuele situatie maximaal 3.500.000 m³ aan als gevaarlijk ingedeelde vloeistoffen verladen (laden en lossen samen). Rekening houdend met de stijging van de terminalcapaciteit (na realisatie van fase1 en fase 2) met ca. 7% en een marge in acht nemend, wordt met een maximale overslag van als gevaarlijk ingedeelde vloeistoffen (laden en lossen samen) van 4.000.000 m³ rekening gehouden. De aard van de maximale jaarlijks over</w:t>
      </w:r>
      <w:r>
        <w:softHyphen/>
        <w:t>ge</w:t>
      </w:r>
      <w:r>
        <w:softHyphen/>
        <w:t>slagen hoe</w:t>
      </w:r>
      <w:r>
        <w:softHyphen/>
        <w:t>veel</w:t>
      </w:r>
      <w:r>
        <w:softHyphen/>
        <w:t>heden gevaarlijke producten is hierbij ty</w:t>
      </w:r>
      <w:r>
        <w:softHyphen/>
        <w:t>pisch even</w:t>
      </w:r>
      <w:r>
        <w:softHyphen/>
        <w:t>redig</w:t>
      </w:r>
      <w:r w:rsidR="00C32F91">
        <w:rPr>
          <w:rStyle w:val="FootnoteReference"/>
        </w:rPr>
        <w:footnoteReference w:id="18"/>
      </w:r>
      <w:r>
        <w:t xml:space="preserve"> met de maximale op</w:t>
      </w:r>
      <w:r>
        <w:softHyphen/>
        <w:t>slagcapaciteit van de be</w:t>
      </w:r>
      <w:r>
        <w:softHyphen/>
        <w:t xml:space="preserve">trokken producten. </w:t>
      </w:r>
    </w:p>
    <w:p w:rsidR="002C6984" w:rsidRDefault="002C6984" w:rsidP="002C6984">
      <w:pPr>
        <w:rPr>
          <w:color w:val="1F497D"/>
        </w:rPr>
      </w:pPr>
      <w:r>
        <w:t>Daarnaast worden er aard</w:t>
      </w:r>
      <w:r>
        <w:softHyphen/>
        <w:t>olieproducten verladen per pijpleiding (TP800) wat maximaal 2.000.000 m³/jaar is.</w:t>
      </w:r>
    </w:p>
    <w:p w:rsidR="00A2671A" w:rsidRPr="00006E3B" w:rsidRDefault="00A62105" w:rsidP="00AF3F9E">
      <w:r>
        <w:t>V</w:t>
      </w:r>
      <w:r w:rsidR="004C2EA5" w:rsidRPr="004C2EA5">
        <w:t xml:space="preserve">oor de overige gevaarlijke stoffen </w:t>
      </w:r>
      <w:r w:rsidR="004C2EA5">
        <w:t>zijn de maximale jaarlijks overgeslagen hoeveelheden ty</w:t>
      </w:r>
      <w:r w:rsidR="004C2EA5" w:rsidRPr="004C2EA5">
        <w:t>pisch eve</w:t>
      </w:r>
      <w:r w:rsidR="004C2EA5">
        <w:t>nredig met de maximale opslagcapaciteit van de be</w:t>
      </w:r>
      <w:r w:rsidR="004C2EA5" w:rsidRPr="004C2EA5">
        <w:t>trokken producten.</w:t>
      </w:r>
      <w:r w:rsidR="00B31DD4">
        <w:t xml:space="preserve"> </w:t>
      </w:r>
      <w:r w:rsidR="00006E3B">
        <w:t xml:space="preserve"> </w:t>
      </w:r>
    </w:p>
    <w:p w:rsidR="00A2671A" w:rsidRPr="00CD78F7" w:rsidRDefault="00A2671A" w:rsidP="00AF3F9E">
      <w:r w:rsidRPr="00CD78F7">
        <w:t xml:space="preserve">In tabel </w:t>
      </w:r>
      <w:r w:rsidR="00C325A0">
        <w:fldChar w:fldCharType="begin"/>
      </w:r>
      <w:r>
        <w:instrText xml:space="preserve"> REF t_project_verdelingtransport \h </w:instrText>
      </w:r>
      <w:r w:rsidR="00C325A0">
        <w:fldChar w:fldCharType="separate"/>
      </w:r>
      <w:r w:rsidR="008102D8">
        <w:t>IV.</w:t>
      </w:r>
      <w:r w:rsidR="008102D8">
        <w:rPr>
          <w:noProof/>
        </w:rPr>
        <w:t>3</w:t>
      </w:r>
      <w:r w:rsidR="00C325A0">
        <w:fldChar w:fldCharType="end"/>
      </w:r>
      <w:r w:rsidRPr="00CD78F7">
        <w:t xml:space="preserve"> wordt een overzicht gegeven van de t</w:t>
      </w:r>
      <w:r>
        <w:t>ypische verdeling van deze overslag</w:t>
      </w:r>
      <w:r w:rsidRPr="00CD78F7">
        <w:t>activiteiten over de verschillende transportwijzen met een ondersch</w:t>
      </w:r>
      <w:r>
        <w:t>eid tussen het laden en het los</w:t>
      </w:r>
      <w:r w:rsidRPr="00CD78F7">
        <w:t xml:space="preserve">sen. </w:t>
      </w:r>
    </w:p>
    <w:p w:rsidR="00A2671A" w:rsidRPr="00375E5A" w:rsidRDefault="00A2671A" w:rsidP="00375E5A">
      <w:pPr>
        <w:pStyle w:val="tabel0"/>
      </w:pPr>
      <w:r w:rsidRPr="00CD78F7">
        <w:t xml:space="preserve">Tabel </w:t>
      </w:r>
      <w:fldSimple w:instr=" REF t_project_verdelingtransport \h  \* MERGEFORMAT ">
        <w:r w:rsidR="008102D8">
          <w:t>IV.3</w:t>
        </w:r>
      </w:fldSimple>
      <w:r w:rsidRPr="00CD78F7">
        <w:t xml:space="preserve"> </w:t>
      </w:r>
      <w:r>
        <w:tab/>
      </w:r>
      <w:r w:rsidRPr="00CD78F7">
        <w:t xml:space="preserve">Overzicht typische verdeling laden &amp; lossen transportmiddelen (in </w:t>
      </w:r>
      <w:r w:rsidR="00A62105">
        <w:t>m</w:t>
      </w:r>
      <w:r w:rsidR="00CB3B91">
        <w:rPr>
          <w:vertAlign w:val="superscript"/>
        </w:rPr>
        <w:t>3</w:t>
      </w:r>
      <w:r w:rsidR="00A62105">
        <w:t xml:space="preserve"> en </w:t>
      </w:r>
      <w:r w:rsidRPr="00CD78F7">
        <w:t>%)</w:t>
      </w:r>
      <w:r w:rsidR="00E041AB">
        <w:rPr>
          <w:rStyle w:val="FootnoteReference"/>
        </w:rPr>
        <w:footnoteReference w:id="19"/>
      </w:r>
    </w:p>
    <w:tbl>
      <w:tblPr>
        <w:tblW w:w="9490" w:type="dxa"/>
        <w:tblInd w:w="8" w:type="dxa"/>
        <w:tblLayout w:type="fixed"/>
        <w:tblCellMar>
          <w:left w:w="0" w:type="dxa"/>
          <w:right w:w="0" w:type="dxa"/>
        </w:tblCellMar>
        <w:tblLook w:val="0000"/>
      </w:tblPr>
      <w:tblGrid>
        <w:gridCol w:w="559"/>
        <w:gridCol w:w="993"/>
        <w:gridCol w:w="992"/>
        <w:gridCol w:w="1252"/>
        <w:gridCol w:w="949"/>
        <w:gridCol w:w="949"/>
        <w:gridCol w:w="949"/>
        <w:gridCol w:w="949"/>
        <w:gridCol w:w="949"/>
        <w:gridCol w:w="949"/>
      </w:tblGrid>
      <w:tr w:rsidR="00375E5A" w:rsidRPr="00AA3B77" w:rsidTr="00375E5A">
        <w:trPr>
          <w:cantSplit/>
        </w:trPr>
        <w:tc>
          <w:tcPr>
            <w:tcW w:w="559" w:type="dxa"/>
            <w:tcBorders>
              <w:top w:val="single" w:sz="6" w:space="0" w:color="auto"/>
              <w:bottom w:val="single" w:sz="4" w:space="0" w:color="auto"/>
            </w:tcBorders>
            <w:shd w:val="clear" w:color="auto" w:fill="CCCCCC"/>
          </w:tcPr>
          <w:p w:rsidR="00375E5A" w:rsidRPr="00AA3B77" w:rsidRDefault="00375E5A" w:rsidP="00375E5A">
            <w:pPr>
              <w:pStyle w:val="normaltabel"/>
            </w:pPr>
          </w:p>
        </w:tc>
        <w:tc>
          <w:tcPr>
            <w:tcW w:w="993" w:type="dxa"/>
            <w:tcBorders>
              <w:top w:val="single" w:sz="6" w:space="0" w:color="auto"/>
              <w:bottom w:val="single" w:sz="4" w:space="0" w:color="auto"/>
            </w:tcBorders>
            <w:shd w:val="clear" w:color="auto" w:fill="CCCCCC"/>
          </w:tcPr>
          <w:p w:rsidR="00375E5A" w:rsidRPr="00AA3B77" w:rsidRDefault="00375E5A" w:rsidP="00375E5A">
            <w:pPr>
              <w:pStyle w:val="normaltabel"/>
            </w:pPr>
          </w:p>
        </w:tc>
        <w:tc>
          <w:tcPr>
            <w:tcW w:w="2244" w:type="dxa"/>
            <w:gridSpan w:val="2"/>
            <w:tcBorders>
              <w:top w:val="single" w:sz="6" w:space="0" w:color="auto"/>
              <w:bottom w:val="single" w:sz="4" w:space="0" w:color="auto"/>
            </w:tcBorders>
            <w:shd w:val="clear" w:color="auto" w:fill="CCCCCC"/>
          </w:tcPr>
          <w:p w:rsidR="00375E5A" w:rsidRPr="00AA3B77" w:rsidRDefault="00375E5A" w:rsidP="00375E5A">
            <w:pPr>
              <w:pStyle w:val="normaltabel"/>
              <w:jc w:val="center"/>
            </w:pPr>
            <w:r w:rsidRPr="00AA3B77">
              <w:t>Water</w:t>
            </w:r>
          </w:p>
        </w:tc>
        <w:tc>
          <w:tcPr>
            <w:tcW w:w="1898" w:type="dxa"/>
            <w:gridSpan w:val="2"/>
            <w:tcBorders>
              <w:top w:val="single" w:sz="6" w:space="0" w:color="auto"/>
              <w:left w:val="nil"/>
              <w:bottom w:val="single" w:sz="4" w:space="0" w:color="auto"/>
            </w:tcBorders>
            <w:shd w:val="clear" w:color="auto" w:fill="CCCCCC"/>
          </w:tcPr>
          <w:p w:rsidR="00375E5A" w:rsidRPr="00AA3B77" w:rsidRDefault="00375E5A" w:rsidP="00375E5A">
            <w:pPr>
              <w:pStyle w:val="normaltabel"/>
              <w:jc w:val="center"/>
            </w:pPr>
            <w:r w:rsidRPr="00AA3B77">
              <w:t>Spoor</w:t>
            </w:r>
          </w:p>
        </w:tc>
        <w:tc>
          <w:tcPr>
            <w:tcW w:w="1898" w:type="dxa"/>
            <w:gridSpan w:val="2"/>
            <w:tcBorders>
              <w:top w:val="single" w:sz="6" w:space="0" w:color="auto"/>
              <w:left w:val="nil"/>
              <w:bottom w:val="single" w:sz="4" w:space="0" w:color="auto"/>
            </w:tcBorders>
            <w:shd w:val="clear" w:color="auto" w:fill="CCCCCC"/>
          </w:tcPr>
          <w:p w:rsidR="00375E5A" w:rsidRPr="00AA3B77" w:rsidRDefault="00375E5A" w:rsidP="00375E5A">
            <w:pPr>
              <w:pStyle w:val="normaltabel"/>
              <w:jc w:val="center"/>
            </w:pPr>
            <w:r w:rsidRPr="00AA3B77">
              <w:t>Weg</w:t>
            </w:r>
          </w:p>
        </w:tc>
        <w:tc>
          <w:tcPr>
            <w:tcW w:w="1898" w:type="dxa"/>
            <w:gridSpan w:val="2"/>
            <w:tcBorders>
              <w:top w:val="single" w:sz="6" w:space="0" w:color="auto"/>
              <w:left w:val="nil"/>
              <w:bottom w:val="single" w:sz="4" w:space="0" w:color="auto"/>
            </w:tcBorders>
            <w:shd w:val="clear" w:color="auto" w:fill="CCCCCC"/>
          </w:tcPr>
          <w:p w:rsidR="00375E5A" w:rsidRPr="00AA3B77" w:rsidRDefault="00375E5A" w:rsidP="00375E5A">
            <w:pPr>
              <w:pStyle w:val="normaltabel"/>
              <w:jc w:val="center"/>
            </w:pPr>
            <w:r w:rsidRPr="00AA3B77">
              <w:t>Eenheidsverpakkingen</w:t>
            </w:r>
          </w:p>
        </w:tc>
      </w:tr>
      <w:tr w:rsidR="00E041AB" w:rsidRPr="00AA3B77" w:rsidTr="00573E96">
        <w:trPr>
          <w:cantSplit/>
        </w:trPr>
        <w:tc>
          <w:tcPr>
            <w:tcW w:w="559" w:type="dxa"/>
            <w:tcBorders>
              <w:top w:val="single" w:sz="4" w:space="0" w:color="auto"/>
            </w:tcBorders>
            <w:vAlign w:val="center"/>
          </w:tcPr>
          <w:p w:rsidR="00E041AB" w:rsidRPr="00AA3B77" w:rsidRDefault="00E041AB" w:rsidP="00375E5A">
            <w:pPr>
              <w:pStyle w:val="normaltabel"/>
              <w:jc w:val="center"/>
            </w:pPr>
            <w:r w:rsidRPr="00AA3B77">
              <w:t>2008</w:t>
            </w:r>
          </w:p>
        </w:tc>
        <w:tc>
          <w:tcPr>
            <w:tcW w:w="993" w:type="dxa"/>
            <w:tcBorders>
              <w:top w:val="single" w:sz="4" w:space="0" w:color="auto"/>
            </w:tcBorders>
            <w:vAlign w:val="center"/>
          </w:tcPr>
          <w:p w:rsidR="00E041AB" w:rsidRPr="00AA3B77" w:rsidRDefault="00E041AB" w:rsidP="00375E5A">
            <w:pPr>
              <w:pStyle w:val="normaltabel"/>
              <w:jc w:val="center"/>
            </w:pPr>
            <w:r w:rsidRPr="00AA3B77">
              <w:t>Aanvoer</w:t>
            </w:r>
          </w:p>
        </w:tc>
        <w:tc>
          <w:tcPr>
            <w:tcW w:w="992" w:type="dxa"/>
            <w:tcBorders>
              <w:top w:val="single" w:sz="4" w:space="0" w:color="auto"/>
            </w:tcBorders>
          </w:tcPr>
          <w:p w:rsidR="00E041AB" w:rsidRPr="00AA3B77" w:rsidRDefault="00E041AB" w:rsidP="00375E5A">
            <w:pPr>
              <w:jc w:val="center"/>
              <w:rPr>
                <w:rFonts w:cs="Calibri"/>
                <w:color w:val="000000"/>
                <w:sz w:val="18"/>
                <w:szCs w:val="18"/>
              </w:rPr>
            </w:pPr>
            <w:r>
              <w:rPr>
                <w:rFonts w:cs="Calibri"/>
                <w:color w:val="000000"/>
                <w:sz w:val="18"/>
                <w:szCs w:val="18"/>
              </w:rPr>
              <w:t>1.180.000</w:t>
            </w:r>
          </w:p>
        </w:tc>
        <w:tc>
          <w:tcPr>
            <w:tcW w:w="1252" w:type="dxa"/>
            <w:tcBorders>
              <w:top w:val="single" w:sz="4" w:space="0" w:color="auto"/>
              <w:right w:val="nil"/>
            </w:tcBorders>
          </w:tcPr>
          <w:p w:rsidR="00E041AB" w:rsidRPr="00AA3B77" w:rsidRDefault="00E041AB" w:rsidP="00375E5A">
            <w:pPr>
              <w:jc w:val="center"/>
              <w:rPr>
                <w:rFonts w:cs="Calibri"/>
                <w:color w:val="000000"/>
                <w:sz w:val="18"/>
                <w:szCs w:val="18"/>
              </w:rPr>
            </w:pPr>
            <w:r>
              <w:rPr>
                <w:rFonts w:cs="Calibri"/>
                <w:color w:val="000000"/>
                <w:sz w:val="18"/>
                <w:szCs w:val="18"/>
              </w:rPr>
              <w:t>(85%)</w:t>
            </w:r>
          </w:p>
        </w:tc>
        <w:tc>
          <w:tcPr>
            <w:tcW w:w="949" w:type="dxa"/>
            <w:tcBorders>
              <w:top w:val="single" w:sz="4" w:space="0" w:color="auto"/>
              <w:left w:val="nil"/>
            </w:tcBorders>
          </w:tcPr>
          <w:p w:rsidR="00E041AB" w:rsidRPr="00AA3B77" w:rsidRDefault="00E041AB" w:rsidP="00375E5A">
            <w:pPr>
              <w:jc w:val="center"/>
              <w:rPr>
                <w:rFonts w:cs="Calibri"/>
                <w:color w:val="000000"/>
                <w:sz w:val="18"/>
                <w:szCs w:val="18"/>
              </w:rPr>
            </w:pPr>
            <w:r>
              <w:rPr>
                <w:rFonts w:cs="Calibri"/>
                <w:color w:val="000000"/>
                <w:sz w:val="18"/>
                <w:szCs w:val="18"/>
              </w:rPr>
              <w:t>153.000</w:t>
            </w:r>
          </w:p>
        </w:tc>
        <w:tc>
          <w:tcPr>
            <w:tcW w:w="949" w:type="dxa"/>
            <w:tcBorders>
              <w:top w:val="single" w:sz="4" w:space="0" w:color="auto"/>
              <w:left w:val="nil"/>
              <w:right w:val="nil"/>
            </w:tcBorders>
          </w:tcPr>
          <w:p w:rsidR="00E041AB" w:rsidRPr="00AA3B77" w:rsidRDefault="00E041AB" w:rsidP="00375E5A">
            <w:pPr>
              <w:jc w:val="center"/>
              <w:rPr>
                <w:rFonts w:cs="Calibri"/>
                <w:color w:val="000000"/>
                <w:sz w:val="18"/>
                <w:szCs w:val="18"/>
              </w:rPr>
            </w:pPr>
            <w:r>
              <w:rPr>
                <w:rFonts w:cs="Calibri"/>
                <w:color w:val="000000"/>
                <w:sz w:val="18"/>
                <w:szCs w:val="18"/>
              </w:rPr>
              <w:t>(11%)</w:t>
            </w:r>
          </w:p>
        </w:tc>
        <w:tc>
          <w:tcPr>
            <w:tcW w:w="949" w:type="dxa"/>
            <w:tcBorders>
              <w:top w:val="single" w:sz="4" w:space="0" w:color="auto"/>
              <w:left w:val="nil"/>
            </w:tcBorders>
          </w:tcPr>
          <w:p w:rsidR="00E041AB" w:rsidRPr="00AA3B77" w:rsidRDefault="00E041AB" w:rsidP="00375E5A">
            <w:pPr>
              <w:jc w:val="center"/>
              <w:rPr>
                <w:rFonts w:cs="Calibri"/>
                <w:color w:val="000000"/>
                <w:sz w:val="18"/>
                <w:szCs w:val="18"/>
              </w:rPr>
            </w:pPr>
            <w:r>
              <w:rPr>
                <w:rFonts w:cs="Calibri"/>
                <w:color w:val="000000"/>
                <w:sz w:val="18"/>
                <w:szCs w:val="18"/>
              </w:rPr>
              <w:t>50.000</w:t>
            </w:r>
          </w:p>
        </w:tc>
        <w:tc>
          <w:tcPr>
            <w:tcW w:w="949" w:type="dxa"/>
            <w:tcBorders>
              <w:top w:val="single" w:sz="4" w:space="0" w:color="auto"/>
              <w:left w:val="nil"/>
              <w:right w:val="nil"/>
            </w:tcBorders>
          </w:tcPr>
          <w:p w:rsidR="00E041AB" w:rsidRPr="00AA3B77" w:rsidRDefault="00E041AB" w:rsidP="00375E5A">
            <w:pPr>
              <w:jc w:val="center"/>
              <w:rPr>
                <w:rFonts w:cs="Calibri"/>
                <w:color w:val="000000"/>
                <w:sz w:val="18"/>
                <w:szCs w:val="18"/>
              </w:rPr>
            </w:pPr>
            <w:r>
              <w:rPr>
                <w:rFonts w:cs="Calibri"/>
                <w:color w:val="000000"/>
                <w:sz w:val="18"/>
                <w:szCs w:val="18"/>
              </w:rPr>
              <w:t>(4%)</w:t>
            </w:r>
          </w:p>
        </w:tc>
        <w:tc>
          <w:tcPr>
            <w:tcW w:w="949" w:type="dxa"/>
            <w:tcBorders>
              <w:top w:val="single" w:sz="4" w:space="0" w:color="auto"/>
              <w:left w:val="nil"/>
            </w:tcBorders>
          </w:tcPr>
          <w:p w:rsidR="00E041AB" w:rsidRPr="00AA3B77" w:rsidRDefault="00E041AB" w:rsidP="00375E5A">
            <w:pPr>
              <w:jc w:val="center"/>
              <w:rPr>
                <w:rFonts w:cs="Calibri"/>
                <w:color w:val="000000"/>
                <w:sz w:val="18"/>
                <w:szCs w:val="18"/>
              </w:rPr>
            </w:pPr>
            <w:r>
              <w:rPr>
                <w:rFonts w:cs="Calibri"/>
                <w:color w:val="000000"/>
                <w:sz w:val="18"/>
                <w:szCs w:val="18"/>
              </w:rPr>
              <w:t>-</w:t>
            </w:r>
          </w:p>
        </w:tc>
        <w:tc>
          <w:tcPr>
            <w:tcW w:w="949" w:type="dxa"/>
            <w:tcBorders>
              <w:top w:val="single" w:sz="4" w:space="0" w:color="auto"/>
              <w:left w:val="nil"/>
            </w:tcBorders>
          </w:tcPr>
          <w:p w:rsidR="00E041AB" w:rsidRPr="00AA3B77" w:rsidRDefault="00E041AB" w:rsidP="00375E5A">
            <w:pPr>
              <w:jc w:val="center"/>
              <w:rPr>
                <w:rFonts w:cs="Calibri"/>
                <w:color w:val="000000"/>
                <w:sz w:val="18"/>
                <w:szCs w:val="18"/>
              </w:rPr>
            </w:pPr>
            <w:r>
              <w:rPr>
                <w:rFonts w:cs="Calibri"/>
                <w:color w:val="000000"/>
                <w:sz w:val="18"/>
                <w:szCs w:val="18"/>
              </w:rPr>
              <w:t>-</w:t>
            </w:r>
          </w:p>
        </w:tc>
      </w:tr>
      <w:tr w:rsidR="00E041AB" w:rsidRPr="00AA3B77" w:rsidTr="00573E96">
        <w:trPr>
          <w:cantSplit/>
        </w:trPr>
        <w:tc>
          <w:tcPr>
            <w:tcW w:w="559" w:type="dxa"/>
            <w:vAlign w:val="center"/>
          </w:tcPr>
          <w:p w:rsidR="00E041AB" w:rsidRPr="00AA3B77" w:rsidRDefault="00E041AB" w:rsidP="00375E5A">
            <w:pPr>
              <w:pStyle w:val="normaltabel"/>
              <w:jc w:val="center"/>
            </w:pPr>
          </w:p>
        </w:tc>
        <w:tc>
          <w:tcPr>
            <w:tcW w:w="993" w:type="dxa"/>
            <w:vAlign w:val="center"/>
          </w:tcPr>
          <w:p w:rsidR="00E041AB" w:rsidRPr="00AA3B77" w:rsidRDefault="00E041AB" w:rsidP="00375E5A">
            <w:pPr>
              <w:pStyle w:val="normaltabel"/>
              <w:jc w:val="center"/>
            </w:pPr>
            <w:r w:rsidRPr="00AA3B77">
              <w:t>Afvoer</w:t>
            </w:r>
          </w:p>
        </w:tc>
        <w:tc>
          <w:tcPr>
            <w:tcW w:w="992" w:type="dxa"/>
          </w:tcPr>
          <w:p w:rsidR="00E041AB" w:rsidRPr="00AA3B77" w:rsidRDefault="00E041AB" w:rsidP="00375E5A">
            <w:pPr>
              <w:jc w:val="center"/>
              <w:rPr>
                <w:rFonts w:cs="Calibri"/>
                <w:color w:val="000000"/>
                <w:sz w:val="18"/>
                <w:szCs w:val="18"/>
              </w:rPr>
            </w:pPr>
            <w:r>
              <w:rPr>
                <w:rFonts w:cs="Calibri"/>
                <w:color w:val="000000"/>
                <w:sz w:val="18"/>
                <w:szCs w:val="18"/>
              </w:rPr>
              <w:t>887.000</w:t>
            </w:r>
          </w:p>
        </w:tc>
        <w:tc>
          <w:tcPr>
            <w:tcW w:w="1252" w:type="dxa"/>
            <w:tcBorders>
              <w:right w:val="nil"/>
            </w:tcBorders>
          </w:tcPr>
          <w:p w:rsidR="00E041AB" w:rsidRPr="00AA3B77" w:rsidRDefault="00E041AB" w:rsidP="00375E5A">
            <w:pPr>
              <w:jc w:val="center"/>
              <w:rPr>
                <w:rFonts w:cs="Calibri"/>
                <w:color w:val="000000"/>
                <w:sz w:val="18"/>
                <w:szCs w:val="18"/>
              </w:rPr>
            </w:pPr>
            <w:r>
              <w:rPr>
                <w:rFonts w:cs="Calibri"/>
                <w:color w:val="000000"/>
                <w:sz w:val="18"/>
                <w:szCs w:val="18"/>
              </w:rPr>
              <w:t>(68%)</w:t>
            </w:r>
          </w:p>
        </w:tc>
        <w:tc>
          <w:tcPr>
            <w:tcW w:w="949" w:type="dxa"/>
            <w:tcBorders>
              <w:left w:val="nil"/>
            </w:tcBorders>
          </w:tcPr>
          <w:p w:rsidR="00E041AB" w:rsidRPr="00AA3B77" w:rsidRDefault="00E041AB" w:rsidP="00375E5A">
            <w:pPr>
              <w:jc w:val="center"/>
              <w:rPr>
                <w:rFonts w:cs="Calibri"/>
                <w:color w:val="000000"/>
                <w:sz w:val="18"/>
                <w:szCs w:val="18"/>
              </w:rPr>
            </w:pPr>
            <w:r>
              <w:rPr>
                <w:rFonts w:cs="Calibri"/>
                <w:color w:val="000000"/>
                <w:sz w:val="18"/>
                <w:szCs w:val="18"/>
              </w:rPr>
              <w:t>84.000</w:t>
            </w:r>
          </w:p>
        </w:tc>
        <w:tc>
          <w:tcPr>
            <w:tcW w:w="949" w:type="dxa"/>
            <w:tcBorders>
              <w:left w:val="nil"/>
              <w:right w:val="nil"/>
            </w:tcBorders>
          </w:tcPr>
          <w:p w:rsidR="00E041AB" w:rsidRPr="00AA3B77" w:rsidRDefault="00E041AB" w:rsidP="00375E5A">
            <w:pPr>
              <w:jc w:val="center"/>
              <w:rPr>
                <w:rFonts w:cs="Calibri"/>
                <w:color w:val="000000"/>
                <w:sz w:val="18"/>
                <w:szCs w:val="18"/>
              </w:rPr>
            </w:pPr>
            <w:r>
              <w:rPr>
                <w:rFonts w:cs="Calibri"/>
                <w:color w:val="000000"/>
                <w:sz w:val="18"/>
                <w:szCs w:val="18"/>
              </w:rPr>
              <w:t>(6%)</w:t>
            </w:r>
          </w:p>
        </w:tc>
        <w:tc>
          <w:tcPr>
            <w:tcW w:w="949" w:type="dxa"/>
            <w:tcBorders>
              <w:left w:val="nil"/>
            </w:tcBorders>
          </w:tcPr>
          <w:p w:rsidR="00E041AB" w:rsidRPr="00AA3B77" w:rsidRDefault="00E041AB" w:rsidP="00375E5A">
            <w:pPr>
              <w:jc w:val="center"/>
              <w:rPr>
                <w:rFonts w:cs="Calibri"/>
                <w:color w:val="000000"/>
                <w:sz w:val="18"/>
                <w:szCs w:val="18"/>
              </w:rPr>
            </w:pPr>
            <w:r>
              <w:rPr>
                <w:rFonts w:cs="Calibri"/>
                <w:color w:val="000000"/>
                <w:sz w:val="18"/>
                <w:szCs w:val="18"/>
              </w:rPr>
              <w:t>334.000</w:t>
            </w:r>
          </w:p>
        </w:tc>
        <w:tc>
          <w:tcPr>
            <w:tcW w:w="949" w:type="dxa"/>
            <w:tcBorders>
              <w:left w:val="nil"/>
              <w:right w:val="nil"/>
            </w:tcBorders>
          </w:tcPr>
          <w:p w:rsidR="00E041AB" w:rsidRPr="00AA3B77" w:rsidRDefault="00E041AB" w:rsidP="00375E5A">
            <w:pPr>
              <w:jc w:val="center"/>
              <w:rPr>
                <w:rFonts w:cs="Calibri"/>
                <w:color w:val="000000"/>
                <w:sz w:val="18"/>
                <w:szCs w:val="18"/>
              </w:rPr>
            </w:pPr>
            <w:r>
              <w:rPr>
                <w:rFonts w:cs="Calibri"/>
                <w:color w:val="000000"/>
                <w:sz w:val="18"/>
                <w:szCs w:val="18"/>
              </w:rPr>
              <w:t>(26%)</w:t>
            </w:r>
          </w:p>
        </w:tc>
        <w:tc>
          <w:tcPr>
            <w:tcW w:w="949" w:type="dxa"/>
            <w:tcBorders>
              <w:left w:val="nil"/>
            </w:tcBorders>
          </w:tcPr>
          <w:p w:rsidR="00E041AB" w:rsidRPr="00AA3B77" w:rsidRDefault="00E041AB" w:rsidP="00375E5A">
            <w:pPr>
              <w:jc w:val="center"/>
              <w:rPr>
                <w:rFonts w:cs="Calibri"/>
                <w:color w:val="000000"/>
                <w:sz w:val="18"/>
                <w:szCs w:val="18"/>
              </w:rPr>
            </w:pPr>
            <w:r>
              <w:rPr>
                <w:rFonts w:cs="Calibri"/>
                <w:color w:val="000000"/>
                <w:sz w:val="18"/>
                <w:szCs w:val="18"/>
              </w:rPr>
              <w:t>-</w:t>
            </w:r>
          </w:p>
        </w:tc>
        <w:tc>
          <w:tcPr>
            <w:tcW w:w="949" w:type="dxa"/>
            <w:tcBorders>
              <w:left w:val="nil"/>
            </w:tcBorders>
          </w:tcPr>
          <w:p w:rsidR="00E041AB" w:rsidRPr="00AA3B77" w:rsidRDefault="00E041AB" w:rsidP="00375E5A">
            <w:pPr>
              <w:jc w:val="center"/>
              <w:rPr>
                <w:rFonts w:cs="Calibri"/>
                <w:color w:val="000000"/>
                <w:sz w:val="18"/>
                <w:szCs w:val="18"/>
              </w:rPr>
            </w:pPr>
            <w:r>
              <w:rPr>
                <w:rFonts w:cs="Calibri"/>
                <w:color w:val="000000"/>
                <w:sz w:val="18"/>
                <w:szCs w:val="18"/>
              </w:rPr>
              <w:t>&lt; 5%</w:t>
            </w:r>
          </w:p>
        </w:tc>
      </w:tr>
      <w:tr w:rsidR="00E041AB" w:rsidRPr="00AA3B77" w:rsidTr="00573E96">
        <w:trPr>
          <w:cantSplit/>
        </w:trPr>
        <w:tc>
          <w:tcPr>
            <w:tcW w:w="559" w:type="dxa"/>
            <w:vAlign w:val="center"/>
          </w:tcPr>
          <w:p w:rsidR="00E041AB" w:rsidRPr="00AA3B77" w:rsidRDefault="00E041AB" w:rsidP="00375E5A">
            <w:pPr>
              <w:pStyle w:val="normaltabel"/>
              <w:jc w:val="center"/>
            </w:pPr>
            <w:r w:rsidRPr="00AA3B77">
              <w:t>2009</w:t>
            </w:r>
            <w:r w:rsidRPr="00AA3B77">
              <w:rPr>
                <w:rStyle w:val="FootnoteReference"/>
              </w:rPr>
              <w:footnoteReference w:id="20"/>
            </w:r>
          </w:p>
        </w:tc>
        <w:tc>
          <w:tcPr>
            <w:tcW w:w="993" w:type="dxa"/>
            <w:vAlign w:val="center"/>
          </w:tcPr>
          <w:p w:rsidR="00E041AB" w:rsidRPr="00AA3B77" w:rsidRDefault="00E041AB" w:rsidP="00375E5A">
            <w:pPr>
              <w:pStyle w:val="normaltabel"/>
              <w:jc w:val="center"/>
            </w:pPr>
            <w:r w:rsidRPr="00AA3B77">
              <w:t>Aanvoer</w:t>
            </w:r>
          </w:p>
        </w:tc>
        <w:tc>
          <w:tcPr>
            <w:tcW w:w="992" w:type="dxa"/>
            <w:vAlign w:val="bottom"/>
          </w:tcPr>
          <w:p w:rsidR="00E041AB" w:rsidRPr="00AA3B77" w:rsidRDefault="00E041AB" w:rsidP="00375E5A">
            <w:pPr>
              <w:jc w:val="center"/>
              <w:rPr>
                <w:rFonts w:cs="Calibri"/>
                <w:color w:val="000000"/>
                <w:sz w:val="18"/>
                <w:szCs w:val="18"/>
              </w:rPr>
            </w:pPr>
            <w:r>
              <w:rPr>
                <w:rFonts w:cs="Calibri"/>
                <w:color w:val="000000"/>
                <w:sz w:val="18"/>
                <w:szCs w:val="18"/>
              </w:rPr>
              <w:t>804.000</w:t>
            </w:r>
          </w:p>
        </w:tc>
        <w:tc>
          <w:tcPr>
            <w:tcW w:w="1252" w:type="dxa"/>
            <w:tcBorders>
              <w:right w:val="nil"/>
            </w:tcBorders>
          </w:tcPr>
          <w:p w:rsidR="00E041AB" w:rsidRPr="00AA3B77" w:rsidRDefault="00E041AB" w:rsidP="00375E5A">
            <w:pPr>
              <w:jc w:val="center"/>
              <w:rPr>
                <w:rFonts w:cs="Calibri"/>
                <w:color w:val="000000"/>
                <w:sz w:val="18"/>
                <w:szCs w:val="18"/>
              </w:rPr>
            </w:pPr>
            <w:r>
              <w:rPr>
                <w:rFonts w:cs="Calibri"/>
                <w:color w:val="000000"/>
                <w:sz w:val="18"/>
                <w:szCs w:val="18"/>
              </w:rPr>
              <w:t>(86%)</w:t>
            </w:r>
          </w:p>
        </w:tc>
        <w:tc>
          <w:tcPr>
            <w:tcW w:w="949" w:type="dxa"/>
            <w:tcBorders>
              <w:left w:val="nil"/>
            </w:tcBorders>
            <w:vAlign w:val="bottom"/>
          </w:tcPr>
          <w:p w:rsidR="00E041AB" w:rsidRPr="00AA3B77" w:rsidRDefault="00E041AB" w:rsidP="00375E5A">
            <w:pPr>
              <w:jc w:val="center"/>
              <w:rPr>
                <w:rFonts w:cs="Calibri"/>
                <w:color w:val="000000"/>
                <w:sz w:val="18"/>
                <w:szCs w:val="18"/>
              </w:rPr>
            </w:pPr>
            <w:r>
              <w:rPr>
                <w:rFonts w:cs="Calibri"/>
                <w:color w:val="000000"/>
                <w:sz w:val="18"/>
                <w:szCs w:val="18"/>
              </w:rPr>
              <w:t>96.000</w:t>
            </w:r>
          </w:p>
        </w:tc>
        <w:tc>
          <w:tcPr>
            <w:tcW w:w="949" w:type="dxa"/>
            <w:tcBorders>
              <w:left w:val="nil"/>
              <w:right w:val="nil"/>
            </w:tcBorders>
          </w:tcPr>
          <w:p w:rsidR="00E041AB" w:rsidRPr="00AA3B77" w:rsidRDefault="00E041AB" w:rsidP="00375E5A">
            <w:pPr>
              <w:jc w:val="center"/>
              <w:rPr>
                <w:rFonts w:cs="Calibri"/>
                <w:color w:val="000000"/>
                <w:sz w:val="18"/>
                <w:szCs w:val="18"/>
              </w:rPr>
            </w:pPr>
            <w:r>
              <w:rPr>
                <w:rFonts w:cs="Calibri"/>
                <w:color w:val="000000"/>
                <w:sz w:val="18"/>
                <w:szCs w:val="18"/>
              </w:rPr>
              <w:t>(10%)</w:t>
            </w:r>
          </w:p>
        </w:tc>
        <w:tc>
          <w:tcPr>
            <w:tcW w:w="949" w:type="dxa"/>
            <w:tcBorders>
              <w:left w:val="nil"/>
            </w:tcBorders>
            <w:vAlign w:val="bottom"/>
          </w:tcPr>
          <w:p w:rsidR="00E041AB" w:rsidRPr="00AA3B77" w:rsidRDefault="00E041AB" w:rsidP="00375E5A">
            <w:pPr>
              <w:jc w:val="center"/>
              <w:rPr>
                <w:rFonts w:cs="Calibri"/>
                <w:color w:val="000000"/>
                <w:sz w:val="18"/>
                <w:szCs w:val="18"/>
              </w:rPr>
            </w:pPr>
            <w:r>
              <w:rPr>
                <w:rFonts w:cs="Calibri"/>
                <w:color w:val="000000"/>
                <w:sz w:val="18"/>
                <w:szCs w:val="18"/>
              </w:rPr>
              <w:t>36.000</w:t>
            </w:r>
          </w:p>
        </w:tc>
        <w:tc>
          <w:tcPr>
            <w:tcW w:w="949" w:type="dxa"/>
            <w:tcBorders>
              <w:left w:val="nil"/>
              <w:right w:val="nil"/>
            </w:tcBorders>
          </w:tcPr>
          <w:p w:rsidR="00E041AB" w:rsidRPr="00AA3B77" w:rsidRDefault="00E041AB" w:rsidP="00375E5A">
            <w:pPr>
              <w:jc w:val="center"/>
              <w:rPr>
                <w:rFonts w:cs="Calibri"/>
                <w:color w:val="000000"/>
                <w:sz w:val="18"/>
                <w:szCs w:val="18"/>
              </w:rPr>
            </w:pPr>
            <w:r>
              <w:rPr>
                <w:rFonts w:cs="Calibri"/>
                <w:color w:val="000000"/>
                <w:sz w:val="18"/>
                <w:szCs w:val="18"/>
              </w:rPr>
              <w:t>(4%)</w:t>
            </w:r>
          </w:p>
        </w:tc>
        <w:tc>
          <w:tcPr>
            <w:tcW w:w="949" w:type="dxa"/>
            <w:tcBorders>
              <w:left w:val="nil"/>
            </w:tcBorders>
          </w:tcPr>
          <w:p w:rsidR="00E041AB" w:rsidRPr="00AA3B77" w:rsidRDefault="00E041AB" w:rsidP="00375E5A">
            <w:pPr>
              <w:jc w:val="center"/>
              <w:rPr>
                <w:rFonts w:cs="Calibri"/>
                <w:color w:val="000000"/>
                <w:sz w:val="18"/>
                <w:szCs w:val="18"/>
              </w:rPr>
            </w:pPr>
            <w:r>
              <w:rPr>
                <w:rFonts w:cs="Calibri"/>
                <w:color w:val="000000"/>
                <w:sz w:val="18"/>
                <w:szCs w:val="18"/>
              </w:rPr>
              <w:t>-</w:t>
            </w:r>
          </w:p>
        </w:tc>
        <w:tc>
          <w:tcPr>
            <w:tcW w:w="949" w:type="dxa"/>
            <w:tcBorders>
              <w:left w:val="nil"/>
            </w:tcBorders>
          </w:tcPr>
          <w:p w:rsidR="00E041AB" w:rsidRPr="00AA3B77" w:rsidRDefault="00E041AB" w:rsidP="00375E5A">
            <w:pPr>
              <w:jc w:val="center"/>
              <w:rPr>
                <w:rFonts w:cs="Calibri"/>
                <w:color w:val="000000"/>
                <w:sz w:val="18"/>
                <w:szCs w:val="18"/>
              </w:rPr>
            </w:pPr>
            <w:r>
              <w:rPr>
                <w:rFonts w:cs="Calibri"/>
                <w:color w:val="000000"/>
                <w:sz w:val="18"/>
                <w:szCs w:val="18"/>
              </w:rPr>
              <w:t>-</w:t>
            </w:r>
          </w:p>
        </w:tc>
      </w:tr>
      <w:tr w:rsidR="009266CB" w:rsidRPr="00AA3B77" w:rsidTr="00573E96">
        <w:trPr>
          <w:cantSplit/>
        </w:trPr>
        <w:tc>
          <w:tcPr>
            <w:tcW w:w="559" w:type="dxa"/>
            <w:vAlign w:val="center"/>
          </w:tcPr>
          <w:p w:rsidR="009266CB" w:rsidRPr="00AA3B77" w:rsidRDefault="009266CB" w:rsidP="00375E5A">
            <w:pPr>
              <w:pStyle w:val="normaltabel"/>
              <w:jc w:val="center"/>
            </w:pPr>
          </w:p>
        </w:tc>
        <w:tc>
          <w:tcPr>
            <w:tcW w:w="993" w:type="dxa"/>
            <w:vAlign w:val="center"/>
          </w:tcPr>
          <w:p w:rsidR="009266CB" w:rsidRPr="00AA3B77" w:rsidRDefault="009266CB" w:rsidP="00375E5A">
            <w:pPr>
              <w:pStyle w:val="normaltabel"/>
              <w:jc w:val="center"/>
            </w:pPr>
            <w:r w:rsidRPr="00AA3B77">
              <w:t>Afvoer</w:t>
            </w:r>
          </w:p>
        </w:tc>
        <w:tc>
          <w:tcPr>
            <w:tcW w:w="992" w:type="dxa"/>
            <w:vAlign w:val="bottom"/>
          </w:tcPr>
          <w:p w:rsidR="009266CB" w:rsidRDefault="009266CB" w:rsidP="00375E5A">
            <w:pPr>
              <w:jc w:val="center"/>
              <w:rPr>
                <w:rFonts w:cs="Calibri"/>
                <w:color w:val="000000"/>
                <w:sz w:val="18"/>
                <w:szCs w:val="18"/>
              </w:rPr>
            </w:pPr>
            <w:r>
              <w:rPr>
                <w:rFonts w:cs="Calibri"/>
                <w:color w:val="000000"/>
                <w:sz w:val="18"/>
                <w:szCs w:val="18"/>
              </w:rPr>
              <w:t>598.000</w:t>
            </w:r>
          </w:p>
        </w:tc>
        <w:tc>
          <w:tcPr>
            <w:tcW w:w="1252" w:type="dxa"/>
            <w:tcBorders>
              <w:right w:val="nil"/>
            </w:tcBorders>
          </w:tcPr>
          <w:p w:rsidR="009266CB" w:rsidRDefault="009266CB" w:rsidP="00375E5A">
            <w:pPr>
              <w:jc w:val="center"/>
              <w:rPr>
                <w:rFonts w:cs="Calibri"/>
                <w:color w:val="000000"/>
                <w:sz w:val="18"/>
                <w:szCs w:val="18"/>
              </w:rPr>
            </w:pPr>
            <w:r>
              <w:rPr>
                <w:rFonts w:cs="Calibri"/>
                <w:color w:val="000000"/>
                <w:sz w:val="18"/>
                <w:szCs w:val="18"/>
              </w:rPr>
              <w:t>(60%)</w:t>
            </w:r>
          </w:p>
        </w:tc>
        <w:tc>
          <w:tcPr>
            <w:tcW w:w="949" w:type="dxa"/>
            <w:tcBorders>
              <w:left w:val="nil"/>
            </w:tcBorders>
            <w:vAlign w:val="bottom"/>
          </w:tcPr>
          <w:p w:rsidR="009266CB" w:rsidRDefault="009266CB" w:rsidP="00375E5A">
            <w:pPr>
              <w:jc w:val="center"/>
              <w:rPr>
                <w:rFonts w:cs="Calibri"/>
                <w:color w:val="000000"/>
                <w:sz w:val="18"/>
                <w:szCs w:val="18"/>
              </w:rPr>
            </w:pPr>
            <w:r>
              <w:rPr>
                <w:rFonts w:cs="Calibri"/>
                <w:color w:val="000000"/>
                <w:sz w:val="18"/>
                <w:szCs w:val="18"/>
              </w:rPr>
              <w:t>105.000</w:t>
            </w:r>
          </w:p>
        </w:tc>
        <w:tc>
          <w:tcPr>
            <w:tcW w:w="949" w:type="dxa"/>
            <w:tcBorders>
              <w:left w:val="nil"/>
              <w:right w:val="nil"/>
            </w:tcBorders>
          </w:tcPr>
          <w:p w:rsidR="009266CB" w:rsidRDefault="009266CB" w:rsidP="00375E5A">
            <w:pPr>
              <w:jc w:val="center"/>
              <w:rPr>
                <w:rFonts w:cs="Calibri"/>
                <w:color w:val="000000"/>
                <w:sz w:val="18"/>
                <w:szCs w:val="18"/>
              </w:rPr>
            </w:pPr>
            <w:r>
              <w:rPr>
                <w:rFonts w:cs="Calibri"/>
                <w:color w:val="000000"/>
                <w:sz w:val="18"/>
                <w:szCs w:val="18"/>
              </w:rPr>
              <w:t>(11%)</w:t>
            </w:r>
          </w:p>
        </w:tc>
        <w:tc>
          <w:tcPr>
            <w:tcW w:w="949" w:type="dxa"/>
            <w:tcBorders>
              <w:left w:val="nil"/>
            </w:tcBorders>
            <w:vAlign w:val="bottom"/>
          </w:tcPr>
          <w:p w:rsidR="009266CB" w:rsidRDefault="009266CB" w:rsidP="00375E5A">
            <w:pPr>
              <w:jc w:val="center"/>
              <w:rPr>
                <w:rFonts w:cs="Calibri"/>
                <w:color w:val="000000"/>
                <w:sz w:val="18"/>
                <w:szCs w:val="18"/>
              </w:rPr>
            </w:pPr>
            <w:r>
              <w:rPr>
                <w:rFonts w:cs="Calibri"/>
                <w:color w:val="000000"/>
                <w:sz w:val="18"/>
                <w:szCs w:val="18"/>
              </w:rPr>
              <w:t>291.000</w:t>
            </w:r>
          </w:p>
        </w:tc>
        <w:tc>
          <w:tcPr>
            <w:tcW w:w="949" w:type="dxa"/>
            <w:tcBorders>
              <w:left w:val="nil"/>
              <w:right w:val="nil"/>
            </w:tcBorders>
          </w:tcPr>
          <w:p w:rsidR="009266CB" w:rsidRDefault="009266CB" w:rsidP="00375E5A">
            <w:pPr>
              <w:jc w:val="center"/>
              <w:rPr>
                <w:rFonts w:cs="Calibri"/>
                <w:color w:val="000000"/>
                <w:sz w:val="18"/>
                <w:szCs w:val="18"/>
              </w:rPr>
            </w:pPr>
            <w:r>
              <w:rPr>
                <w:rFonts w:cs="Calibri"/>
                <w:color w:val="000000"/>
                <w:sz w:val="18"/>
                <w:szCs w:val="18"/>
              </w:rPr>
              <w:t>(29%)</w:t>
            </w:r>
          </w:p>
        </w:tc>
        <w:tc>
          <w:tcPr>
            <w:tcW w:w="949" w:type="dxa"/>
            <w:tcBorders>
              <w:left w:val="nil"/>
            </w:tcBorders>
          </w:tcPr>
          <w:p w:rsidR="009266CB" w:rsidRDefault="009266CB" w:rsidP="00375E5A">
            <w:pPr>
              <w:jc w:val="center"/>
              <w:rPr>
                <w:rFonts w:cs="Calibri"/>
                <w:color w:val="000000"/>
                <w:sz w:val="18"/>
                <w:szCs w:val="18"/>
              </w:rPr>
            </w:pPr>
            <w:r>
              <w:rPr>
                <w:rFonts w:cs="Calibri"/>
                <w:color w:val="000000"/>
                <w:sz w:val="18"/>
                <w:szCs w:val="18"/>
              </w:rPr>
              <w:t>-</w:t>
            </w:r>
          </w:p>
        </w:tc>
        <w:tc>
          <w:tcPr>
            <w:tcW w:w="949" w:type="dxa"/>
            <w:tcBorders>
              <w:left w:val="nil"/>
            </w:tcBorders>
          </w:tcPr>
          <w:p w:rsidR="009266CB" w:rsidRDefault="009266CB" w:rsidP="00375E5A">
            <w:pPr>
              <w:jc w:val="center"/>
              <w:rPr>
                <w:rFonts w:cs="Calibri"/>
                <w:color w:val="000000"/>
                <w:sz w:val="18"/>
                <w:szCs w:val="18"/>
              </w:rPr>
            </w:pPr>
            <w:r>
              <w:rPr>
                <w:rFonts w:cs="Calibri"/>
                <w:color w:val="000000"/>
                <w:sz w:val="18"/>
                <w:szCs w:val="18"/>
              </w:rPr>
              <w:t>&lt; 5%</w:t>
            </w:r>
          </w:p>
        </w:tc>
      </w:tr>
      <w:tr w:rsidR="009266CB" w:rsidRPr="00AA3B77" w:rsidTr="00573E96">
        <w:trPr>
          <w:cantSplit/>
        </w:trPr>
        <w:tc>
          <w:tcPr>
            <w:tcW w:w="559" w:type="dxa"/>
            <w:vAlign w:val="center"/>
          </w:tcPr>
          <w:p w:rsidR="009266CB" w:rsidRPr="00AA3B77" w:rsidRDefault="009B5166" w:rsidP="00375E5A">
            <w:pPr>
              <w:pStyle w:val="normaltabel"/>
              <w:jc w:val="center"/>
            </w:pPr>
            <w:r>
              <w:t>2010</w:t>
            </w:r>
          </w:p>
        </w:tc>
        <w:tc>
          <w:tcPr>
            <w:tcW w:w="993" w:type="dxa"/>
            <w:vAlign w:val="center"/>
          </w:tcPr>
          <w:p w:rsidR="009266CB" w:rsidRPr="00AA3B77" w:rsidRDefault="009266CB" w:rsidP="00375E5A">
            <w:pPr>
              <w:pStyle w:val="normaltabel"/>
              <w:jc w:val="center"/>
            </w:pPr>
            <w:r w:rsidRPr="00AA3B77">
              <w:t>Aanvoer</w:t>
            </w:r>
          </w:p>
        </w:tc>
        <w:tc>
          <w:tcPr>
            <w:tcW w:w="992" w:type="dxa"/>
            <w:vAlign w:val="bottom"/>
          </w:tcPr>
          <w:p w:rsidR="009266CB" w:rsidRDefault="009266CB" w:rsidP="00375E5A">
            <w:pPr>
              <w:jc w:val="center"/>
              <w:rPr>
                <w:rFonts w:cs="Calibri"/>
                <w:color w:val="000000"/>
                <w:sz w:val="18"/>
                <w:szCs w:val="18"/>
              </w:rPr>
            </w:pPr>
            <w:r>
              <w:rPr>
                <w:rFonts w:cs="Calibri"/>
                <w:color w:val="000000"/>
                <w:sz w:val="18"/>
                <w:szCs w:val="18"/>
              </w:rPr>
              <w:t>1.123.000</w:t>
            </w:r>
          </w:p>
        </w:tc>
        <w:tc>
          <w:tcPr>
            <w:tcW w:w="1252" w:type="dxa"/>
            <w:tcBorders>
              <w:right w:val="nil"/>
            </w:tcBorders>
          </w:tcPr>
          <w:p w:rsidR="009266CB" w:rsidRDefault="009266CB" w:rsidP="00375E5A">
            <w:pPr>
              <w:jc w:val="center"/>
              <w:rPr>
                <w:rFonts w:cs="Calibri"/>
                <w:color w:val="000000"/>
                <w:sz w:val="18"/>
                <w:szCs w:val="18"/>
              </w:rPr>
            </w:pPr>
            <w:r>
              <w:rPr>
                <w:rFonts w:cs="Calibri"/>
                <w:color w:val="000000"/>
                <w:sz w:val="18"/>
                <w:szCs w:val="18"/>
              </w:rPr>
              <w:t>(88%)</w:t>
            </w:r>
          </w:p>
        </w:tc>
        <w:tc>
          <w:tcPr>
            <w:tcW w:w="949" w:type="dxa"/>
            <w:tcBorders>
              <w:left w:val="nil"/>
            </w:tcBorders>
            <w:vAlign w:val="bottom"/>
          </w:tcPr>
          <w:p w:rsidR="009266CB" w:rsidRDefault="009266CB" w:rsidP="00375E5A">
            <w:pPr>
              <w:jc w:val="center"/>
              <w:rPr>
                <w:rFonts w:cs="Calibri"/>
                <w:color w:val="000000"/>
                <w:sz w:val="18"/>
                <w:szCs w:val="18"/>
              </w:rPr>
            </w:pPr>
            <w:r>
              <w:rPr>
                <w:rFonts w:cs="Calibri"/>
                <w:color w:val="000000"/>
                <w:sz w:val="18"/>
                <w:szCs w:val="18"/>
              </w:rPr>
              <w:t>106.000</w:t>
            </w:r>
          </w:p>
        </w:tc>
        <w:tc>
          <w:tcPr>
            <w:tcW w:w="949" w:type="dxa"/>
            <w:tcBorders>
              <w:left w:val="nil"/>
              <w:right w:val="nil"/>
            </w:tcBorders>
          </w:tcPr>
          <w:p w:rsidR="009266CB" w:rsidRDefault="009266CB" w:rsidP="00375E5A">
            <w:pPr>
              <w:jc w:val="center"/>
              <w:rPr>
                <w:rFonts w:cs="Calibri"/>
                <w:color w:val="000000"/>
                <w:sz w:val="18"/>
                <w:szCs w:val="18"/>
              </w:rPr>
            </w:pPr>
            <w:r>
              <w:rPr>
                <w:rFonts w:cs="Calibri"/>
                <w:color w:val="000000"/>
                <w:sz w:val="18"/>
                <w:szCs w:val="18"/>
              </w:rPr>
              <w:t>(8%)</w:t>
            </w:r>
          </w:p>
        </w:tc>
        <w:tc>
          <w:tcPr>
            <w:tcW w:w="949" w:type="dxa"/>
            <w:tcBorders>
              <w:left w:val="nil"/>
            </w:tcBorders>
            <w:vAlign w:val="bottom"/>
          </w:tcPr>
          <w:p w:rsidR="009266CB" w:rsidRDefault="009266CB" w:rsidP="00375E5A">
            <w:pPr>
              <w:jc w:val="center"/>
              <w:rPr>
                <w:rFonts w:cs="Calibri"/>
                <w:color w:val="000000"/>
                <w:sz w:val="18"/>
                <w:szCs w:val="18"/>
              </w:rPr>
            </w:pPr>
            <w:r>
              <w:rPr>
                <w:rFonts w:cs="Calibri"/>
                <w:color w:val="000000"/>
                <w:sz w:val="18"/>
                <w:szCs w:val="18"/>
              </w:rPr>
              <w:t>47.000</w:t>
            </w:r>
          </w:p>
        </w:tc>
        <w:tc>
          <w:tcPr>
            <w:tcW w:w="949" w:type="dxa"/>
            <w:tcBorders>
              <w:left w:val="nil"/>
              <w:right w:val="nil"/>
            </w:tcBorders>
          </w:tcPr>
          <w:p w:rsidR="009266CB" w:rsidRDefault="009266CB" w:rsidP="00375E5A">
            <w:pPr>
              <w:jc w:val="center"/>
              <w:rPr>
                <w:rFonts w:cs="Calibri"/>
                <w:color w:val="000000"/>
                <w:sz w:val="18"/>
                <w:szCs w:val="18"/>
              </w:rPr>
            </w:pPr>
            <w:r>
              <w:rPr>
                <w:rFonts w:cs="Calibri"/>
                <w:color w:val="000000"/>
                <w:sz w:val="18"/>
                <w:szCs w:val="18"/>
              </w:rPr>
              <w:t>(4%)</w:t>
            </w:r>
          </w:p>
        </w:tc>
        <w:tc>
          <w:tcPr>
            <w:tcW w:w="949" w:type="dxa"/>
            <w:tcBorders>
              <w:left w:val="nil"/>
            </w:tcBorders>
          </w:tcPr>
          <w:p w:rsidR="009266CB" w:rsidRDefault="009266CB" w:rsidP="00375E5A">
            <w:pPr>
              <w:jc w:val="center"/>
              <w:rPr>
                <w:rFonts w:cs="Calibri"/>
                <w:color w:val="000000"/>
                <w:sz w:val="18"/>
                <w:szCs w:val="18"/>
              </w:rPr>
            </w:pPr>
            <w:r>
              <w:rPr>
                <w:rFonts w:cs="Calibri"/>
                <w:color w:val="000000"/>
                <w:sz w:val="18"/>
                <w:szCs w:val="18"/>
              </w:rPr>
              <w:t>-</w:t>
            </w:r>
          </w:p>
        </w:tc>
        <w:tc>
          <w:tcPr>
            <w:tcW w:w="949" w:type="dxa"/>
            <w:tcBorders>
              <w:left w:val="nil"/>
            </w:tcBorders>
          </w:tcPr>
          <w:p w:rsidR="009266CB" w:rsidRDefault="009266CB" w:rsidP="00375E5A">
            <w:pPr>
              <w:jc w:val="center"/>
              <w:rPr>
                <w:rFonts w:cs="Calibri"/>
                <w:color w:val="000000"/>
                <w:sz w:val="18"/>
                <w:szCs w:val="18"/>
              </w:rPr>
            </w:pPr>
            <w:r>
              <w:rPr>
                <w:rFonts w:cs="Calibri"/>
                <w:color w:val="000000"/>
                <w:sz w:val="18"/>
                <w:szCs w:val="18"/>
              </w:rPr>
              <w:t>-</w:t>
            </w:r>
          </w:p>
        </w:tc>
      </w:tr>
      <w:tr w:rsidR="009266CB" w:rsidRPr="00AA3B77" w:rsidTr="00CF1446">
        <w:trPr>
          <w:cantSplit/>
        </w:trPr>
        <w:tc>
          <w:tcPr>
            <w:tcW w:w="559" w:type="dxa"/>
            <w:tcBorders>
              <w:bottom w:val="single" w:sz="4" w:space="0" w:color="auto"/>
            </w:tcBorders>
            <w:vAlign w:val="center"/>
          </w:tcPr>
          <w:p w:rsidR="009266CB" w:rsidRPr="00AA3B77" w:rsidRDefault="009266CB" w:rsidP="00375E5A">
            <w:pPr>
              <w:pStyle w:val="normaltabel"/>
              <w:jc w:val="center"/>
            </w:pPr>
          </w:p>
        </w:tc>
        <w:tc>
          <w:tcPr>
            <w:tcW w:w="993" w:type="dxa"/>
            <w:tcBorders>
              <w:bottom w:val="single" w:sz="4" w:space="0" w:color="auto"/>
            </w:tcBorders>
            <w:vAlign w:val="center"/>
          </w:tcPr>
          <w:p w:rsidR="009266CB" w:rsidRPr="00AA3B77" w:rsidRDefault="009266CB" w:rsidP="00375E5A">
            <w:pPr>
              <w:pStyle w:val="normaltabel"/>
              <w:jc w:val="center"/>
            </w:pPr>
            <w:r w:rsidRPr="00AA3B77">
              <w:t>Afvoer</w:t>
            </w:r>
          </w:p>
        </w:tc>
        <w:tc>
          <w:tcPr>
            <w:tcW w:w="992" w:type="dxa"/>
            <w:tcBorders>
              <w:bottom w:val="single" w:sz="4" w:space="0" w:color="auto"/>
            </w:tcBorders>
            <w:vAlign w:val="bottom"/>
          </w:tcPr>
          <w:p w:rsidR="009266CB" w:rsidRPr="00AA3B77" w:rsidRDefault="009266CB" w:rsidP="00375E5A">
            <w:pPr>
              <w:jc w:val="center"/>
              <w:rPr>
                <w:rFonts w:cs="Calibri"/>
                <w:color w:val="000000"/>
                <w:sz w:val="18"/>
                <w:szCs w:val="18"/>
              </w:rPr>
            </w:pPr>
            <w:r>
              <w:rPr>
                <w:rFonts w:cs="Calibri"/>
                <w:color w:val="000000"/>
                <w:sz w:val="18"/>
                <w:szCs w:val="18"/>
              </w:rPr>
              <w:t>828.000</w:t>
            </w:r>
          </w:p>
        </w:tc>
        <w:tc>
          <w:tcPr>
            <w:tcW w:w="1252" w:type="dxa"/>
            <w:tcBorders>
              <w:bottom w:val="single" w:sz="4" w:space="0" w:color="auto"/>
              <w:right w:val="nil"/>
            </w:tcBorders>
          </w:tcPr>
          <w:p w:rsidR="009266CB" w:rsidRPr="00AA3B77" w:rsidRDefault="009266CB" w:rsidP="00375E5A">
            <w:pPr>
              <w:jc w:val="center"/>
              <w:rPr>
                <w:rFonts w:cs="Calibri"/>
                <w:color w:val="000000"/>
                <w:sz w:val="18"/>
                <w:szCs w:val="18"/>
              </w:rPr>
            </w:pPr>
            <w:r>
              <w:rPr>
                <w:rFonts w:cs="Calibri"/>
                <w:color w:val="000000"/>
                <w:sz w:val="18"/>
                <w:szCs w:val="18"/>
              </w:rPr>
              <w:t>(66%)</w:t>
            </w:r>
          </w:p>
        </w:tc>
        <w:tc>
          <w:tcPr>
            <w:tcW w:w="949" w:type="dxa"/>
            <w:tcBorders>
              <w:left w:val="nil"/>
              <w:bottom w:val="single" w:sz="4" w:space="0" w:color="auto"/>
            </w:tcBorders>
            <w:vAlign w:val="bottom"/>
          </w:tcPr>
          <w:p w:rsidR="009266CB" w:rsidRPr="00AA3B77" w:rsidRDefault="009266CB" w:rsidP="00375E5A">
            <w:pPr>
              <w:jc w:val="center"/>
              <w:rPr>
                <w:rFonts w:cs="Calibri"/>
                <w:color w:val="000000"/>
                <w:sz w:val="18"/>
                <w:szCs w:val="18"/>
              </w:rPr>
            </w:pPr>
            <w:r>
              <w:rPr>
                <w:rFonts w:cs="Calibri"/>
                <w:color w:val="000000"/>
                <w:sz w:val="18"/>
                <w:szCs w:val="18"/>
              </w:rPr>
              <w:t>106.000</w:t>
            </w:r>
          </w:p>
        </w:tc>
        <w:tc>
          <w:tcPr>
            <w:tcW w:w="949" w:type="dxa"/>
            <w:tcBorders>
              <w:left w:val="nil"/>
              <w:bottom w:val="single" w:sz="4" w:space="0" w:color="auto"/>
              <w:right w:val="nil"/>
            </w:tcBorders>
          </w:tcPr>
          <w:p w:rsidR="009266CB" w:rsidRPr="00AA3B77" w:rsidRDefault="009266CB" w:rsidP="00375E5A">
            <w:pPr>
              <w:jc w:val="center"/>
              <w:rPr>
                <w:rFonts w:cs="Calibri"/>
                <w:color w:val="000000"/>
                <w:sz w:val="18"/>
                <w:szCs w:val="18"/>
              </w:rPr>
            </w:pPr>
            <w:r>
              <w:rPr>
                <w:rFonts w:cs="Calibri"/>
                <w:color w:val="000000"/>
                <w:sz w:val="18"/>
                <w:szCs w:val="18"/>
              </w:rPr>
              <w:t>(8%)</w:t>
            </w:r>
          </w:p>
        </w:tc>
        <w:tc>
          <w:tcPr>
            <w:tcW w:w="949" w:type="dxa"/>
            <w:tcBorders>
              <w:left w:val="nil"/>
              <w:bottom w:val="single" w:sz="4" w:space="0" w:color="auto"/>
            </w:tcBorders>
            <w:vAlign w:val="bottom"/>
          </w:tcPr>
          <w:p w:rsidR="009266CB" w:rsidRPr="00AA3B77" w:rsidRDefault="009266CB" w:rsidP="00375E5A">
            <w:pPr>
              <w:jc w:val="center"/>
              <w:rPr>
                <w:rFonts w:cs="Calibri"/>
                <w:color w:val="000000"/>
                <w:sz w:val="18"/>
                <w:szCs w:val="18"/>
              </w:rPr>
            </w:pPr>
            <w:r>
              <w:rPr>
                <w:rFonts w:cs="Calibri"/>
                <w:color w:val="000000"/>
                <w:sz w:val="18"/>
                <w:szCs w:val="18"/>
              </w:rPr>
              <w:t>320.000</w:t>
            </w:r>
          </w:p>
        </w:tc>
        <w:tc>
          <w:tcPr>
            <w:tcW w:w="949" w:type="dxa"/>
            <w:tcBorders>
              <w:left w:val="nil"/>
              <w:bottom w:val="single" w:sz="4" w:space="0" w:color="auto"/>
              <w:right w:val="nil"/>
            </w:tcBorders>
          </w:tcPr>
          <w:p w:rsidR="009266CB" w:rsidRPr="00AA3B77" w:rsidRDefault="009266CB" w:rsidP="00375E5A">
            <w:pPr>
              <w:jc w:val="center"/>
              <w:rPr>
                <w:rFonts w:cs="Calibri"/>
                <w:color w:val="000000"/>
                <w:sz w:val="18"/>
                <w:szCs w:val="18"/>
              </w:rPr>
            </w:pPr>
            <w:r>
              <w:rPr>
                <w:rFonts w:cs="Calibri"/>
                <w:color w:val="000000"/>
                <w:sz w:val="18"/>
                <w:szCs w:val="18"/>
              </w:rPr>
              <w:t>(26%)</w:t>
            </w:r>
          </w:p>
        </w:tc>
        <w:tc>
          <w:tcPr>
            <w:tcW w:w="949" w:type="dxa"/>
            <w:tcBorders>
              <w:left w:val="nil"/>
              <w:bottom w:val="single" w:sz="4" w:space="0" w:color="auto"/>
            </w:tcBorders>
          </w:tcPr>
          <w:p w:rsidR="009266CB" w:rsidRPr="00AA3B77" w:rsidRDefault="009266CB" w:rsidP="00375E5A">
            <w:pPr>
              <w:jc w:val="center"/>
              <w:rPr>
                <w:rFonts w:cs="Calibri"/>
                <w:color w:val="000000"/>
                <w:sz w:val="18"/>
                <w:szCs w:val="18"/>
              </w:rPr>
            </w:pPr>
            <w:r>
              <w:rPr>
                <w:rFonts w:cs="Calibri"/>
                <w:color w:val="000000"/>
                <w:sz w:val="18"/>
                <w:szCs w:val="18"/>
              </w:rPr>
              <w:t>-</w:t>
            </w:r>
          </w:p>
        </w:tc>
        <w:tc>
          <w:tcPr>
            <w:tcW w:w="949" w:type="dxa"/>
            <w:tcBorders>
              <w:left w:val="nil"/>
              <w:bottom w:val="single" w:sz="4" w:space="0" w:color="auto"/>
            </w:tcBorders>
          </w:tcPr>
          <w:p w:rsidR="009266CB" w:rsidRPr="00AA3B77" w:rsidRDefault="009266CB" w:rsidP="00375E5A">
            <w:pPr>
              <w:jc w:val="center"/>
              <w:rPr>
                <w:rFonts w:cs="Calibri"/>
                <w:color w:val="000000"/>
                <w:sz w:val="18"/>
                <w:szCs w:val="18"/>
              </w:rPr>
            </w:pPr>
            <w:r>
              <w:rPr>
                <w:rFonts w:cs="Calibri"/>
                <w:color w:val="000000"/>
                <w:sz w:val="18"/>
                <w:szCs w:val="18"/>
              </w:rPr>
              <w:t>&lt; 5%</w:t>
            </w:r>
          </w:p>
        </w:tc>
      </w:tr>
    </w:tbl>
    <w:p w:rsidR="00A2671A" w:rsidRPr="00CD78F7" w:rsidRDefault="00A2671A" w:rsidP="00AF3F9E">
      <w:r w:rsidRPr="00CD78F7">
        <w:t>Met betrekking tot de aanvoer kan men stellen dat aanvoer via het schip veruit het grootste aandeel heeft wat voor een terminal in het havengebied en gelegen aan een dok vanzelfsprekend is. Aangaande de afvoer van vl</w:t>
      </w:r>
      <w:r>
        <w:t>oeistoffen in bulk kan men stel</w:t>
      </w:r>
      <w:r w:rsidRPr="00CD78F7">
        <w:t>len dat dit in hoofdzaak via tankwagens gebeurt. De afvulling en afvo</w:t>
      </w:r>
      <w:r>
        <w:t>er van vloeistoffen in eenheids</w:t>
      </w:r>
      <w:r w:rsidRPr="00CD78F7">
        <w:t>verpakkingen is t.o.v. de totaal overgeslagen hoeveelheden zeer beperkt.</w:t>
      </w:r>
    </w:p>
    <w:p w:rsidR="00A2671A" w:rsidRDefault="00A2671A" w:rsidP="00AF3F9E">
      <w:r>
        <w:t>Rekening houdend met de gemiddelde aan- en afgevoerde hoeveelheden per transportmiddel kunnen dan eveneens het aantal transporten per transportmiddel op jaarbasis begroot worden.</w:t>
      </w:r>
    </w:p>
    <w:p w:rsidR="00A2671A" w:rsidRPr="00377B0E" w:rsidRDefault="00A2671A" w:rsidP="00AF3F9E">
      <w:pPr>
        <w:pStyle w:val="tabel0"/>
      </w:pPr>
      <w:r w:rsidRPr="00377B0E">
        <w:lastRenderedPageBreak/>
        <w:t xml:space="preserve">Tabel </w:t>
      </w:r>
      <w:fldSimple w:instr=" REF t_project_transporten \h  \* MERGEFORMAT ">
        <w:r w:rsidR="008102D8">
          <w:t>IV.</w:t>
        </w:r>
        <w:r w:rsidR="008102D8">
          <w:rPr>
            <w:noProof/>
          </w:rPr>
          <w:t>4</w:t>
        </w:r>
      </w:fldSimple>
      <w:r w:rsidRPr="00377B0E">
        <w:tab/>
        <w:t>Overzicht transporten op jaarbasis</w:t>
      </w:r>
    </w:p>
    <w:tbl>
      <w:tblPr>
        <w:tblStyle w:val="TableGrid"/>
        <w:tblW w:w="0" w:type="auto"/>
        <w:tblLook w:val="01E0"/>
      </w:tblPr>
      <w:tblGrid>
        <w:gridCol w:w="3136"/>
        <w:gridCol w:w="2030"/>
      </w:tblGrid>
      <w:tr w:rsidR="00A2671A" w:rsidRPr="00377B0E" w:rsidTr="00B94127">
        <w:tc>
          <w:tcPr>
            <w:tcW w:w="3136" w:type="dxa"/>
            <w:shd w:val="clear" w:color="auto" w:fill="CCCCCC"/>
          </w:tcPr>
          <w:p w:rsidR="00A2671A" w:rsidRPr="00377B0E" w:rsidRDefault="00965878" w:rsidP="00AF3F9E">
            <w:pPr>
              <w:pStyle w:val="normaltabel"/>
              <w:rPr>
                <w:lang w:val="nl-BE"/>
              </w:rPr>
            </w:pPr>
            <w:r w:rsidRPr="00377B0E">
              <w:t>T</w:t>
            </w:r>
            <w:r w:rsidR="00A2671A" w:rsidRPr="00377B0E">
              <w:t>ransportmiddel</w:t>
            </w:r>
          </w:p>
        </w:tc>
        <w:tc>
          <w:tcPr>
            <w:tcW w:w="2030" w:type="dxa"/>
            <w:shd w:val="clear" w:color="auto" w:fill="CCCCCC"/>
          </w:tcPr>
          <w:p w:rsidR="00A2671A" w:rsidRPr="00377B0E" w:rsidRDefault="00A2671A" w:rsidP="00AF3F9E">
            <w:pPr>
              <w:pStyle w:val="normaltabel"/>
              <w:rPr>
                <w:lang w:val="nl-BE"/>
              </w:rPr>
            </w:pPr>
            <w:r w:rsidRPr="00377B0E">
              <w:t># transporten / jaar</w:t>
            </w:r>
          </w:p>
        </w:tc>
      </w:tr>
      <w:tr w:rsidR="00A2671A" w:rsidRPr="00377B0E" w:rsidTr="00B94127">
        <w:tc>
          <w:tcPr>
            <w:tcW w:w="3136" w:type="dxa"/>
          </w:tcPr>
          <w:p w:rsidR="00A2671A" w:rsidRPr="00377B0E" w:rsidRDefault="00A2671A" w:rsidP="00AF3F9E">
            <w:pPr>
              <w:pStyle w:val="normaltabel"/>
            </w:pPr>
            <w:r w:rsidRPr="00377B0E">
              <w:t>Zeeschepen</w:t>
            </w:r>
          </w:p>
        </w:tc>
        <w:tc>
          <w:tcPr>
            <w:tcW w:w="2030" w:type="dxa"/>
          </w:tcPr>
          <w:p w:rsidR="00A2671A" w:rsidRPr="00377B0E" w:rsidRDefault="00A2671A" w:rsidP="00AF3F9E">
            <w:pPr>
              <w:pStyle w:val="normaltabel"/>
            </w:pPr>
            <w:r w:rsidRPr="00377B0E">
              <w:t>250</w:t>
            </w:r>
          </w:p>
        </w:tc>
      </w:tr>
      <w:tr w:rsidR="00A2671A" w:rsidRPr="00377B0E" w:rsidTr="00B94127">
        <w:tc>
          <w:tcPr>
            <w:tcW w:w="3136" w:type="dxa"/>
          </w:tcPr>
          <w:p w:rsidR="00A2671A" w:rsidRPr="00377B0E" w:rsidRDefault="00A2671A" w:rsidP="00AF3F9E">
            <w:pPr>
              <w:pStyle w:val="normaltabel"/>
            </w:pPr>
            <w:r w:rsidRPr="00377B0E">
              <w:t>Binnenvaartschepen</w:t>
            </w:r>
          </w:p>
        </w:tc>
        <w:tc>
          <w:tcPr>
            <w:tcW w:w="2030" w:type="dxa"/>
          </w:tcPr>
          <w:p w:rsidR="00A2671A" w:rsidRPr="00377B0E" w:rsidRDefault="00A2671A" w:rsidP="00AF3F9E">
            <w:pPr>
              <w:pStyle w:val="normaltabel"/>
            </w:pPr>
            <w:r w:rsidRPr="00377B0E">
              <w:t>750</w:t>
            </w:r>
          </w:p>
        </w:tc>
      </w:tr>
      <w:tr w:rsidR="00A2671A" w:rsidRPr="00377B0E" w:rsidTr="00B94127">
        <w:tc>
          <w:tcPr>
            <w:tcW w:w="3136" w:type="dxa"/>
          </w:tcPr>
          <w:p w:rsidR="00A2671A" w:rsidRPr="00377B0E" w:rsidRDefault="00A2671A" w:rsidP="00AF3F9E">
            <w:pPr>
              <w:pStyle w:val="normaltabel"/>
            </w:pPr>
            <w:r w:rsidRPr="00377B0E">
              <w:t>Vrachtwagens</w:t>
            </w:r>
          </w:p>
        </w:tc>
        <w:tc>
          <w:tcPr>
            <w:tcW w:w="2030" w:type="dxa"/>
          </w:tcPr>
          <w:p w:rsidR="00A2671A" w:rsidRPr="00377B0E" w:rsidRDefault="00A2671A" w:rsidP="00AF3F9E">
            <w:pPr>
              <w:pStyle w:val="normaltabel"/>
            </w:pPr>
            <w:r w:rsidRPr="00377B0E">
              <w:t>17000</w:t>
            </w:r>
          </w:p>
        </w:tc>
      </w:tr>
      <w:tr w:rsidR="00A2671A" w:rsidRPr="003E39D0" w:rsidTr="00B94127">
        <w:tc>
          <w:tcPr>
            <w:tcW w:w="3136" w:type="dxa"/>
          </w:tcPr>
          <w:p w:rsidR="00A2671A" w:rsidRPr="00377B0E" w:rsidRDefault="00A2671A" w:rsidP="00AF3F9E">
            <w:pPr>
              <w:pStyle w:val="normaltabel"/>
            </w:pPr>
            <w:r w:rsidRPr="00377B0E">
              <w:t>Railcar</w:t>
            </w:r>
          </w:p>
        </w:tc>
        <w:tc>
          <w:tcPr>
            <w:tcW w:w="2030" w:type="dxa"/>
          </w:tcPr>
          <w:p w:rsidR="00A2671A" w:rsidRPr="00377B0E" w:rsidRDefault="005C77E9" w:rsidP="00AF3F9E">
            <w:pPr>
              <w:pStyle w:val="normaltabel"/>
            </w:pPr>
            <w:r w:rsidRPr="00377B0E">
              <w:t>3500</w:t>
            </w:r>
          </w:p>
        </w:tc>
      </w:tr>
    </w:tbl>
    <w:p w:rsidR="00A2671A" w:rsidRDefault="00C85612" w:rsidP="00AF3F9E">
      <w:pPr>
        <w:pStyle w:val="Heading6"/>
      </w:pPr>
      <w:bookmarkStart w:id="450" w:name="_Toc312069214"/>
      <w:r>
        <w:t>Verlading van schepen</w:t>
      </w:r>
      <w:bookmarkEnd w:id="450"/>
    </w:p>
    <w:p w:rsidR="004C2EA5" w:rsidRDefault="004C2EA5" w:rsidP="00AF3F9E">
      <w:pPr>
        <w:rPr>
          <w:lang w:val="nl-NL"/>
        </w:rPr>
      </w:pPr>
      <w:r w:rsidRPr="004C2EA5">
        <w:rPr>
          <w:lang w:val="nl-NL"/>
        </w:rPr>
        <w:t xml:space="preserve">Voor het laden en lossen van schepen beschikt </w:t>
      </w:r>
      <w:r>
        <w:rPr>
          <w:lang w:val="nl-NL"/>
        </w:rPr>
        <w:t>VTE</w:t>
      </w:r>
      <w:r w:rsidRPr="004C2EA5">
        <w:rPr>
          <w:lang w:val="nl-NL"/>
        </w:rPr>
        <w:t xml:space="preserve"> over 6 aanlegsteiger (ST1 t.e.m. ST6). Ter hoogte</w:t>
      </w:r>
      <w:r>
        <w:rPr>
          <w:lang w:val="nl-NL"/>
        </w:rPr>
        <w:t xml:space="preserve"> van de steigers ST1 en ST2 kun</w:t>
      </w:r>
      <w:r w:rsidRPr="004C2EA5">
        <w:rPr>
          <w:lang w:val="nl-NL"/>
        </w:rPr>
        <w:t>nen zeeschepen, lichters en kustvaarders ontvangen worden . Zeeschepen kunnen uitsluitend aan steiger ST1 en ST2 ontvangen worden waarbij steiger ST2 de hoofdsteiger voor de behandeling van zeeschepen is. Steigers ST3 t.e.m. ST6 zijn enkel geschikt  voor lichters en kustvaarders.</w:t>
      </w:r>
    </w:p>
    <w:p w:rsidR="00C85612" w:rsidRDefault="004C2EA5" w:rsidP="00AF3F9E">
      <w:pPr>
        <w:rPr>
          <w:lang w:val="nl-NL"/>
        </w:rPr>
      </w:pPr>
      <w:r w:rsidRPr="004C2EA5">
        <w:rPr>
          <w:lang w:val="nl-NL"/>
        </w:rPr>
        <w:t xml:space="preserve">Ter hoogte van de verlaadslangen </w:t>
      </w:r>
      <w:r>
        <w:rPr>
          <w:lang w:val="nl-NL"/>
        </w:rPr>
        <w:t xml:space="preserve">die gebruikt worden voor de verlading van schepen, is </w:t>
      </w:r>
      <w:r w:rsidRPr="004C2EA5">
        <w:rPr>
          <w:lang w:val="nl-NL"/>
        </w:rPr>
        <w:t>op de steiger een opvanggoot aanwezig d</w:t>
      </w:r>
      <w:r>
        <w:rPr>
          <w:lang w:val="nl-NL"/>
        </w:rPr>
        <w:t>ie in ver</w:t>
      </w:r>
      <w:r w:rsidRPr="004C2EA5">
        <w:rPr>
          <w:lang w:val="nl-NL"/>
        </w:rPr>
        <w:t xml:space="preserve">binding staat met een opvangbak en </w:t>
      </w:r>
      <w:r>
        <w:rPr>
          <w:lang w:val="nl-NL"/>
        </w:rPr>
        <w:t>dit voor de opvang van evt. lek</w:t>
      </w:r>
      <w:r w:rsidRPr="004C2EA5">
        <w:rPr>
          <w:lang w:val="nl-NL"/>
        </w:rPr>
        <w:t>vloeistoffen. De aansluiting van de flexibele verbinding en het schip situeert zich boven het scheepsdek waar eveneens een opvang is voor evt. lekvloeistoffen.</w:t>
      </w:r>
    </w:p>
    <w:p w:rsidR="00573E96" w:rsidRPr="000C6A63" w:rsidRDefault="00573E96" w:rsidP="00573E96">
      <w:pPr>
        <w:pStyle w:val="normaltabel"/>
      </w:pPr>
      <w:r>
        <w:t>In fase 1  zal een nieuwe steiger (ST3) twee oude steigers (ST3 en ST4) vervangen en in de richting van het dok verruimd zodat schepen met een grotere diepgang hier kunnen aanmeren. Tevens wordt een verdieping van het dok ter hoogte van de kade met ST2  voorzien.</w:t>
      </w:r>
      <w:r w:rsidR="0038234F">
        <w:t xml:space="preserve"> Er wordt een</w:t>
      </w:r>
      <w:r>
        <w:t xml:space="preserve"> </w:t>
      </w:r>
      <w:r w:rsidR="0038234F">
        <w:t>steiger ST8 voorzien specifiek voor overslag van en naar TP800.</w:t>
      </w:r>
    </w:p>
    <w:p w:rsidR="00C85612" w:rsidRDefault="00C85612" w:rsidP="004F40A7">
      <w:pPr>
        <w:pStyle w:val="Heading6"/>
      </w:pPr>
      <w:bookmarkStart w:id="451" w:name="_Toc312069215"/>
      <w:r>
        <w:t>Verlading van tankwagens</w:t>
      </w:r>
      <w:bookmarkEnd w:id="451"/>
    </w:p>
    <w:p w:rsidR="00377B0E" w:rsidRPr="00377B0E" w:rsidRDefault="00377B0E" w:rsidP="00377B0E">
      <w:pPr>
        <w:pStyle w:val="normaltabel"/>
        <w:rPr>
          <w:sz w:val="20"/>
        </w:rPr>
      </w:pPr>
      <w:r w:rsidRPr="00377B0E">
        <w:rPr>
          <w:sz w:val="20"/>
        </w:rPr>
        <w:t>De aan- en afvoer met vrachtwagens gebeurt via de Industrieweg. Ter hoogte van de ingang is een wachtplaats voor een 20-tal vrachtwagens aanwezig langs de</w:t>
      </w:r>
      <w:r w:rsidRPr="00377B0E">
        <w:rPr>
          <w:sz w:val="20"/>
        </w:rPr>
        <w:softHyphen/>
        <w:t xml:space="preserve">ze weg. Deze zone is specifiek voorbehouden voor gebruik door </w:t>
      </w:r>
      <w:r w:rsidR="00C325A0" w:rsidRPr="00377B0E">
        <w:rPr>
          <w:sz w:val="20"/>
        </w:rPr>
        <w:fldChar w:fldCharType="begin"/>
      </w:r>
      <w:r w:rsidRPr="00377B0E">
        <w:rPr>
          <w:sz w:val="20"/>
        </w:rPr>
        <w:instrText xml:space="preserve"> klant </w:instrText>
      </w:r>
      <w:r w:rsidR="00C325A0" w:rsidRPr="00377B0E">
        <w:rPr>
          <w:sz w:val="20"/>
        </w:rPr>
        <w:fldChar w:fldCharType="separate"/>
      </w:r>
      <w:r w:rsidR="008102D8">
        <w:t xml:space="preserve">Vopak Terminal Eurotank NV </w:t>
      </w:r>
      <w:r w:rsidR="00C325A0" w:rsidRPr="00377B0E">
        <w:rPr>
          <w:sz w:val="20"/>
        </w:rPr>
        <w:fldChar w:fldCharType="end"/>
      </w:r>
      <w:r w:rsidRPr="00377B0E">
        <w:rPr>
          <w:sz w:val="20"/>
        </w:rPr>
        <w:t xml:space="preserve">. Op het bedrijfsterrein zelf is er een wachtplaats voor 7 tankwagens aanwezig. </w:t>
      </w:r>
    </w:p>
    <w:p w:rsidR="00C85612" w:rsidRDefault="00C85612" w:rsidP="00377B0E">
      <w:pPr>
        <w:pStyle w:val="Heading6"/>
      </w:pPr>
      <w:bookmarkStart w:id="452" w:name="_Toc312069216"/>
      <w:r>
        <w:t>Verlading van spoorwagons</w:t>
      </w:r>
      <w:bookmarkEnd w:id="452"/>
    </w:p>
    <w:p w:rsidR="00C85612" w:rsidRDefault="00BE49DF" w:rsidP="00AF3F9E">
      <w:r>
        <w:t xml:space="preserve">Voor de verlading van spoorwegketelwagens is </w:t>
      </w:r>
      <w:r w:rsidR="00C325A0">
        <w:fldChar w:fldCharType="begin"/>
      </w:r>
      <w:r w:rsidR="00F077DA">
        <w:instrText xml:space="preserve"> klant </w:instrText>
      </w:r>
      <w:r w:rsidR="00C325A0">
        <w:fldChar w:fldCharType="separate"/>
      </w:r>
      <w:r w:rsidR="008102D8">
        <w:t xml:space="preserve">Vopak Terminal Eurotank NV </w:t>
      </w:r>
      <w:r w:rsidR="00C325A0">
        <w:fldChar w:fldCharType="end"/>
      </w:r>
      <w:r>
        <w:t xml:space="preserve"> aangesloten op een NMBS – spoorlijn van het Antwerps Havengebied.</w:t>
      </w:r>
    </w:p>
    <w:p w:rsidR="00BE49DF" w:rsidRDefault="00BE49DF" w:rsidP="00AF3F9E">
      <w:pPr>
        <w:rPr>
          <w:lang w:val="nl-NL"/>
        </w:rPr>
      </w:pPr>
      <w:r>
        <w:rPr>
          <w:lang w:val="nl-NL"/>
        </w:rPr>
        <w:t>T</w:t>
      </w:r>
      <w:r w:rsidRPr="00BE49DF">
        <w:rPr>
          <w:lang w:val="nl-NL"/>
        </w:rPr>
        <w:t>er hoogte van de mi</w:t>
      </w:r>
      <w:r>
        <w:rPr>
          <w:lang w:val="nl-NL"/>
        </w:rPr>
        <w:t>ddenweg van de terminal zijn er negen gecen</w:t>
      </w:r>
      <w:r w:rsidRPr="00BE49DF">
        <w:rPr>
          <w:lang w:val="nl-NL"/>
        </w:rPr>
        <w:t>traliseerde verlaadposten aanwezig</w:t>
      </w:r>
      <w:r>
        <w:rPr>
          <w:lang w:val="nl-NL"/>
        </w:rPr>
        <w:t xml:space="preserve">, </w:t>
      </w:r>
      <w:r w:rsidRPr="00BE49DF">
        <w:rPr>
          <w:lang w:val="nl-NL"/>
        </w:rPr>
        <w:t>zowel voor</w:t>
      </w:r>
      <w:r>
        <w:rPr>
          <w:lang w:val="nl-NL"/>
        </w:rPr>
        <w:t xml:space="preserve"> het laden als lossen van spoorwa</w:t>
      </w:r>
      <w:r w:rsidRPr="00BE49DF">
        <w:rPr>
          <w:lang w:val="nl-NL"/>
        </w:rPr>
        <w:t>gons.</w:t>
      </w:r>
    </w:p>
    <w:p w:rsidR="00C85612" w:rsidRDefault="00C85612" w:rsidP="004F40A7">
      <w:pPr>
        <w:pStyle w:val="Heading6"/>
      </w:pPr>
      <w:bookmarkStart w:id="453" w:name="_Toc312069217"/>
      <w:r>
        <w:t>Overige overslag</w:t>
      </w:r>
      <w:bookmarkEnd w:id="453"/>
    </w:p>
    <w:p w:rsidR="00C85612" w:rsidRDefault="00C85612" w:rsidP="00AF3F9E">
      <w:r>
        <w:t>Naast de hoger beschreven verlading van transportmiddelen zijn er nog andere bewegingen van vloeistoffen in bulk mogelijk zoals de overslag van vloeistoffen tussen tanks of tussen transportmiddelen. Dit gebeurt evenwel weinig frequent en de meest typische activiteit is de overslag tussen tanks. Dergelijke overslag gebeurt bijvoorbeeld op expliciete vraag van de klant</w:t>
      </w:r>
      <w:r>
        <w:rPr>
          <w:rStyle w:val="FootnoteReference"/>
        </w:rPr>
        <w:footnoteReference w:id="21"/>
      </w:r>
      <w:r>
        <w:rPr>
          <w:b/>
        </w:rPr>
        <w:t xml:space="preserve"> </w:t>
      </w:r>
      <w:r>
        <w:t>of naar aanleiding van een keuring van een tank waarvoor deze eerst volledig leeg dient gemaakt te worden.</w:t>
      </w:r>
    </w:p>
    <w:p w:rsidR="00BE49DF" w:rsidRDefault="00BE49DF" w:rsidP="004F40A7">
      <w:pPr>
        <w:pStyle w:val="Heading6"/>
      </w:pPr>
      <w:bookmarkStart w:id="454" w:name="_Toc312069218"/>
      <w:r>
        <w:t>Verlading via pijpleiding</w:t>
      </w:r>
      <w:bookmarkEnd w:id="454"/>
    </w:p>
    <w:p w:rsidR="00BE49DF" w:rsidRPr="00BE49DF" w:rsidRDefault="00BE49DF" w:rsidP="00AF3F9E">
      <w:pPr>
        <w:rPr>
          <w:lang w:val="nl-NL"/>
        </w:rPr>
      </w:pPr>
      <w:r w:rsidRPr="00BE49DF">
        <w:rPr>
          <w:lang w:val="nl-NL"/>
        </w:rPr>
        <w:t xml:space="preserve">Voor de tanks TK801 en TK802 gebeurt de aan- en afvoer uitsluitend via een pijpleiding die in verbinding staat met </w:t>
      </w:r>
      <w:r>
        <w:rPr>
          <w:lang w:val="nl-NL"/>
        </w:rPr>
        <w:t>ATPC NV.</w:t>
      </w:r>
    </w:p>
    <w:p w:rsidR="00C85612" w:rsidRDefault="00C85612" w:rsidP="004F40A7">
      <w:pPr>
        <w:pStyle w:val="Heading5"/>
      </w:pPr>
      <w:bookmarkStart w:id="455" w:name="_Toc312069219"/>
      <w:r>
        <w:lastRenderedPageBreak/>
        <w:t>Emissiebeperkende maatregelen bij op- en overslag</w:t>
      </w:r>
      <w:bookmarkEnd w:id="455"/>
    </w:p>
    <w:p w:rsidR="00C85612" w:rsidRDefault="00C85612" w:rsidP="00AF3F9E">
      <w:pPr>
        <w:rPr>
          <w:lang w:val="nl-NL"/>
        </w:rPr>
      </w:pPr>
      <w:r>
        <w:rPr>
          <w:lang w:val="nl-NL"/>
        </w:rPr>
        <w:t>De maatregelen die worden toegepast om de emissies t.g.v. op- en overslag te reduceren, zijn afhankelijk van de aard van de op- en overgeslagen vloeistoffen.</w:t>
      </w:r>
    </w:p>
    <w:p w:rsidR="00C85612" w:rsidRDefault="00C85612" w:rsidP="00AF3F9E">
      <w:pPr>
        <w:rPr>
          <w:lang w:val="nl-NL"/>
        </w:rPr>
      </w:pPr>
      <w:r>
        <w:rPr>
          <w:lang w:val="nl-NL"/>
        </w:rPr>
        <w:t>Afhankelijk van de aard van de vloeistoffen kunnen dan ook m.b.t. het beperken van de emissies zogenaamde ‘standaard op- en overslagomstandigheden’ vastgelegd worden. De emissiebeperkende maatregelen die hiermee overeenstemmen worden steeds minimaal toegepast bij de op- en overslag van een stof die aan de beschreven karakteristieken voldoet</w:t>
      </w:r>
      <w:r>
        <w:rPr>
          <w:rStyle w:val="FootnoteReference"/>
          <w:lang w:val="nl-NL"/>
        </w:rPr>
        <w:footnoteReference w:id="22"/>
      </w:r>
      <w:r>
        <w:rPr>
          <w:lang w:val="nl-NL"/>
        </w:rPr>
        <w:t>.</w:t>
      </w:r>
    </w:p>
    <w:p w:rsidR="00C85612" w:rsidRDefault="00C85612" w:rsidP="00AF3F9E">
      <w:pPr>
        <w:rPr>
          <w:lang w:val="nl-NL"/>
        </w:rPr>
      </w:pPr>
      <w:r>
        <w:rPr>
          <w:lang w:val="nl-NL"/>
        </w:rPr>
        <w:t xml:space="preserve">Een overzicht van de standaard op- en overslagomstandigheden in functie van de aard van de stof wordt gegeven in onderstaande tabel. </w:t>
      </w:r>
    </w:p>
    <w:p w:rsidR="00C85612" w:rsidRPr="00C85612" w:rsidRDefault="00C85612" w:rsidP="000B68D9">
      <w:pPr>
        <w:pStyle w:val="tabel0"/>
      </w:pPr>
      <w:r>
        <w:lastRenderedPageBreak/>
        <w:t xml:space="preserve">Tabel </w:t>
      </w:r>
      <w:r w:rsidR="00C325A0">
        <w:fldChar w:fldCharType="begin"/>
      </w:r>
      <w:r>
        <w:instrText xml:space="preserve"> REF t_project_standaardERM \h </w:instrText>
      </w:r>
      <w:r w:rsidR="00C325A0">
        <w:fldChar w:fldCharType="separate"/>
      </w:r>
      <w:r w:rsidR="008102D8">
        <w:t>IV.</w:t>
      </w:r>
      <w:r w:rsidR="008102D8">
        <w:rPr>
          <w:noProof/>
        </w:rPr>
        <w:t>5</w:t>
      </w:r>
      <w:r w:rsidR="00C325A0">
        <w:fldChar w:fldCharType="end"/>
      </w:r>
      <w:r>
        <w:tab/>
        <w:t>Standaard op- en overslagomstandigheden in functie van aard vloeistoffen</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gridCol w:w="1671"/>
        <w:gridCol w:w="1700"/>
        <w:gridCol w:w="3120"/>
      </w:tblGrid>
      <w:tr w:rsidR="00C85612" w:rsidRPr="00F412B4" w:rsidTr="00B94127">
        <w:tc>
          <w:tcPr>
            <w:tcW w:w="1839" w:type="dxa"/>
            <w:vAlign w:val="center"/>
          </w:tcPr>
          <w:p w:rsidR="00F077DA" w:rsidRDefault="00C85612" w:rsidP="00F077DA">
            <w:pPr>
              <w:pStyle w:val="normaltabel"/>
              <w:keepNext/>
              <w:widowControl/>
              <w:rPr>
                <w:b/>
                <w:caps/>
                <w:color w:val="808080"/>
                <w:spacing w:val="26"/>
                <w:kern w:val="28"/>
              </w:rPr>
            </w:pPr>
            <w:r w:rsidRPr="00F412B4">
              <w:t>Aard stof</w:t>
            </w:r>
            <w:r w:rsidR="008E1C9F">
              <w:rPr>
                <w:vertAlign w:val="superscript"/>
              </w:rPr>
              <w:t>1</w:t>
            </w:r>
          </w:p>
        </w:tc>
        <w:tc>
          <w:tcPr>
            <w:tcW w:w="3371" w:type="dxa"/>
            <w:gridSpan w:val="2"/>
          </w:tcPr>
          <w:p w:rsidR="00F077DA" w:rsidRDefault="00C85612" w:rsidP="00F077DA">
            <w:pPr>
              <w:pStyle w:val="normaltabel"/>
              <w:keepNext/>
              <w:widowControl/>
              <w:rPr>
                <w:b/>
                <w:caps/>
                <w:color w:val="808080"/>
                <w:spacing w:val="26"/>
                <w:kern w:val="28"/>
              </w:rPr>
            </w:pPr>
            <w:r w:rsidRPr="00F412B4">
              <w:t>Maatregelen ter beperking van ademverliezen</w:t>
            </w:r>
          </w:p>
        </w:tc>
        <w:tc>
          <w:tcPr>
            <w:tcW w:w="3120" w:type="dxa"/>
          </w:tcPr>
          <w:p w:rsidR="00F077DA" w:rsidRDefault="00C85612" w:rsidP="00F077DA">
            <w:pPr>
              <w:pStyle w:val="normaltabel"/>
              <w:keepNext/>
              <w:widowControl/>
              <w:rPr>
                <w:b/>
                <w:caps/>
                <w:color w:val="808080"/>
                <w:spacing w:val="26"/>
                <w:kern w:val="28"/>
              </w:rPr>
            </w:pPr>
            <w:r w:rsidRPr="00F412B4">
              <w:t>Maatregelen ter beperking van verdrijvings- en beladingsverliezen</w:t>
            </w:r>
          </w:p>
        </w:tc>
      </w:tr>
      <w:tr w:rsidR="00C85612" w:rsidRPr="00F412B4" w:rsidTr="00B94127">
        <w:tc>
          <w:tcPr>
            <w:tcW w:w="1839" w:type="dxa"/>
            <w:vAlign w:val="center"/>
          </w:tcPr>
          <w:p w:rsidR="00F077DA" w:rsidRDefault="00F077DA" w:rsidP="00F077DA">
            <w:pPr>
              <w:pStyle w:val="normaltabel"/>
              <w:keepNext/>
              <w:widowControl/>
            </w:pPr>
          </w:p>
        </w:tc>
        <w:tc>
          <w:tcPr>
            <w:tcW w:w="1671" w:type="dxa"/>
          </w:tcPr>
          <w:p w:rsidR="00F077DA" w:rsidRDefault="00C85612" w:rsidP="00F077DA">
            <w:pPr>
              <w:pStyle w:val="normaltabel"/>
              <w:keepNext/>
              <w:widowControl/>
            </w:pPr>
            <w:r>
              <w:t>instelling overdrukventielen opslagtank (mbar)</w:t>
            </w:r>
          </w:p>
        </w:tc>
        <w:tc>
          <w:tcPr>
            <w:tcW w:w="1700" w:type="dxa"/>
          </w:tcPr>
          <w:p w:rsidR="00F077DA" w:rsidRDefault="00C85612" w:rsidP="00F077DA">
            <w:pPr>
              <w:pStyle w:val="normaltabel"/>
              <w:keepNext/>
              <w:widowControl/>
            </w:pPr>
            <w:r>
              <w:t>Aanvullende maatregelen</w:t>
            </w:r>
          </w:p>
        </w:tc>
        <w:tc>
          <w:tcPr>
            <w:tcW w:w="3120" w:type="dxa"/>
          </w:tcPr>
          <w:p w:rsidR="00F077DA" w:rsidRDefault="00F077DA" w:rsidP="00F077DA">
            <w:pPr>
              <w:pStyle w:val="normaltabel"/>
              <w:keepNext/>
              <w:widowControl/>
            </w:pPr>
          </w:p>
        </w:tc>
      </w:tr>
      <w:tr w:rsidR="00C85612" w:rsidRPr="00F412B4" w:rsidTr="00B94127">
        <w:tc>
          <w:tcPr>
            <w:tcW w:w="1839" w:type="dxa"/>
            <w:vAlign w:val="center"/>
          </w:tcPr>
          <w:p w:rsidR="00F077DA" w:rsidRDefault="00C85612" w:rsidP="00F077DA">
            <w:pPr>
              <w:pStyle w:val="normaltabel"/>
              <w:keepNext/>
              <w:widowControl/>
            </w:pPr>
            <w:r w:rsidRPr="00EA67A9">
              <w:t xml:space="preserve">Zeer licht ontvlambare </w:t>
            </w:r>
            <w:r>
              <w:t>vloeistoffen</w:t>
            </w:r>
            <w:r w:rsidR="004D0B4A">
              <w:t xml:space="preserve"> (F</w:t>
            </w:r>
            <w:r w:rsidR="008E1C9F">
              <w:rPr>
                <w:vertAlign w:val="superscript"/>
              </w:rPr>
              <w:t>+</w:t>
            </w:r>
            <w:r w:rsidR="004D0B4A">
              <w:t>)</w:t>
            </w:r>
          </w:p>
        </w:tc>
        <w:tc>
          <w:tcPr>
            <w:tcW w:w="1671" w:type="dxa"/>
            <w:vAlign w:val="center"/>
          </w:tcPr>
          <w:p w:rsidR="00F077DA" w:rsidRDefault="00C85612" w:rsidP="00F077DA">
            <w:pPr>
              <w:pStyle w:val="normaltabel"/>
              <w:keepNext/>
              <w:widowControl/>
              <w:jc w:val="center"/>
            </w:pPr>
            <w:r>
              <w:t xml:space="preserve">≥ 18 </w:t>
            </w:r>
            <w:r w:rsidRPr="00365215">
              <w:rPr>
                <w:vertAlign w:val="superscript"/>
              </w:rPr>
              <w:t>(</w:t>
            </w:r>
            <w:r w:rsidR="004D0B4A">
              <w:rPr>
                <w:vertAlign w:val="superscript"/>
              </w:rPr>
              <w:t>2</w:t>
            </w:r>
            <w:r w:rsidRPr="00365215">
              <w:rPr>
                <w:vertAlign w:val="superscript"/>
              </w:rPr>
              <w:t>)</w:t>
            </w:r>
          </w:p>
        </w:tc>
        <w:tc>
          <w:tcPr>
            <w:tcW w:w="1700" w:type="dxa"/>
            <w:vAlign w:val="center"/>
          </w:tcPr>
          <w:p w:rsidR="00F077DA" w:rsidRDefault="004D0B4A" w:rsidP="00F077DA">
            <w:pPr>
              <w:pStyle w:val="normaltabel"/>
              <w:keepNext/>
              <w:widowControl/>
            </w:pPr>
            <w:r>
              <w:t>D</w:t>
            </w:r>
            <w:r w:rsidR="00C85612" w:rsidRPr="00EA67A9">
              <w:t>ampbehandeling</w:t>
            </w:r>
            <w:r>
              <w:rPr>
                <w:vertAlign w:val="superscript"/>
              </w:rPr>
              <w:t>2</w:t>
            </w:r>
            <w:r w:rsidR="00C85612">
              <w:rPr>
                <w:vertAlign w:val="superscript"/>
              </w:rPr>
              <w:t>,</w:t>
            </w:r>
            <w:r>
              <w:rPr>
                <w:vertAlign w:val="superscript"/>
              </w:rPr>
              <w:t>3</w:t>
            </w:r>
          </w:p>
        </w:tc>
        <w:tc>
          <w:tcPr>
            <w:tcW w:w="3120" w:type="dxa"/>
            <w:vAlign w:val="center"/>
          </w:tcPr>
          <w:p w:rsidR="00F077DA" w:rsidRDefault="00C85612" w:rsidP="00F077DA">
            <w:pPr>
              <w:pStyle w:val="normaltabel"/>
              <w:keepNext/>
              <w:widowControl/>
              <w:rPr>
                <w:vertAlign w:val="superscript"/>
              </w:rPr>
            </w:pPr>
            <w:r>
              <w:t>dampbalans / dampbehandeling</w:t>
            </w:r>
            <w:r w:rsidR="004D0B4A">
              <w:rPr>
                <w:vertAlign w:val="superscript"/>
              </w:rPr>
              <w:t>3</w:t>
            </w:r>
          </w:p>
        </w:tc>
      </w:tr>
      <w:tr w:rsidR="00C85612" w:rsidRPr="00F412B4" w:rsidTr="00B94127">
        <w:tc>
          <w:tcPr>
            <w:tcW w:w="1839" w:type="dxa"/>
            <w:vAlign w:val="center"/>
          </w:tcPr>
          <w:p w:rsidR="00F077DA" w:rsidRDefault="00C85612" w:rsidP="00F077DA">
            <w:pPr>
              <w:pStyle w:val="normaltabel"/>
              <w:keepNext/>
              <w:widowControl/>
            </w:pPr>
            <w:r>
              <w:t>Licht ontvlambare vloeistoffen</w:t>
            </w:r>
            <w:r w:rsidR="004D0B4A">
              <w:t xml:space="preserve"> (F)</w:t>
            </w:r>
            <w:r>
              <w:t xml:space="preserve"> en </w:t>
            </w:r>
            <w:r w:rsidRPr="008E1301">
              <w:t>P</w:t>
            </w:r>
            <w:r w:rsidRPr="00F412B4">
              <w:rPr>
                <w:vertAlign w:val="subscript"/>
              </w:rPr>
              <w:t>damp</w:t>
            </w:r>
            <w:r w:rsidRPr="008E1301">
              <w:t xml:space="preserve"> </w:t>
            </w:r>
            <w:r>
              <w:t>&gt;</w:t>
            </w:r>
            <w:r w:rsidRPr="008E1301">
              <w:t xml:space="preserve"> 13,3 kPa@35°C</w:t>
            </w:r>
          </w:p>
        </w:tc>
        <w:tc>
          <w:tcPr>
            <w:tcW w:w="1671" w:type="dxa"/>
            <w:vAlign w:val="center"/>
          </w:tcPr>
          <w:p w:rsidR="00F077DA" w:rsidRDefault="00C85612" w:rsidP="00F077DA">
            <w:pPr>
              <w:pStyle w:val="normaltabel"/>
              <w:keepNext/>
              <w:widowControl/>
              <w:jc w:val="center"/>
            </w:pPr>
            <w:r>
              <w:t>≥ 18</w:t>
            </w:r>
          </w:p>
        </w:tc>
        <w:tc>
          <w:tcPr>
            <w:tcW w:w="1700" w:type="dxa"/>
            <w:vAlign w:val="center"/>
          </w:tcPr>
          <w:p w:rsidR="00F077DA" w:rsidRDefault="004D0B4A" w:rsidP="00F077DA">
            <w:pPr>
              <w:pStyle w:val="normaltabel"/>
              <w:keepNext/>
              <w:widowControl/>
            </w:pPr>
            <w:r>
              <w:t>D</w:t>
            </w:r>
            <w:r w:rsidR="00C85612" w:rsidRPr="00EA67A9">
              <w:t>ampbehandeling</w:t>
            </w:r>
            <w:r>
              <w:rPr>
                <w:vertAlign w:val="superscript"/>
              </w:rPr>
              <w:t>3</w:t>
            </w:r>
          </w:p>
        </w:tc>
        <w:tc>
          <w:tcPr>
            <w:tcW w:w="3120" w:type="dxa"/>
            <w:vAlign w:val="center"/>
          </w:tcPr>
          <w:p w:rsidR="00F077DA" w:rsidRDefault="00C85612" w:rsidP="00F077DA">
            <w:pPr>
              <w:pStyle w:val="normaltabel"/>
              <w:keepNext/>
              <w:widowControl/>
            </w:pPr>
            <w:r>
              <w:t>dampbalans / dampbehandeling</w:t>
            </w:r>
            <w:r w:rsidR="004D0B4A">
              <w:rPr>
                <w:vertAlign w:val="superscript"/>
              </w:rPr>
              <w:t>3</w:t>
            </w:r>
          </w:p>
        </w:tc>
      </w:tr>
      <w:tr w:rsidR="00C85612" w:rsidRPr="00F412B4" w:rsidTr="00B94127">
        <w:tc>
          <w:tcPr>
            <w:tcW w:w="1839" w:type="dxa"/>
            <w:vAlign w:val="center"/>
          </w:tcPr>
          <w:p w:rsidR="00F077DA" w:rsidRDefault="00C85612" w:rsidP="00F077DA">
            <w:pPr>
              <w:pStyle w:val="normaltabel"/>
              <w:keepNext/>
              <w:widowControl/>
            </w:pPr>
            <w:r>
              <w:t xml:space="preserve">Licht ontvlambare vloeistoffen en </w:t>
            </w:r>
            <w:r w:rsidRPr="008E1301">
              <w:t>P</w:t>
            </w:r>
            <w:r w:rsidRPr="00F412B4">
              <w:rPr>
                <w:vertAlign w:val="subscript"/>
              </w:rPr>
              <w:t>damp</w:t>
            </w:r>
            <w:r w:rsidRPr="008E1301">
              <w:t xml:space="preserve"> </w:t>
            </w:r>
            <w:r>
              <w:t>≤</w:t>
            </w:r>
            <w:r w:rsidRPr="008E1301">
              <w:t xml:space="preserve"> 13,3 kPa@35°C</w:t>
            </w:r>
          </w:p>
        </w:tc>
        <w:tc>
          <w:tcPr>
            <w:tcW w:w="1671" w:type="dxa"/>
            <w:vAlign w:val="center"/>
          </w:tcPr>
          <w:p w:rsidR="00F077DA" w:rsidRDefault="00C85612" w:rsidP="00F077DA">
            <w:pPr>
              <w:pStyle w:val="normaltabel"/>
              <w:keepNext/>
              <w:widowControl/>
              <w:jc w:val="center"/>
            </w:pPr>
            <w:r>
              <w:t>≥ 18</w:t>
            </w:r>
          </w:p>
        </w:tc>
        <w:tc>
          <w:tcPr>
            <w:tcW w:w="1700" w:type="dxa"/>
            <w:vAlign w:val="center"/>
          </w:tcPr>
          <w:p w:rsidR="00F077DA" w:rsidRDefault="00F077DA" w:rsidP="00F077DA">
            <w:pPr>
              <w:pStyle w:val="normaltabel"/>
              <w:keepNext/>
              <w:widowControl/>
            </w:pPr>
          </w:p>
        </w:tc>
        <w:tc>
          <w:tcPr>
            <w:tcW w:w="3120" w:type="dxa"/>
            <w:vAlign w:val="center"/>
          </w:tcPr>
          <w:p w:rsidR="00F077DA" w:rsidRDefault="00F077DA" w:rsidP="00F077DA">
            <w:pPr>
              <w:pStyle w:val="normaltabel"/>
              <w:keepNext/>
              <w:widowControl/>
            </w:pPr>
          </w:p>
        </w:tc>
      </w:tr>
      <w:tr w:rsidR="00C85612" w:rsidRPr="00F412B4" w:rsidTr="00B94127">
        <w:tc>
          <w:tcPr>
            <w:tcW w:w="1839" w:type="dxa"/>
            <w:vAlign w:val="center"/>
          </w:tcPr>
          <w:p w:rsidR="00F077DA" w:rsidRDefault="00C85612" w:rsidP="00F077DA">
            <w:pPr>
              <w:pStyle w:val="normaltabel"/>
              <w:keepNext/>
              <w:widowControl/>
            </w:pPr>
            <w:r>
              <w:t>Niet brandbare vloeistoffen</w:t>
            </w:r>
            <w:r w:rsidR="004D0B4A">
              <w:rPr>
                <w:vertAlign w:val="superscript"/>
              </w:rPr>
              <w:t>4</w:t>
            </w:r>
            <w:r>
              <w:t xml:space="preserve"> met </w:t>
            </w:r>
            <w:r>
              <w:br/>
            </w:r>
            <w:r w:rsidRPr="008E1301">
              <w:t>P</w:t>
            </w:r>
            <w:r w:rsidRPr="00F412B4">
              <w:rPr>
                <w:vertAlign w:val="subscript"/>
              </w:rPr>
              <w:t>damp</w:t>
            </w:r>
            <w:r w:rsidRPr="008E1301">
              <w:t xml:space="preserve"> </w:t>
            </w:r>
            <w:r>
              <w:t>&gt;</w:t>
            </w:r>
            <w:r w:rsidRPr="008E1301">
              <w:t xml:space="preserve"> 13,3 kPa@35°C</w:t>
            </w:r>
          </w:p>
        </w:tc>
        <w:tc>
          <w:tcPr>
            <w:tcW w:w="1671" w:type="dxa"/>
            <w:vAlign w:val="center"/>
          </w:tcPr>
          <w:p w:rsidR="00F077DA" w:rsidRDefault="00C85612" w:rsidP="00F077DA">
            <w:pPr>
              <w:pStyle w:val="normaltabel"/>
              <w:keepNext/>
              <w:widowControl/>
              <w:jc w:val="center"/>
            </w:pPr>
            <w:r>
              <w:t>≥ 18</w:t>
            </w:r>
          </w:p>
        </w:tc>
        <w:tc>
          <w:tcPr>
            <w:tcW w:w="1700" w:type="dxa"/>
            <w:vAlign w:val="center"/>
          </w:tcPr>
          <w:p w:rsidR="00F077DA" w:rsidRDefault="00F077DA" w:rsidP="00F077DA">
            <w:pPr>
              <w:pStyle w:val="normaltabel"/>
              <w:keepNext/>
              <w:widowControl/>
            </w:pPr>
          </w:p>
        </w:tc>
        <w:tc>
          <w:tcPr>
            <w:tcW w:w="3120" w:type="dxa"/>
            <w:vAlign w:val="center"/>
          </w:tcPr>
          <w:p w:rsidR="00F077DA" w:rsidRDefault="00C85612" w:rsidP="00F077DA">
            <w:pPr>
              <w:pStyle w:val="normaltabel"/>
              <w:keepNext/>
              <w:widowControl/>
            </w:pPr>
            <w:r>
              <w:t>dampbalans</w:t>
            </w:r>
          </w:p>
        </w:tc>
      </w:tr>
      <w:tr w:rsidR="00C85612" w:rsidRPr="00F412B4" w:rsidTr="00B94127">
        <w:tc>
          <w:tcPr>
            <w:tcW w:w="1839" w:type="dxa"/>
            <w:vAlign w:val="center"/>
          </w:tcPr>
          <w:p w:rsidR="00F077DA" w:rsidRDefault="00C85612" w:rsidP="00F077DA">
            <w:pPr>
              <w:pStyle w:val="normaltabel"/>
              <w:keepNext/>
              <w:widowControl/>
              <w:rPr>
                <w:vertAlign w:val="superscript"/>
              </w:rPr>
            </w:pPr>
            <w:r>
              <w:t>P2- vloeistoffen</w:t>
            </w:r>
            <w:r w:rsidR="004D0B4A">
              <w:rPr>
                <w:vertAlign w:val="superscript"/>
              </w:rPr>
              <w:t>5</w:t>
            </w:r>
          </w:p>
        </w:tc>
        <w:tc>
          <w:tcPr>
            <w:tcW w:w="1671" w:type="dxa"/>
            <w:vAlign w:val="center"/>
          </w:tcPr>
          <w:p w:rsidR="00F077DA" w:rsidRDefault="00C85612" w:rsidP="00F077DA">
            <w:pPr>
              <w:pStyle w:val="normaltabel"/>
              <w:keepNext/>
              <w:widowControl/>
              <w:jc w:val="center"/>
            </w:pPr>
            <w:r>
              <w:t>≥ 18</w:t>
            </w:r>
          </w:p>
        </w:tc>
        <w:tc>
          <w:tcPr>
            <w:tcW w:w="1700" w:type="dxa"/>
            <w:vAlign w:val="center"/>
          </w:tcPr>
          <w:p w:rsidR="00F077DA" w:rsidRDefault="00F077DA" w:rsidP="00F077DA">
            <w:pPr>
              <w:pStyle w:val="normaltabel"/>
              <w:keepNext/>
              <w:widowControl/>
            </w:pPr>
          </w:p>
        </w:tc>
        <w:tc>
          <w:tcPr>
            <w:tcW w:w="3120" w:type="dxa"/>
            <w:vAlign w:val="center"/>
          </w:tcPr>
          <w:p w:rsidR="00F077DA" w:rsidRDefault="00F077DA" w:rsidP="00F077DA">
            <w:pPr>
              <w:pStyle w:val="normaltabel"/>
              <w:keepNext/>
              <w:widowControl/>
            </w:pPr>
          </w:p>
        </w:tc>
      </w:tr>
      <w:tr w:rsidR="00C85612" w:rsidRPr="00F412B4" w:rsidTr="00B94127">
        <w:tc>
          <w:tcPr>
            <w:tcW w:w="1839" w:type="dxa"/>
            <w:vAlign w:val="center"/>
          </w:tcPr>
          <w:p w:rsidR="00F077DA" w:rsidRDefault="00C85612" w:rsidP="00F077DA">
            <w:pPr>
              <w:pStyle w:val="normaltabel"/>
              <w:keepNext/>
              <w:widowControl/>
            </w:pPr>
            <w:r>
              <w:t>Zeer giftige, giftige en carcinogene vloeistoffen (ongeacht de dampspanning)</w:t>
            </w:r>
          </w:p>
        </w:tc>
        <w:tc>
          <w:tcPr>
            <w:tcW w:w="1671" w:type="dxa"/>
            <w:vAlign w:val="center"/>
          </w:tcPr>
          <w:p w:rsidR="00F077DA" w:rsidRDefault="00C85612" w:rsidP="00F077DA">
            <w:pPr>
              <w:pStyle w:val="normaltabel"/>
              <w:keepNext/>
              <w:widowControl/>
              <w:jc w:val="center"/>
            </w:pPr>
            <w:r>
              <w:t>≥ 18</w:t>
            </w:r>
          </w:p>
        </w:tc>
        <w:tc>
          <w:tcPr>
            <w:tcW w:w="1700" w:type="dxa"/>
            <w:vAlign w:val="center"/>
          </w:tcPr>
          <w:p w:rsidR="00F077DA" w:rsidRDefault="00C85612" w:rsidP="00F077DA">
            <w:pPr>
              <w:pStyle w:val="normaltabel"/>
              <w:keepNext/>
              <w:widowControl/>
            </w:pPr>
            <w:r>
              <w:t>(</w:t>
            </w:r>
            <w:r w:rsidR="004D0B4A">
              <w:t>6</w:t>
            </w:r>
            <w:r>
              <w:t>)</w:t>
            </w:r>
          </w:p>
        </w:tc>
        <w:tc>
          <w:tcPr>
            <w:tcW w:w="3120" w:type="dxa"/>
            <w:vAlign w:val="center"/>
          </w:tcPr>
          <w:p w:rsidR="00F077DA" w:rsidRDefault="00C85612" w:rsidP="00F077DA">
            <w:pPr>
              <w:pStyle w:val="normaltabel"/>
              <w:keepNext/>
              <w:widowControl/>
            </w:pPr>
            <w:r>
              <w:t>dampbalans / (</w:t>
            </w:r>
            <w:r w:rsidR="004D0B4A">
              <w:t>6</w:t>
            </w:r>
            <w:r>
              <w:t>)</w:t>
            </w:r>
          </w:p>
        </w:tc>
      </w:tr>
      <w:tr w:rsidR="00C85612" w:rsidRPr="00F412B4" w:rsidTr="00B94127">
        <w:tc>
          <w:tcPr>
            <w:tcW w:w="1839" w:type="dxa"/>
            <w:vAlign w:val="center"/>
          </w:tcPr>
          <w:p w:rsidR="00F077DA" w:rsidRDefault="00C85612" w:rsidP="00F077DA">
            <w:pPr>
              <w:pStyle w:val="normaltabel"/>
              <w:keepNext/>
              <w:widowControl/>
            </w:pPr>
            <w:r>
              <w:t>acrylaten</w:t>
            </w:r>
          </w:p>
        </w:tc>
        <w:tc>
          <w:tcPr>
            <w:tcW w:w="1671" w:type="dxa"/>
            <w:vAlign w:val="center"/>
          </w:tcPr>
          <w:p w:rsidR="00F077DA" w:rsidRDefault="00C85612" w:rsidP="00F077DA">
            <w:pPr>
              <w:pStyle w:val="normaltabel"/>
              <w:keepNext/>
              <w:widowControl/>
              <w:jc w:val="center"/>
            </w:pPr>
            <w:r>
              <w:t>≥ 18</w:t>
            </w:r>
          </w:p>
        </w:tc>
        <w:tc>
          <w:tcPr>
            <w:tcW w:w="1700" w:type="dxa"/>
            <w:vAlign w:val="center"/>
          </w:tcPr>
          <w:p w:rsidR="00F077DA" w:rsidRDefault="004D0B4A" w:rsidP="00F077DA">
            <w:pPr>
              <w:pStyle w:val="normaltabel"/>
              <w:keepNext/>
              <w:widowControl/>
            </w:pPr>
            <w:r>
              <w:t>D</w:t>
            </w:r>
            <w:r w:rsidR="00C85612" w:rsidRPr="00EA67A9">
              <w:t>ampbehandeling</w:t>
            </w:r>
            <w:r>
              <w:rPr>
                <w:vertAlign w:val="superscript"/>
              </w:rPr>
              <w:t>3</w:t>
            </w:r>
          </w:p>
        </w:tc>
        <w:tc>
          <w:tcPr>
            <w:tcW w:w="3120" w:type="dxa"/>
            <w:vAlign w:val="center"/>
          </w:tcPr>
          <w:p w:rsidR="00F077DA" w:rsidRDefault="00C85612" w:rsidP="00F077DA">
            <w:pPr>
              <w:pStyle w:val="normaltabel"/>
              <w:keepNext/>
              <w:widowControl/>
              <w:rPr>
                <w:vertAlign w:val="superscript"/>
              </w:rPr>
            </w:pPr>
            <w:r>
              <w:t>dampbalans / dampbehandeling</w:t>
            </w:r>
            <w:r w:rsidR="004D0B4A">
              <w:rPr>
                <w:vertAlign w:val="superscript"/>
              </w:rPr>
              <w:t>3</w:t>
            </w:r>
          </w:p>
        </w:tc>
      </w:tr>
      <w:tr w:rsidR="00C85612" w:rsidRPr="00F412B4" w:rsidTr="00B94127">
        <w:tc>
          <w:tcPr>
            <w:tcW w:w="1839" w:type="dxa"/>
            <w:vAlign w:val="center"/>
          </w:tcPr>
          <w:p w:rsidR="00F077DA" w:rsidRDefault="00C85612" w:rsidP="00F077DA">
            <w:pPr>
              <w:pStyle w:val="normaltabel"/>
              <w:keepNext/>
              <w:widowControl/>
            </w:pPr>
            <w:r>
              <w:t xml:space="preserve">Niet hoger vermelde </w:t>
            </w:r>
            <w:r w:rsidR="00324ECC">
              <w:t>VOS-</w:t>
            </w:r>
            <w:r>
              <w:t>vloeistoffen</w:t>
            </w:r>
          </w:p>
        </w:tc>
        <w:tc>
          <w:tcPr>
            <w:tcW w:w="1671" w:type="dxa"/>
            <w:vAlign w:val="center"/>
          </w:tcPr>
          <w:p w:rsidR="00F077DA" w:rsidRDefault="00C85612" w:rsidP="00F077DA">
            <w:pPr>
              <w:pStyle w:val="normaltabel"/>
              <w:keepNext/>
              <w:widowControl/>
              <w:jc w:val="center"/>
            </w:pPr>
            <w:r>
              <w:t>≥ 18</w:t>
            </w:r>
          </w:p>
        </w:tc>
        <w:tc>
          <w:tcPr>
            <w:tcW w:w="1700" w:type="dxa"/>
            <w:vAlign w:val="center"/>
          </w:tcPr>
          <w:p w:rsidR="00F077DA" w:rsidRDefault="00F077DA" w:rsidP="00F077DA">
            <w:pPr>
              <w:pStyle w:val="normaltabel"/>
              <w:keepNext/>
              <w:widowControl/>
            </w:pPr>
          </w:p>
        </w:tc>
        <w:tc>
          <w:tcPr>
            <w:tcW w:w="3120" w:type="dxa"/>
            <w:vAlign w:val="center"/>
          </w:tcPr>
          <w:p w:rsidR="00F077DA" w:rsidRDefault="00F077DA" w:rsidP="00F077DA">
            <w:pPr>
              <w:pStyle w:val="normaltabel"/>
              <w:keepNext/>
              <w:widowControl/>
            </w:pPr>
          </w:p>
        </w:tc>
      </w:tr>
    </w:tbl>
    <w:p w:rsidR="00F077DA" w:rsidRDefault="00CB3B91" w:rsidP="00F077DA">
      <w:pPr>
        <w:pStyle w:val="voetnoottabel"/>
        <w:keepNext/>
        <w:widowControl/>
      </w:pPr>
      <w:r w:rsidRPr="00CB3B91">
        <w:rPr>
          <w:szCs w:val="16"/>
        </w:rPr>
        <w:t>1</w:t>
      </w:r>
      <w:r w:rsidR="004D0B4A">
        <w:t>: Indeling volgens EG regelgeving.</w:t>
      </w:r>
    </w:p>
    <w:p w:rsidR="00F077DA" w:rsidRDefault="004D0B4A" w:rsidP="00F077DA">
      <w:pPr>
        <w:pStyle w:val="voetnoottabel"/>
        <w:keepNext/>
        <w:widowControl/>
      </w:pPr>
      <w:r>
        <w:t>2</w:t>
      </w:r>
      <w:r w:rsidR="00C85612">
        <w:t xml:space="preserve">: </w:t>
      </w:r>
      <w:r w:rsidR="00C85612">
        <w:tab/>
        <w:t>olieachtige P1-producten (bvb. crude), kunnen ook worden opgeslagen in tanks met een extern vlottend dak (TK800 en TK801). In dit geval worden de dampen niet afgeleid naar een dampbehandelings</w:t>
      </w:r>
      <w:r w:rsidR="00C85612">
        <w:softHyphen/>
        <w:t>eenheid.</w:t>
      </w:r>
    </w:p>
    <w:p w:rsidR="00F077DA" w:rsidRDefault="004D0B4A" w:rsidP="00F077DA">
      <w:pPr>
        <w:pStyle w:val="voetnoottabel"/>
        <w:keepNext/>
        <w:widowControl/>
      </w:pPr>
      <w:r>
        <w:t>3</w:t>
      </w:r>
      <w:r w:rsidR="00C85612">
        <w:t xml:space="preserve">: verbranding, </w:t>
      </w:r>
      <w:r w:rsidR="00C85612" w:rsidRPr="008E1301">
        <w:t>gaswassing</w:t>
      </w:r>
      <w:r w:rsidR="00C85612">
        <w:t>, condensatie of aktieve koolfiltratie.</w:t>
      </w:r>
    </w:p>
    <w:p w:rsidR="00F077DA" w:rsidRDefault="004D0B4A" w:rsidP="00F077DA">
      <w:pPr>
        <w:pStyle w:val="voetnoottabel"/>
        <w:keepNext/>
        <w:widowControl/>
      </w:pPr>
      <w:r>
        <w:t>4</w:t>
      </w:r>
      <w:r w:rsidR="00C85612">
        <w:t>: het betreft hier gechloreerde verbindingen zoals methyleenchloride, chloroform, ...</w:t>
      </w:r>
    </w:p>
    <w:p w:rsidR="00F077DA" w:rsidRDefault="004D0B4A" w:rsidP="00F077DA">
      <w:pPr>
        <w:pStyle w:val="voetnoottabel"/>
        <w:keepNext/>
        <w:widowControl/>
      </w:pPr>
      <w:r>
        <w:t>5</w:t>
      </w:r>
      <w:r w:rsidR="00C85612">
        <w:t>: de P2- vloeistoffen die in de terminal aanwezig kunnen zijn, hebben steeds een dampspanning &lt; 13,3 kPa@35°C</w:t>
      </w:r>
    </w:p>
    <w:p w:rsidR="00F077DA" w:rsidRDefault="004D0B4A" w:rsidP="00F077DA">
      <w:pPr>
        <w:pStyle w:val="voetnoottabel"/>
        <w:keepNext/>
        <w:widowControl/>
      </w:pPr>
      <w:r>
        <w:t>6</w:t>
      </w:r>
      <w:r w:rsidR="00C85612">
        <w:t>: bij opslag van DES wordt gaswassing als dampbehandelingstechniek toegepast.</w:t>
      </w:r>
    </w:p>
    <w:p w:rsidR="00AA4338" w:rsidRDefault="00AA4338">
      <w:pPr>
        <w:keepLines w:val="0"/>
        <w:spacing w:before="0" w:after="0" w:line="240" w:lineRule="auto"/>
        <w:jc w:val="left"/>
        <w:rPr>
          <w:lang w:val="nl-NL"/>
        </w:rPr>
      </w:pPr>
      <w:r>
        <w:rPr>
          <w:lang w:val="nl-NL"/>
        </w:rPr>
        <w:br w:type="page"/>
      </w:r>
    </w:p>
    <w:p w:rsidR="00AA4338" w:rsidRPr="00AA4338" w:rsidRDefault="00AA4338" w:rsidP="00AA4338">
      <w:pPr>
        <w:pStyle w:val="voetnoottabel"/>
        <w:rPr>
          <w:lang w:val="nl-BE"/>
        </w:rPr>
      </w:pPr>
    </w:p>
    <w:p w:rsidR="00DE114F" w:rsidRDefault="00DE114F" w:rsidP="004F40A7">
      <w:pPr>
        <w:pStyle w:val="Heading4"/>
      </w:pPr>
      <w:bookmarkStart w:id="456" w:name="_Toc312069220"/>
      <w:r>
        <w:t>Opslag en afvullen van eenheidsverpakkingen</w:t>
      </w:r>
      <w:bookmarkEnd w:id="456"/>
    </w:p>
    <w:p w:rsidR="00DE114F" w:rsidRDefault="00DE114F" w:rsidP="004F40A7">
      <w:pPr>
        <w:pStyle w:val="Heading5"/>
      </w:pPr>
      <w:bookmarkStart w:id="457" w:name="_Toc312069221"/>
      <w:r>
        <w:t>Opslag</w:t>
      </w:r>
      <w:bookmarkEnd w:id="457"/>
    </w:p>
    <w:p w:rsidR="008604AD" w:rsidRDefault="008604AD" w:rsidP="003E39D0">
      <w:r>
        <w:t>Voor de opslag van eenheidsverpakkingen die in de inrichting worden afgevuld (zie verder) is er een overdekte opslagplaats aanwezig (de opslagplaats is voorzien van een afdak en gedeeltelijk uitgerust met zijwanden).</w:t>
      </w:r>
    </w:p>
    <w:p w:rsidR="008604AD" w:rsidRDefault="008604AD" w:rsidP="003E39D0">
      <w:r>
        <w:t>De opslagplaats heeft een oppervlakte ca. 1866 m</w:t>
      </w:r>
      <w:r>
        <w:rPr>
          <w:vertAlign w:val="superscript"/>
        </w:rPr>
        <w:t>2</w:t>
      </w:r>
      <w:r>
        <w:t xml:space="preserve"> en een capaciteit van 1750 m</w:t>
      </w:r>
      <w:r>
        <w:rPr>
          <w:vertAlign w:val="superscript"/>
        </w:rPr>
        <w:t>3</w:t>
      </w:r>
      <w:r>
        <w:t>. De opslag</w:t>
      </w:r>
      <w:r w:rsidRPr="008604AD">
        <w:t>plaats is ingekuipt en de vloer helt af naar een ondergrondse opvang van waaruit een gecontroleerde afvoer mogelijk is. De totale opva</w:t>
      </w:r>
      <w:r>
        <w:t>ngcapaciteit voor lekken en ver</w:t>
      </w:r>
      <w:r w:rsidRPr="008604AD">
        <w:t>ontreinigde bluswaters van de opslagplaats bedraagt 446 m</w:t>
      </w:r>
      <w:r>
        <w:t>³</w:t>
      </w:r>
      <w:r w:rsidRPr="008604AD">
        <w:t>.</w:t>
      </w:r>
      <w:r>
        <w:t xml:space="preserve"> </w:t>
      </w:r>
    </w:p>
    <w:p w:rsidR="00DE114F" w:rsidRDefault="00DE114F" w:rsidP="004F40A7">
      <w:pPr>
        <w:pStyle w:val="Heading5"/>
      </w:pPr>
      <w:bookmarkStart w:id="458" w:name="_Ref296432675"/>
      <w:bookmarkStart w:id="459" w:name="_Ref296432684"/>
      <w:bookmarkStart w:id="460" w:name="_Toc312069222"/>
      <w:r>
        <w:t>Afvullen</w:t>
      </w:r>
      <w:bookmarkEnd w:id="458"/>
      <w:bookmarkEnd w:id="459"/>
      <w:bookmarkEnd w:id="460"/>
    </w:p>
    <w:p w:rsidR="00DE114F" w:rsidRDefault="00DE114F" w:rsidP="00AF3F9E">
      <w:pPr>
        <w:rPr>
          <w:lang w:val="nl-NL"/>
        </w:rPr>
      </w:pPr>
      <w:r w:rsidRPr="00DE114F">
        <w:rPr>
          <w:lang w:val="nl-NL"/>
        </w:rPr>
        <w:t>Een beperkt deel (&lt; 5 %) van de i</w:t>
      </w:r>
      <w:r w:rsidR="008604AD">
        <w:rPr>
          <w:lang w:val="nl-NL"/>
        </w:rPr>
        <w:t>n de terminal aangevoerde vloei</w:t>
      </w:r>
      <w:r w:rsidRPr="00DE114F">
        <w:rPr>
          <w:lang w:val="nl-NL"/>
        </w:rPr>
        <w:t>stoffen in bulk wo</w:t>
      </w:r>
      <w:r>
        <w:rPr>
          <w:lang w:val="nl-NL"/>
        </w:rPr>
        <w:t>rdt in opdracht van de klant afgevuld in een</w:t>
      </w:r>
      <w:r w:rsidRPr="00DE114F">
        <w:rPr>
          <w:lang w:val="nl-NL"/>
        </w:rPr>
        <w:t>heidsverpakkingen (vaten met een inhoud van 220 liter of ICB’s met een inhoud van 1 m³).</w:t>
      </w:r>
    </w:p>
    <w:p w:rsidR="00BE49DF" w:rsidRDefault="00BE49DF" w:rsidP="00AF3F9E">
      <w:r>
        <w:t xml:space="preserve">Hiervoor zijn er </w:t>
      </w:r>
      <w:r w:rsidR="008604AD">
        <w:t xml:space="preserve">2 </w:t>
      </w:r>
      <w:r>
        <w:t>automatische afvulinstallaties aanwezig. De afvulinstallaties worden typisch rechtstreeks vanuit een opslag</w:t>
      </w:r>
      <w:r>
        <w:softHyphen/>
        <w:t xml:space="preserve">tank bevoorraad waarbij gebruik gemaakt wordt van de pomp van de betrokken tank </w:t>
      </w:r>
      <w:r w:rsidRPr="00BE49DF">
        <w:t>en spo</w:t>
      </w:r>
      <w:r>
        <w:t>radisch vanuit een tankwagen op</w:t>
      </w:r>
      <w:r w:rsidRPr="00BE49DF">
        <w:t>gesteld naast (de zuidoostelijke zijde van) de vatenloods.</w:t>
      </w:r>
      <w:r>
        <w:t xml:space="preserve"> De afvulling gebeurt op basis van een gewichtsmeting van de een</w:t>
      </w:r>
      <w:r>
        <w:softHyphen/>
        <w:t>heids</w:t>
      </w:r>
      <w:r>
        <w:softHyphen/>
        <w:t>ver</w:t>
      </w:r>
      <w:r>
        <w:softHyphen/>
        <w:t xml:space="preserve">pakking. </w:t>
      </w:r>
    </w:p>
    <w:p w:rsidR="00DE114F" w:rsidRDefault="00BE49DF" w:rsidP="00AF3F9E">
      <w:pPr>
        <w:rPr>
          <w:lang w:val="nl-NL"/>
        </w:rPr>
      </w:pPr>
      <w:r>
        <w:t>Tevens beschikt men over een mobiele weegschaal voor de afvulling ter hoogte van de verlaadzones aan de tankenparken. Voor de afvulling wordt er gebruik gemaakt van de pompen aan de tanken. De afgevulde eenheidsverpakkingen worden ter plaatse tijdelijk opgeslagen en geladen op vrachtwagens m.b.v. een vorkheftruck.</w:t>
      </w:r>
    </w:p>
    <w:p w:rsidR="00DE114F" w:rsidRDefault="00DE114F" w:rsidP="00AF3F9E">
      <w:r>
        <w:t>Deze activiteit vindt typisch plaats voor weinig vluchtige producten (P</w:t>
      </w:r>
      <w:r w:rsidRPr="00A71D4D">
        <w:rPr>
          <w:vertAlign w:val="subscript"/>
        </w:rPr>
        <w:t>damp@20°C</w:t>
      </w:r>
      <w:r w:rsidR="003E50C4">
        <w:t xml:space="preserve"> &lt; 5</w:t>
      </w:r>
      <w:r>
        <w:t>kPa).</w:t>
      </w:r>
    </w:p>
    <w:p w:rsidR="00DE114F" w:rsidRDefault="00DE114F" w:rsidP="004F40A7">
      <w:pPr>
        <w:pStyle w:val="Heading3"/>
      </w:pPr>
      <w:bookmarkStart w:id="461" w:name="_Toc312069223"/>
      <w:r>
        <w:t>Nutsvoorzieningen</w:t>
      </w:r>
      <w:bookmarkEnd w:id="461"/>
    </w:p>
    <w:tbl>
      <w:tblPr>
        <w:tblStyle w:val="TableGrid"/>
        <w:tblW w:w="10206"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134"/>
        <w:gridCol w:w="9072"/>
      </w:tblGrid>
      <w:tr w:rsidR="008604AD" w:rsidTr="004D0B4A">
        <w:tc>
          <w:tcPr>
            <w:tcW w:w="1134" w:type="dxa"/>
          </w:tcPr>
          <w:p w:rsidR="008604AD" w:rsidRPr="008D671F" w:rsidRDefault="008604AD" w:rsidP="00AF3F9E">
            <w:r>
              <w:t>water</w:t>
            </w:r>
          </w:p>
        </w:tc>
        <w:tc>
          <w:tcPr>
            <w:tcW w:w="9072" w:type="dxa"/>
          </w:tcPr>
          <w:p w:rsidR="00B8505E" w:rsidRDefault="008604AD">
            <w:r>
              <w:t xml:space="preserve">Drinkwater wordt via een ondergrondse leiding aangeleverd vanuit het stadswaternet. Het bluswater wordt </w:t>
            </w:r>
            <w:r w:rsidR="004D0B4A">
              <w:t xml:space="preserve">onttrokken </w:t>
            </w:r>
            <w:r>
              <w:t>uit de dokken.</w:t>
            </w:r>
          </w:p>
        </w:tc>
      </w:tr>
      <w:tr w:rsidR="00F530E3" w:rsidTr="004D0B4A">
        <w:tc>
          <w:tcPr>
            <w:tcW w:w="1134" w:type="dxa"/>
          </w:tcPr>
          <w:p w:rsidR="00F530E3" w:rsidRPr="008D671F" w:rsidRDefault="00F530E3" w:rsidP="00AF3F9E">
            <w:r w:rsidRPr="008D671F">
              <w:t>Stoom</w:t>
            </w:r>
          </w:p>
        </w:tc>
        <w:tc>
          <w:tcPr>
            <w:tcW w:w="9072" w:type="dxa"/>
          </w:tcPr>
          <w:p w:rsidR="00AC0D09" w:rsidRDefault="008604AD" w:rsidP="00AF3F9E">
            <w:r>
              <w:t>Voor de productie van stoom beschikt VTE over</w:t>
            </w:r>
            <w:r w:rsidR="00F530E3">
              <w:t xml:space="preserve"> een aardgasgestookte stoomketel met een thermisch vermogen van 6,2 en stookoliegestookte stoomketel met een vermogen van 3,2 MW. De ketel met een vermogen van 6,2 MW is quasi continu in dienst. De andere ketel doet dienst als reserve ketel en is slechts 3 à 5 dagen per jaar werkzaam wanneer de andere ketel uit dienst is of wanneer bij extreme koude de stoomvraag zeer groot is.</w:t>
            </w:r>
          </w:p>
          <w:p w:rsidR="00AC0D09" w:rsidRDefault="000D2C2E" w:rsidP="00AF3F9E">
            <w:r w:rsidRPr="000D2C2E">
              <w:t>De opslag van lichte stookolie (39 m</w:t>
            </w:r>
            <w:r>
              <w:t>³</w:t>
            </w:r>
            <w:r w:rsidRPr="000D2C2E">
              <w:t>) gebeurt in een ingekuipte, bovengrondse ver-tikale houder naast het ketelhuis.</w:t>
            </w:r>
          </w:p>
          <w:p w:rsidR="00F530E3" w:rsidRDefault="008604AD" w:rsidP="00AF3F9E">
            <w:r w:rsidRPr="008604AD">
              <w:t xml:space="preserve">Stoom wordt vnl. aangewend voor het op temperatuur houden </w:t>
            </w:r>
            <w:r w:rsidR="000D2C2E">
              <w:t>van producten in opslag</w:t>
            </w:r>
            <w:r w:rsidRPr="008604AD">
              <w:t>tanks en voor het reinigen van tanks. Tenslotte wordt ook voor de verwarming van de gebouwen beroep gedaan op deze stoomketels.</w:t>
            </w:r>
          </w:p>
        </w:tc>
      </w:tr>
      <w:tr w:rsidR="00F530E3" w:rsidTr="004D0B4A">
        <w:tc>
          <w:tcPr>
            <w:tcW w:w="1134" w:type="dxa"/>
          </w:tcPr>
          <w:p w:rsidR="00F530E3" w:rsidRPr="008D671F" w:rsidRDefault="00F530E3" w:rsidP="00AF3F9E">
            <w:r w:rsidRPr="008D671F">
              <w:t>Gas</w:t>
            </w:r>
            <w:r w:rsidRPr="008D671F">
              <w:softHyphen/>
              <w:t>wassing</w:t>
            </w:r>
          </w:p>
        </w:tc>
        <w:tc>
          <w:tcPr>
            <w:tcW w:w="9072" w:type="dxa"/>
          </w:tcPr>
          <w:p w:rsidR="00F530E3" w:rsidRDefault="00F530E3" w:rsidP="00AF3F9E">
            <w:r>
              <w:t xml:space="preserve">In functie van de aard van het opgeslagen product </w:t>
            </w:r>
            <w:r w:rsidR="004D0B4A">
              <w:t xml:space="preserve">kan </w:t>
            </w:r>
            <w:r>
              <w:t xml:space="preserve">een gaswasser (scrubber) voorzien </w:t>
            </w:r>
            <w:r w:rsidR="004D0B4A">
              <w:t xml:space="preserve">worden </w:t>
            </w:r>
            <w:r>
              <w:t xml:space="preserve">waarlangs de dampen afgeleid worden vooraleer naar de atmosfeer gestuurd te worden.  </w:t>
            </w:r>
          </w:p>
        </w:tc>
      </w:tr>
      <w:tr w:rsidR="000D2C2E" w:rsidTr="004D0B4A">
        <w:tc>
          <w:tcPr>
            <w:tcW w:w="1134" w:type="dxa"/>
          </w:tcPr>
          <w:p w:rsidR="000D2C2E" w:rsidRPr="008D671F" w:rsidRDefault="000D2C2E" w:rsidP="00AF3F9E">
            <w:r>
              <w:t>Verdeel</w:t>
            </w:r>
            <w:r>
              <w:softHyphen/>
              <w:t>installatie</w:t>
            </w:r>
          </w:p>
        </w:tc>
        <w:tc>
          <w:tcPr>
            <w:tcW w:w="9072" w:type="dxa"/>
          </w:tcPr>
          <w:p w:rsidR="00AC0D09" w:rsidRDefault="000D2C2E" w:rsidP="00AF3F9E">
            <w:r>
              <w:t xml:space="preserve">Op het bedrijf is er één brandstofverdeelinstallatie aanwezig die gebruikt wordt voor de bevoorrading van de bedrijfsvoertuigen. </w:t>
            </w:r>
            <w:r w:rsidRPr="000D2C2E">
              <w:t>Deze verdeelinstallatie is aangesloten op de hoger reeds vermelde houder naast het ketelhuis (brandstof is ook b</w:t>
            </w:r>
            <w:r>
              <w:t>ack-up voor stoomketel). De ver</w:t>
            </w:r>
            <w:r w:rsidRPr="000D2C2E">
              <w:t>deelinstallatie bevindt zich bij de bijbehorende opslag naast het ketelhuis.</w:t>
            </w:r>
            <w:r w:rsidR="00AC0D09">
              <w:tab/>
            </w:r>
          </w:p>
          <w:p w:rsidR="000D2C2E" w:rsidRDefault="000D2C2E" w:rsidP="00AF3F9E">
            <w:r>
              <w:t xml:space="preserve">De verdeelinstallatie bevindt zich boven een vloeistofdichte ondergrond uitgerust met een opvanggoot </w:t>
            </w:r>
            <w:r>
              <w:lastRenderedPageBreak/>
              <w:t>waardoor regenwaters worden afgevoerd.</w:t>
            </w:r>
          </w:p>
        </w:tc>
      </w:tr>
      <w:tr w:rsidR="00F530E3" w:rsidTr="004D0B4A">
        <w:tc>
          <w:tcPr>
            <w:tcW w:w="1134" w:type="dxa"/>
          </w:tcPr>
          <w:p w:rsidR="00F530E3" w:rsidRPr="008D671F" w:rsidRDefault="00F530E3" w:rsidP="00AF3F9E">
            <w:r w:rsidRPr="008D671F">
              <w:lastRenderedPageBreak/>
              <w:t>Afvalwater</w:t>
            </w:r>
            <w:r w:rsidRPr="008D671F">
              <w:softHyphen/>
              <w:t>behande</w:t>
            </w:r>
            <w:r w:rsidRPr="008D671F">
              <w:softHyphen/>
              <w:t>ling</w:t>
            </w:r>
          </w:p>
        </w:tc>
        <w:tc>
          <w:tcPr>
            <w:tcW w:w="9072" w:type="dxa"/>
          </w:tcPr>
          <w:p w:rsidR="00F530E3" w:rsidRDefault="00F530E3" w:rsidP="00AF3F9E">
            <w:r>
              <w:t>Zie verder.</w:t>
            </w:r>
          </w:p>
        </w:tc>
      </w:tr>
      <w:tr w:rsidR="00B872DA" w:rsidTr="004D0B4A">
        <w:tc>
          <w:tcPr>
            <w:tcW w:w="1134" w:type="dxa"/>
          </w:tcPr>
          <w:p w:rsidR="00B872DA" w:rsidRPr="00B872DA" w:rsidRDefault="00CB3B91" w:rsidP="00AF3F9E">
            <w:pPr>
              <w:tabs>
                <w:tab w:val="center" w:pos="4320"/>
                <w:tab w:val="right" w:pos="8640"/>
              </w:tabs>
              <w:rPr>
                <w:rFonts w:asciiTheme="minorHAnsi" w:hAnsiTheme="minorHAnsi" w:cstheme="minorHAnsi"/>
              </w:rPr>
            </w:pPr>
            <w:r w:rsidRPr="00CB3B91">
              <w:rPr>
                <w:rFonts w:asciiTheme="minorHAnsi" w:hAnsiTheme="minorHAnsi" w:cstheme="minorHAnsi"/>
              </w:rPr>
              <w:t>Stikstof</w:t>
            </w:r>
          </w:p>
        </w:tc>
        <w:tc>
          <w:tcPr>
            <w:tcW w:w="9072" w:type="dxa"/>
          </w:tcPr>
          <w:p w:rsidR="002C5D44" w:rsidRDefault="00A34A14">
            <w:pPr>
              <w:pStyle w:val="NormalI"/>
              <w:ind w:firstLine="0"/>
              <w:rPr>
                <w:rFonts w:asciiTheme="minorHAnsi" w:hAnsiTheme="minorHAnsi" w:cstheme="minorHAnsi"/>
                <w:b/>
                <w:sz w:val="16"/>
              </w:rPr>
            </w:pPr>
            <w:r w:rsidRPr="00A34A14">
              <w:rPr>
                <w:rFonts w:asciiTheme="minorHAnsi" w:hAnsiTheme="minorHAnsi" w:cstheme="minorHAnsi"/>
              </w:rPr>
              <w:t>Het stikstofontspanningsstation (capaciteit 1250 Nm³ bij 7,5 bar) is ge</w:t>
            </w:r>
            <w:r w:rsidRPr="00A34A14">
              <w:rPr>
                <w:rFonts w:asciiTheme="minorHAnsi" w:hAnsiTheme="minorHAnsi" w:cstheme="minorHAnsi"/>
              </w:rPr>
              <w:softHyphen/>
              <w:t xml:space="preserve">situeerd nabij de onderhoudswerkplaats naast het sociaal gebouw. Van hieruit wordt het interne stikstofnet van VTE gevoed. </w:t>
            </w:r>
          </w:p>
          <w:p w:rsidR="002C5D44" w:rsidRDefault="00A34A14">
            <w:pPr>
              <w:pStyle w:val="NormalI"/>
              <w:ind w:firstLine="0"/>
              <w:rPr>
                <w:rFonts w:asciiTheme="minorHAnsi" w:hAnsiTheme="minorHAnsi" w:cstheme="minorHAnsi"/>
                <w:b/>
                <w:sz w:val="16"/>
              </w:rPr>
            </w:pPr>
            <w:r w:rsidRPr="00A34A14">
              <w:rPr>
                <w:rFonts w:asciiTheme="minorHAnsi" w:hAnsiTheme="minorHAnsi" w:cstheme="minorHAnsi"/>
              </w:rPr>
              <w:t>Stikstof wordt gebruikt voor meerdere doeleinden m.n. als stuurgas, als aandrijving voor pneumatische machines, als inertisatie</w:t>
            </w:r>
            <w:r w:rsidRPr="00A34A14">
              <w:rPr>
                <w:rFonts w:asciiTheme="minorHAnsi" w:hAnsiTheme="minorHAnsi" w:cstheme="minorHAnsi"/>
              </w:rPr>
              <w:softHyphen/>
              <w:t>mid</w:t>
            </w:r>
            <w:r w:rsidRPr="00A34A14">
              <w:rPr>
                <w:rFonts w:asciiTheme="minorHAnsi" w:hAnsiTheme="minorHAnsi" w:cstheme="minorHAnsi"/>
              </w:rPr>
              <w:softHyphen/>
              <w:t>del voor de opslag in tanks, voor het vloei</w:t>
            </w:r>
            <w:r w:rsidRPr="00A34A14">
              <w:rPr>
                <w:rFonts w:asciiTheme="minorHAnsi" w:hAnsiTheme="minorHAnsi" w:cstheme="minorHAnsi"/>
              </w:rPr>
              <w:softHyphen/>
              <w:t>stofvrij en droog maken van leidingen, om leidingen af te drukken en voor het los</w:t>
            </w:r>
            <w:r w:rsidRPr="00A34A14">
              <w:rPr>
                <w:rFonts w:asciiTheme="minorHAnsi" w:hAnsiTheme="minorHAnsi" w:cstheme="minorHAnsi"/>
              </w:rPr>
              <w:softHyphen/>
              <w:t>sen van tankwagens/spoorwagons onder druk.</w:t>
            </w:r>
          </w:p>
          <w:p w:rsidR="000966E2" w:rsidRPr="000966E2" w:rsidRDefault="000966E2" w:rsidP="000966E2">
            <w:r w:rsidRPr="000966E2">
              <w:t>Pneumatische systemen die niet zijn uitgerust met veerbelaste, zelfsluitende afsluiters zijn telkens voorzien van een buffervat of flessen onder druk om toe te laten de afsluiters te sluiten in geval het normale stuurmedium wegvalt. Dit laatste is bij opmaak van voorliggend rapport enkel het geval voor de afsluiters ter hoogte van steiger ST2. Meer bepaald is dit voorzien voor de op afstand bediende afsluiters op de tanks met toxische producten en de tanks met P1-producten.</w:t>
            </w:r>
          </w:p>
          <w:p w:rsidR="002C5D44" w:rsidRDefault="00A34A14">
            <w:pPr>
              <w:pStyle w:val="NormalI"/>
              <w:ind w:firstLine="0"/>
              <w:rPr>
                <w:rFonts w:asciiTheme="minorHAnsi" w:hAnsiTheme="minorHAnsi" w:cstheme="minorHAnsi"/>
                <w:b/>
                <w:sz w:val="16"/>
              </w:rPr>
            </w:pPr>
            <w:r w:rsidRPr="00A34A14">
              <w:rPr>
                <w:rFonts w:asciiTheme="minorHAnsi" w:hAnsiTheme="minorHAnsi" w:cstheme="minorHAnsi"/>
              </w:rPr>
              <w:t>Bijkomend en onafhankelijk van het intern stikstofnet, is er ten behoeve van de stik</w:t>
            </w:r>
            <w:r w:rsidRPr="00A34A14">
              <w:rPr>
                <w:rFonts w:asciiTheme="minorHAnsi" w:hAnsiTheme="minorHAnsi" w:cstheme="minorHAnsi"/>
              </w:rPr>
              <w:softHyphen/>
              <w:t>stof</w:t>
            </w:r>
            <w:r w:rsidRPr="00A34A14">
              <w:rPr>
                <w:rFonts w:asciiTheme="minorHAnsi" w:hAnsiTheme="minorHAnsi" w:cstheme="minorHAnsi"/>
              </w:rPr>
              <w:softHyphen/>
              <w:t>levering aan schepen een aparte hoge druk stikstofleiding tussen het stikstofontspan</w:t>
            </w:r>
            <w:r w:rsidRPr="00A34A14">
              <w:rPr>
                <w:rFonts w:asciiTheme="minorHAnsi" w:hAnsiTheme="minorHAnsi" w:cstheme="minorHAnsi"/>
              </w:rPr>
              <w:softHyphen/>
              <w:t>nings</w:t>
            </w:r>
            <w:r w:rsidRPr="00A34A14">
              <w:rPr>
                <w:rFonts w:asciiTheme="minorHAnsi" w:hAnsiTheme="minorHAnsi" w:cstheme="minorHAnsi"/>
              </w:rPr>
              <w:softHyphen/>
              <w:t>station en steiger 2 aanwezig.</w:t>
            </w:r>
          </w:p>
          <w:p w:rsidR="000966E2" w:rsidRPr="00B872DA" w:rsidRDefault="000966E2" w:rsidP="000966E2">
            <w:pPr>
              <w:rPr>
                <w:rFonts w:asciiTheme="minorHAnsi" w:hAnsiTheme="minorHAnsi" w:cstheme="minorHAnsi"/>
                <w:lang w:val="nl-NL"/>
              </w:rPr>
            </w:pPr>
          </w:p>
        </w:tc>
      </w:tr>
    </w:tbl>
    <w:p w:rsidR="001D447A" w:rsidRDefault="001D447A" w:rsidP="00B13960">
      <w:pPr>
        <w:pStyle w:val="Heading2"/>
        <w:numPr>
          <w:ilvl w:val="0"/>
          <w:numId w:val="0"/>
        </w:numPr>
        <w:ind w:left="567"/>
      </w:pPr>
      <w:bookmarkStart w:id="462" w:name="_Ref290984601"/>
    </w:p>
    <w:p w:rsidR="001D447A" w:rsidRDefault="001D447A" w:rsidP="001D447A">
      <w:pPr>
        <w:rPr>
          <w:spacing w:val="20"/>
          <w:sz w:val="24"/>
          <w:lang w:val="nl-NL"/>
        </w:rPr>
      </w:pPr>
      <w:r>
        <w:br w:type="page"/>
      </w:r>
    </w:p>
    <w:p w:rsidR="008C0859" w:rsidRDefault="00794FC2" w:rsidP="00AF3F9E">
      <w:pPr>
        <w:pStyle w:val="Heading2"/>
      </w:pPr>
      <w:bookmarkStart w:id="463" w:name="_Toc312069224"/>
      <w:r>
        <w:lastRenderedPageBreak/>
        <w:t>Waterhuishouding VTE</w:t>
      </w:r>
      <w:bookmarkEnd w:id="462"/>
      <w:bookmarkEnd w:id="463"/>
    </w:p>
    <w:p w:rsidR="008C0859" w:rsidRDefault="00016262" w:rsidP="004F40A7">
      <w:pPr>
        <w:pStyle w:val="Heading3"/>
      </w:pPr>
      <w:bookmarkStart w:id="464" w:name="_Toc312069225"/>
      <w:bookmarkEnd w:id="440"/>
      <w:r>
        <w:t>Water</w:t>
      </w:r>
      <w:r w:rsidR="00636154">
        <w:t>gebruik</w:t>
      </w:r>
      <w:bookmarkEnd w:id="464"/>
    </w:p>
    <w:p w:rsidR="00636154" w:rsidRDefault="00636154" w:rsidP="00AF3F9E">
      <w:pPr>
        <w:pStyle w:val="tit-5"/>
      </w:pPr>
      <w:r>
        <w:t>leidingwater</w:t>
      </w:r>
    </w:p>
    <w:p w:rsidR="00196238" w:rsidRDefault="00043618" w:rsidP="00AF3F9E">
      <w:r>
        <w:t xml:space="preserve">De belangrijkste bron van watervoorziening binnen </w:t>
      </w:r>
      <w:r w:rsidR="00C325A0">
        <w:fldChar w:fldCharType="begin"/>
      </w:r>
      <w:r w:rsidR="00F077DA">
        <w:instrText xml:space="preserve"> klant </w:instrText>
      </w:r>
      <w:r w:rsidR="00C325A0">
        <w:fldChar w:fldCharType="separate"/>
      </w:r>
      <w:r w:rsidR="008102D8">
        <w:t xml:space="preserve">Vopak Terminal Eurotank NV </w:t>
      </w:r>
      <w:r w:rsidR="00C325A0">
        <w:fldChar w:fldCharType="end"/>
      </w:r>
      <w:r w:rsidR="00C3665E">
        <w:t xml:space="preserve"> </w:t>
      </w:r>
      <w:r>
        <w:t>is leidingwater</w:t>
      </w:r>
      <w:r w:rsidR="0042675E" w:rsidRPr="0042675E">
        <w:t xml:space="preserve"> </w:t>
      </w:r>
      <w:r w:rsidR="0042675E">
        <w:t xml:space="preserve">Het </w:t>
      </w:r>
      <w:r w:rsidR="00486B57">
        <w:t>leidingwater</w:t>
      </w:r>
      <w:r w:rsidR="0042675E">
        <w:t xml:space="preserve">verbruik </w:t>
      </w:r>
      <w:r w:rsidR="00486B57">
        <w:t xml:space="preserve">varieert tussen 25.000 en </w:t>
      </w:r>
      <w:r w:rsidR="006536FF">
        <w:t>30.000</w:t>
      </w:r>
      <w:r w:rsidR="00486B57">
        <w:t xml:space="preserve"> m³ per jaar</w:t>
      </w:r>
      <w:r w:rsidR="0042675E">
        <w:t xml:space="preserve">. </w:t>
      </w:r>
      <w:r w:rsidR="00196238">
        <w:t>Leidingwater wordt aangewend voor volgende doeleinden:</w:t>
      </w:r>
    </w:p>
    <w:p w:rsidR="00196238" w:rsidRDefault="00196238" w:rsidP="00AC0D09">
      <w:pPr>
        <w:pStyle w:val="ListParagraph"/>
        <w:numPr>
          <w:ilvl w:val="0"/>
          <w:numId w:val="87"/>
        </w:numPr>
      </w:pPr>
      <w:r>
        <w:t>Bevoorrading sanitaire installaties (</w:t>
      </w:r>
      <w:r>
        <w:rPr>
          <w:rFonts w:cs="Calibri"/>
        </w:rPr>
        <w:t>±</w:t>
      </w:r>
      <w:r>
        <w:t xml:space="preserve"> 1</w:t>
      </w:r>
      <w:r w:rsidR="00D579E9">
        <w:t>0</w:t>
      </w:r>
      <w:r>
        <w:t>% van het totale verbruik);</w:t>
      </w:r>
    </w:p>
    <w:p w:rsidR="00196238" w:rsidRDefault="00196238" w:rsidP="00AC0D09">
      <w:pPr>
        <w:pStyle w:val="ListParagraph"/>
        <w:numPr>
          <w:ilvl w:val="0"/>
          <w:numId w:val="87"/>
        </w:numPr>
      </w:pPr>
      <w:r>
        <w:t>Uitvoeren van druktesten bij nieuwe of gereviseerde opslagtanks (5 à 15% van het totale verbruik, afhankelijk van de effectief uitgevoerde druktesten);</w:t>
      </w:r>
    </w:p>
    <w:p w:rsidR="00196238" w:rsidRDefault="00196238" w:rsidP="00AC0D09">
      <w:pPr>
        <w:pStyle w:val="ListParagraph"/>
        <w:numPr>
          <w:ilvl w:val="0"/>
          <w:numId w:val="87"/>
        </w:numPr>
      </w:pPr>
      <w:r>
        <w:t>Stoomproductie, reinigen opslagtanks, … (</w:t>
      </w:r>
      <w:r w:rsidR="00D579E9">
        <w:t>75 à 85% van het totale verbruik</w:t>
      </w:r>
      <w:r>
        <w:t>)</w:t>
      </w:r>
      <w:r w:rsidR="00D579E9">
        <w:rPr>
          <w:rStyle w:val="FootnoteReference"/>
        </w:rPr>
        <w:footnoteReference w:id="23"/>
      </w:r>
      <w:r>
        <w:t>.</w:t>
      </w:r>
    </w:p>
    <w:p w:rsidR="00636154" w:rsidRDefault="00636154" w:rsidP="004F40A7">
      <w:pPr>
        <w:pStyle w:val="tit-5"/>
        <w:outlineLvl w:val="0"/>
      </w:pPr>
      <w:r>
        <w:t>oppervlaktewater</w:t>
      </w:r>
    </w:p>
    <w:p w:rsidR="00486B57" w:rsidRDefault="00043618" w:rsidP="00AF3F9E">
      <w:r>
        <w:t>Sinds begin 2005 wordt ook dokwater gecapteerd voor eenvoudige industriële toepassingen - zoals gebruik bij werkzaamheden, afspuiten laad/losplaatsen, druktesten tanks, reinigen van goten i.f.v. laswerken - naa</w:t>
      </w:r>
      <w:r w:rsidR="00832512">
        <w:t>st de brandweerdoeleinden nl.</w:t>
      </w:r>
      <w:r>
        <w:t xml:space="preserve"> koelkronen op de tanks, schuiminstallatie aan de tanks, …</w:t>
      </w:r>
    </w:p>
    <w:p w:rsidR="00043618" w:rsidRDefault="00486B57" w:rsidP="00AF3F9E">
      <w:r>
        <w:t>Het verbruik aan oppervlaktewater varieert zeer sterk in functie van de reële behoeften</w:t>
      </w:r>
      <w:r w:rsidR="0042675E" w:rsidRPr="009270DF">
        <w:t>.</w:t>
      </w:r>
      <w:r>
        <w:t xml:space="preserve"> Zo werd in 2008 19.341 m³ oppervlaktewater opgepompt, daar waar dit in 2009 slechts </w:t>
      </w:r>
      <w:r w:rsidR="004058EA">
        <w:t>4.233 m³ werd opgepompt.</w:t>
      </w:r>
    </w:p>
    <w:p w:rsidR="00D579E9" w:rsidRDefault="00D579E9" w:rsidP="004F40A7">
      <w:pPr>
        <w:pStyle w:val="tit-5"/>
        <w:outlineLvl w:val="0"/>
      </w:pPr>
      <w:r>
        <w:t>grondwater</w:t>
      </w:r>
    </w:p>
    <w:p w:rsidR="00D579E9" w:rsidRDefault="00D579E9" w:rsidP="00AF3F9E">
      <w:r>
        <w:t xml:space="preserve">Sinds eind september 2000 is er een grondwaterdrainage in gebruik. Deze bestaat uit een ingegraven leiding op +/- 1 à 2 meter diepte onder het maaiveld en omloopt een groot deel van de terminal. Deze drainage werd aangelegd in kader van een beheersmaatregel ter zuivering van de grond en het grondwater ter hoogte van de opslagterminal. Het opgepompte grondwater, dat grotendeels doorsijpelend regenwater </w:t>
      </w:r>
      <w:r w:rsidR="00F16CE5">
        <w:t>bevat</w:t>
      </w:r>
      <w:r>
        <w:t>,</w:t>
      </w:r>
      <w:r w:rsidR="00F16CE5">
        <w:t xml:space="preserve"> loopt samen in een verzamelput en wordt alzo overgepompt naar de waterzuivering.</w:t>
      </w:r>
    </w:p>
    <w:p w:rsidR="00D579E9" w:rsidRDefault="00D579E9" w:rsidP="00AF3F9E">
      <w:r>
        <w:t>Het drainagenetwerk is vergund voor een jaarlijks op</w:t>
      </w:r>
      <w:r w:rsidR="00F16CE5">
        <w:t xml:space="preserve"> te pompen debiet van 3.000 m³</w:t>
      </w:r>
      <w:r>
        <w:t xml:space="preserve">. </w:t>
      </w:r>
      <w:r w:rsidR="00F16CE5">
        <w:t>De ‘opgepompte’ hoeveelheid grondwater bedraagt 500 à 700 m³/j (ref. 2008 en 2009).</w:t>
      </w:r>
    </w:p>
    <w:p w:rsidR="008C0859" w:rsidRDefault="00F16CE5" w:rsidP="004F40A7">
      <w:pPr>
        <w:pStyle w:val="Heading3"/>
      </w:pPr>
      <w:bookmarkStart w:id="465" w:name="_Toc312069226"/>
      <w:r>
        <w:t>Bedrijfsafvalwater</w:t>
      </w:r>
      <w:bookmarkEnd w:id="465"/>
    </w:p>
    <w:p w:rsidR="00F16CE5" w:rsidRPr="00F16CE5" w:rsidRDefault="00F16CE5" w:rsidP="004F40A7">
      <w:pPr>
        <w:pStyle w:val="Heading4"/>
      </w:pPr>
      <w:bookmarkStart w:id="466" w:name="_Toc312069227"/>
      <w:r>
        <w:t>Herkomst</w:t>
      </w:r>
      <w:bookmarkEnd w:id="466"/>
    </w:p>
    <w:p w:rsidR="00F16CE5" w:rsidRDefault="00F16CE5" w:rsidP="00AF3F9E">
      <w:pPr>
        <w:rPr>
          <w:lang w:val="nl-NL"/>
        </w:rPr>
      </w:pPr>
      <w:r>
        <w:rPr>
          <w:lang w:val="nl-NL"/>
        </w:rPr>
        <w:t>Bedrijfsafvalwater is afkomstig van:</w:t>
      </w:r>
    </w:p>
    <w:p w:rsidR="00F16CE5" w:rsidRPr="00AC0D09" w:rsidRDefault="00F16CE5" w:rsidP="00AC0D09">
      <w:pPr>
        <w:pStyle w:val="ListParagraph"/>
        <w:numPr>
          <w:ilvl w:val="0"/>
          <w:numId w:val="88"/>
        </w:numPr>
        <w:rPr>
          <w:lang w:val="nl-NL"/>
        </w:rPr>
      </w:pPr>
      <w:r w:rsidRPr="00AC0D09">
        <w:rPr>
          <w:lang w:val="nl-NL"/>
        </w:rPr>
        <w:t xml:space="preserve">Spoelen opslagtanks </w:t>
      </w:r>
    </w:p>
    <w:p w:rsidR="00F16CE5" w:rsidRDefault="00F16CE5" w:rsidP="00AF3F9E">
      <w:pPr>
        <w:rPr>
          <w:lang w:val="nl-NL"/>
        </w:rPr>
      </w:pPr>
      <w:r>
        <w:rPr>
          <w:lang w:val="nl-NL"/>
        </w:rPr>
        <w:t xml:space="preserve">Naar aanleiding van een productwissel wordt een opslagtank gereinigd met water. Eerst wordt een voorspoeling uitgevoerd. Deze (zwaar belaste) ‘voorspoelwaters’ worden opgevangen en afgevoerd als afvalstof. Vervolgens wordt de tank nagespoeld. </w:t>
      </w:r>
    </w:p>
    <w:p w:rsidR="00F16CE5" w:rsidRDefault="00F16CE5" w:rsidP="00AF3F9E">
      <w:pPr>
        <w:rPr>
          <w:lang w:val="nl-NL"/>
        </w:rPr>
      </w:pPr>
      <w:r>
        <w:rPr>
          <w:lang w:val="nl-NL"/>
        </w:rPr>
        <w:t>Indien het spoelwater stoffen bevat die (mogelijks) toxisch zijn voor micro-organismen en/of die niet biologisch afbreekbaar zijn, wordt het spoelwater opgevangen en afgevoerd voor externe verwerking. In de andere gevallen wordt het spoelwater – na controle</w:t>
      </w:r>
      <w:r>
        <w:rPr>
          <w:rStyle w:val="FootnoteReference"/>
          <w:lang w:val="nl-NL"/>
        </w:rPr>
        <w:footnoteReference w:id="24"/>
      </w:r>
      <w:r>
        <w:rPr>
          <w:lang w:val="nl-NL"/>
        </w:rPr>
        <w:t xml:space="preserve"> – verpompt naar de buffertanks van de waterzuivering.   </w:t>
      </w:r>
    </w:p>
    <w:p w:rsidR="00452917" w:rsidRDefault="00452917" w:rsidP="00AF3F9E">
      <w:pPr>
        <w:rPr>
          <w:lang w:val="nl-NL"/>
        </w:rPr>
      </w:pPr>
      <w:r>
        <w:rPr>
          <w:lang w:val="nl-NL"/>
        </w:rPr>
        <w:lastRenderedPageBreak/>
        <w:t xml:space="preserve">De hoeveelheden spoelwaters die worden afgevoerd zijn terug te vinden in tabel </w:t>
      </w:r>
      <w:r w:rsidR="00C325A0">
        <w:rPr>
          <w:lang w:val="nl-NL"/>
        </w:rPr>
        <w:fldChar w:fldCharType="begin"/>
      </w:r>
      <w:r>
        <w:rPr>
          <w:lang w:val="nl-NL"/>
        </w:rPr>
        <w:instrText xml:space="preserve"> REF t_project_afvalstoffen \h </w:instrText>
      </w:r>
      <w:r w:rsidR="00C325A0">
        <w:rPr>
          <w:lang w:val="nl-NL"/>
        </w:rPr>
      </w:r>
      <w:r w:rsidR="00C325A0">
        <w:rPr>
          <w:lang w:val="nl-NL"/>
        </w:rPr>
        <w:fldChar w:fldCharType="separate"/>
      </w:r>
      <w:r w:rsidR="008102D8">
        <w:t>IV.8</w:t>
      </w:r>
      <w:r w:rsidR="00C325A0">
        <w:rPr>
          <w:lang w:val="nl-NL"/>
        </w:rPr>
        <w:fldChar w:fldCharType="end"/>
      </w:r>
      <w:r>
        <w:rPr>
          <w:lang w:val="nl-NL"/>
        </w:rPr>
        <w:t xml:space="preserve">. </w:t>
      </w: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5245"/>
        <w:gridCol w:w="992"/>
      </w:tblGrid>
      <w:tr w:rsidR="00E01D75" w:rsidTr="00B1573D">
        <w:trPr>
          <w:trHeight w:val="255"/>
        </w:trPr>
        <w:tc>
          <w:tcPr>
            <w:tcW w:w="1526" w:type="dxa"/>
          </w:tcPr>
          <w:p w:rsidR="00E01D75" w:rsidRDefault="00E01D75" w:rsidP="00E01D75">
            <w:pPr>
              <w:rPr>
                <w:b/>
                <w:caps/>
                <w:color w:val="808080"/>
                <w:spacing w:val="26"/>
                <w:kern w:val="28"/>
                <w:sz w:val="32"/>
                <w:lang w:val="nl-NL"/>
              </w:rPr>
            </w:pPr>
            <w:r>
              <w:rPr>
                <w:lang w:val="nl-NL"/>
              </w:rPr>
              <w:t>2008</w:t>
            </w:r>
          </w:p>
        </w:tc>
        <w:tc>
          <w:tcPr>
            <w:tcW w:w="5245" w:type="dxa"/>
          </w:tcPr>
          <w:p w:rsidR="00E01D75" w:rsidRDefault="00E01D75" w:rsidP="00E01D75">
            <w:pPr>
              <w:pStyle w:val="ListParagraph"/>
              <w:numPr>
                <w:ilvl w:val="0"/>
                <w:numId w:val="126"/>
              </w:numPr>
              <w:rPr>
                <w:lang w:val="nl-NL"/>
              </w:rPr>
            </w:pPr>
            <w:r>
              <w:rPr>
                <w:lang w:val="nl-NL"/>
              </w:rPr>
              <w:t xml:space="preserve">KWS-mengsels </w:t>
            </w:r>
          </w:p>
        </w:tc>
        <w:tc>
          <w:tcPr>
            <w:tcW w:w="992" w:type="dxa"/>
          </w:tcPr>
          <w:p w:rsidR="00E01D75" w:rsidRDefault="00E01D75" w:rsidP="00E01D75">
            <w:pPr>
              <w:jc w:val="right"/>
              <w:rPr>
                <w:b/>
                <w:caps/>
                <w:color w:val="808080"/>
                <w:spacing w:val="26"/>
                <w:kern w:val="28"/>
                <w:sz w:val="32"/>
                <w:lang w:val="nl-NL"/>
              </w:rPr>
            </w:pPr>
            <w:r>
              <w:rPr>
                <w:lang w:val="nl-NL"/>
              </w:rPr>
              <w:t>224 t</w:t>
            </w:r>
          </w:p>
        </w:tc>
      </w:tr>
      <w:tr w:rsidR="00E01D75" w:rsidTr="00B1573D">
        <w:tc>
          <w:tcPr>
            <w:tcW w:w="1526" w:type="dxa"/>
          </w:tcPr>
          <w:p w:rsidR="00E01D75" w:rsidRDefault="00E01D75" w:rsidP="00E01D75">
            <w:pPr>
              <w:rPr>
                <w:lang w:val="nl-NL"/>
              </w:rPr>
            </w:pPr>
          </w:p>
        </w:tc>
        <w:tc>
          <w:tcPr>
            <w:tcW w:w="5245" w:type="dxa"/>
          </w:tcPr>
          <w:p w:rsidR="00E01D75" w:rsidRDefault="00E01D75" w:rsidP="00E01D75">
            <w:pPr>
              <w:pStyle w:val="ListParagraph"/>
              <w:numPr>
                <w:ilvl w:val="0"/>
                <w:numId w:val="126"/>
              </w:numPr>
              <w:rPr>
                <w:lang w:val="nl-NL"/>
              </w:rPr>
            </w:pPr>
            <w:r>
              <w:rPr>
                <w:lang w:val="nl-NL"/>
              </w:rPr>
              <w:t xml:space="preserve">Voorspoelwaters </w:t>
            </w:r>
          </w:p>
        </w:tc>
        <w:tc>
          <w:tcPr>
            <w:tcW w:w="992" w:type="dxa"/>
          </w:tcPr>
          <w:p w:rsidR="00E01D75" w:rsidRDefault="00E01D75" w:rsidP="00E01D75">
            <w:pPr>
              <w:jc w:val="right"/>
              <w:rPr>
                <w:lang w:val="nl-NL"/>
              </w:rPr>
            </w:pPr>
            <w:r>
              <w:rPr>
                <w:lang w:val="nl-NL"/>
              </w:rPr>
              <w:t>145 t</w:t>
            </w:r>
          </w:p>
        </w:tc>
      </w:tr>
      <w:tr w:rsidR="00E01D75" w:rsidTr="00B1573D">
        <w:tc>
          <w:tcPr>
            <w:tcW w:w="1526" w:type="dxa"/>
          </w:tcPr>
          <w:p w:rsidR="00E01D75" w:rsidRDefault="00E01D75" w:rsidP="00E01D75">
            <w:pPr>
              <w:rPr>
                <w:lang w:val="nl-NL"/>
              </w:rPr>
            </w:pPr>
          </w:p>
        </w:tc>
        <w:tc>
          <w:tcPr>
            <w:tcW w:w="5245" w:type="dxa"/>
          </w:tcPr>
          <w:p w:rsidR="00E01D75" w:rsidRDefault="00E01D75" w:rsidP="00E01D75">
            <w:pPr>
              <w:pStyle w:val="ListParagraph"/>
              <w:numPr>
                <w:ilvl w:val="0"/>
                <w:numId w:val="126"/>
              </w:numPr>
              <w:rPr>
                <w:lang w:val="nl-NL"/>
              </w:rPr>
            </w:pPr>
            <w:r>
              <w:rPr>
                <w:lang w:val="nl-NL"/>
              </w:rPr>
              <w:t>Reinigingsslib (vloeibaar)</w:t>
            </w:r>
          </w:p>
        </w:tc>
        <w:tc>
          <w:tcPr>
            <w:tcW w:w="992" w:type="dxa"/>
          </w:tcPr>
          <w:p w:rsidR="00E01D75" w:rsidRDefault="00E01D75" w:rsidP="00E01D75">
            <w:pPr>
              <w:jc w:val="right"/>
              <w:rPr>
                <w:lang w:val="nl-NL"/>
              </w:rPr>
            </w:pPr>
            <w:r>
              <w:rPr>
                <w:lang w:val="nl-NL"/>
              </w:rPr>
              <w:t>310 t</w:t>
            </w:r>
          </w:p>
        </w:tc>
      </w:tr>
      <w:tr w:rsidR="00E01D75" w:rsidTr="00B1573D">
        <w:tc>
          <w:tcPr>
            <w:tcW w:w="1526" w:type="dxa"/>
          </w:tcPr>
          <w:p w:rsidR="00E01D75" w:rsidRDefault="00E01D75" w:rsidP="00E01D75">
            <w:pPr>
              <w:rPr>
                <w:lang w:val="nl-NL"/>
              </w:rPr>
            </w:pPr>
            <w:r>
              <w:rPr>
                <w:lang w:val="nl-NL"/>
              </w:rPr>
              <w:t>2009</w:t>
            </w:r>
          </w:p>
        </w:tc>
        <w:tc>
          <w:tcPr>
            <w:tcW w:w="5245" w:type="dxa"/>
          </w:tcPr>
          <w:p w:rsidR="00E01D75" w:rsidRDefault="00E01D75" w:rsidP="00E01D75">
            <w:pPr>
              <w:pStyle w:val="ListParagraph"/>
              <w:numPr>
                <w:ilvl w:val="0"/>
                <w:numId w:val="126"/>
              </w:numPr>
              <w:rPr>
                <w:lang w:val="nl-NL"/>
              </w:rPr>
            </w:pPr>
            <w:r>
              <w:rPr>
                <w:lang w:val="nl-NL"/>
              </w:rPr>
              <w:t>KWS-mengsels</w:t>
            </w:r>
          </w:p>
        </w:tc>
        <w:tc>
          <w:tcPr>
            <w:tcW w:w="992" w:type="dxa"/>
          </w:tcPr>
          <w:p w:rsidR="00E01D75" w:rsidRDefault="00E01D75" w:rsidP="00E01D75">
            <w:pPr>
              <w:jc w:val="right"/>
              <w:rPr>
                <w:lang w:val="nl-NL"/>
              </w:rPr>
            </w:pPr>
            <w:r>
              <w:rPr>
                <w:lang w:val="nl-NL"/>
              </w:rPr>
              <w:t>154 t</w:t>
            </w:r>
          </w:p>
        </w:tc>
      </w:tr>
      <w:tr w:rsidR="00E01D75" w:rsidTr="00B1573D">
        <w:tc>
          <w:tcPr>
            <w:tcW w:w="1526" w:type="dxa"/>
          </w:tcPr>
          <w:p w:rsidR="00E01D75" w:rsidRDefault="00E01D75" w:rsidP="00E01D75">
            <w:pPr>
              <w:rPr>
                <w:lang w:val="nl-NL"/>
              </w:rPr>
            </w:pPr>
          </w:p>
        </w:tc>
        <w:tc>
          <w:tcPr>
            <w:tcW w:w="5245" w:type="dxa"/>
          </w:tcPr>
          <w:p w:rsidR="00E01D75" w:rsidRDefault="00E01D75" w:rsidP="00E01D75">
            <w:pPr>
              <w:pStyle w:val="ListParagraph"/>
              <w:numPr>
                <w:ilvl w:val="0"/>
                <w:numId w:val="126"/>
              </w:numPr>
              <w:rPr>
                <w:lang w:val="nl-NL"/>
              </w:rPr>
            </w:pPr>
            <w:r>
              <w:rPr>
                <w:lang w:val="nl-NL"/>
              </w:rPr>
              <w:t>KWS-mengsels met chloor</w:t>
            </w:r>
          </w:p>
        </w:tc>
        <w:tc>
          <w:tcPr>
            <w:tcW w:w="992" w:type="dxa"/>
          </w:tcPr>
          <w:p w:rsidR="00E01D75" w:rsidRDefault="00E01D75" w:rsidP="00E01D75">
            <w:pPr>
              <w:jc w:val="right"/>
              <w:rPr>
                <w:lang w:val="nl-NL"/>
              </w:rPr>
            </w:pPr>
            <w:r>
              <w:rPr>
                <w:lang w:val="nl-NL"/>
              </w:rPr>
              <w:t>11 t</w:t>
            </w:r>
          </w:p>
        </w:tc>
      </w:tr>
      <w:tr w:rsidR="00E01D75" w:rsidTr="00B1573D">
        <w:tc>
          <w:tcPr>
            <w:tcW w:w="1526" w:type="dxa"/>
          </w:tcPr>
          <w:p w:rsidR="00E01D75" w:rsidRDefault="00E01D75" w:rsidP="00E01D75">
            <w:pPr>
              <w:rPr>
                <w:lang w:val="nl-NL"/>
              </w:rPr>
            </w:pPr>
          </w:p>
        </w:tc>
        <w:tc>
          <w:tcPr>
            <w:tcW w:w="5245" w:type="dxa"/>
          </w:tcPr>
          <w:p w:rsidR="00E01D75" w:rsidRDefault="00E01D75" w:rsidP="00E01D75">
            <w:pPr>
              <w:pStyle w:val="ListParagraph"/>
              <w:numPr>
                <w:ilvl w:val="0"/>
                <w:numId w:val="126"/>
              </w:numPr>
              <w:rPr>
                <w:lang w:val="nl-NL"/>
              </w:rPr>
            </w:pPr>
            <w:r>
              <w:rPr>
                <w:lang w:val="nl-NL"/>
              </w:rPr>
              <w:t>Reinigingsslib (vloeibaar)</w:t>
            </w:r>
          </w:p>
        </w:tc>
        <w:tc>
          <w:tcPr>
            <w:tcW w:w="992" w:type="dxa"/>
          </w:tcPr>
          <w:p w:rsidR="00E01D75" w:rsidRDefault="00E01D75" w:rsidP="00E01D75">
            <w:pPr>
              <w:jc w:val="right"/>
              <w:rPr>
                <w:lang w:val="nl-NL"/>
              </w:rPr>
            </w:pPr>
            <w:r>
              <w:rPr>
                <w:lang w:val="nl-NL"/>
              </w:rPr>
              <w:t>118 t</w:t>
            </w:r>
          </w:p>
        </w:tc>
      </w:tr>
      <w:tr w:rsidR="00E01D75" w:rsidTr="00B1573D">
        <w:tc>
          <w:tcPr>
            <w:tcW w:w="1526" w:type="dxa"/>
          </w:tcPr>
          <w:p w:rsidR="00E01D75" w:rsidRDefault="00E01D75" w:rsidP="00E01D75">
            <w:pPr>
              <w:rPr>
                <w:lang w:val="nl-NL"/>
              </w:rPr>
            </w:pPr>
          </w:p>
        </w:tc>
        <w:tc>
          <w:tcPr>
            <w:tcW w:w="5245" w:type="dxa"/>
          </w:tcPr>
          <w:p w:rsidR="00E01D75" w:rsidRDefault="00E01D75" w:rsidP="00E01D75">
            <w:pPr>
              <w:pStyle w:val="ListParagraph"/>
              <w:numPr>
                <w:ilvl w:val="0"/>
                <w:numId w:val="126"/>
              </w:numPr>
              <w:rPr>
                <w:lang w:val="nl-NL"/>
              </w:rPr>
            </w:pPr>
            <w:r>
              <w:rPr>
                <w:lang w:val="nl-NL"/>
              </w:rPr>
              <w:t xml:space="preserve">Voorspoelwaters </w:t>
            </w:r>
          </w:p>
        </w:tc>
        <w:tc>
          <w:tcPr>
            <w:tcW w:w="992" w:type="dxa"/>
          </w:tcPr>
          <w:p w:rsidR="00E01D75" w:rsidRDefault="00E01D75" w:rsidP="00E01D75">
            <w:pPr>
              <w:jc w:val="right"/>
              <w:rPr>
                <w:lang w:val="nl-NL"/>
              </w:rPr>
            </w:pPr>
            <w:r>
              <w:rPr>
                <w:lang w:val="nl-NL"/>
              </w:rPr>
              <w:t>118 t</w:t>
            </w:r>
          </w:p>
        </w:tc>
      </w:tr>
      <w:tr w:rsidR="00E01D75" w:rsidTr="00B1573D">
        <w:tc>
          <w:tcPr>
            <w:tcW w:w="1526" w:type="dxa"/>
          </w:tcPr>
          <w:p w:rsidR="00E01D75" w:rsidRDefault="00E01D75" w:rsidP="00E01D75">
            <w:pPr>
              <w:rPr>
                <w:lang w:val="nl-NL"/>
              </w:rPr>
            </w:pPr>
            <w:r>
              <w:rPr>
                <w:lang w:val="nl-NL"/>
              </w:rPr>
              <w:t>2010</w:t>
            </w:r>
          </w:p>
        </w:tc>
        <w:tc>
          <w:tcPr>
            <w:tcW w:w="5245" w:type="dxa"/>
          </w:tcPr>
          <w:p w:rsidR="00E01D75" w:rsidRDefault="00E01D75" w:rsidP="00E01D75">
            <w:pPr>
              <w:pStyle w:val="ListParagraph"/>
              <w:numPr>
                <w:ilvl w:val="0"/>
                <w:numId w:val="126"/>
              </w:numPr>
              <w:rPr>
                <w:lang w:val="nl-NL"/>
              </w:rPr>
            </w:pPr>
            <w:r>
              <w:rPr>
                <w:lang w:val="nl-NL"/>
              </w:rPr>
              <w:t>KWS-mengsels</w:t>
            </w:r>
          </w:p>
        </w:tc>
        <w:tc>
          <w:tcPr>
            <w:tcW w:w="992" w:type="dxa"/>
          </w:tcPr>
          <w:p w:rsidR="00E01D75" w:rsidRDefault="00E01D75" w:rsidP="00E01D75">
            <w:pPr>
              <w:jc w:val="right"/>
              <w:rPr>
                <w:lang w:val="nl-NL"/>
              </w:rPr>
            </w:pPr>
            <w:r>
              <w:rPr>
                <w:lang w:val="nl-NL"/>
              </w:rPr>
              <w:t>115 t</w:t>
            </w:r>
          </w:p>
        </w:tc>
      </w:tr>
      <w:tr w:rsidR="00E01D75" w:rsidTr="00B1573D">
        <w:tc>
          <w:tcPr>
            <w:tcW w:w="1526" w:type="dxa"/>
          </w:tcPr>
          <w:p w:rsidR="00E01D75" w:rsidRDefault="00E01D75" w:rsidP="00E01D75">
            <w:pPr>
              <w:rPr>
                <w:lang w:val="nl-NL"/>
              </w:rPr>
            </w:pPr>
          </w:p>
        </w:tc>
        <w:tc>
          <w:tcPr>
            <w:tcW w:w="5245" w:type="dxa"/>
          </w:tcPr>
          <w:p w:rsidR="00E01D75" w:rsidRDefault="00E01D75" w:rsidP="00E01D75">
            <w:pPr>
              <w:pStyle w:val="ListParagraph"/>
              <w:numPr>
                <w:ilvl w:val="0"/>
                <w:numId w:val="126"/>
              </w:numPr>
              <w:rPr>
                <w:lang w:val="nl-NL"/>
              </w:rPr>
            </w:pPr>
            <w:r>
              <w:rPr>
                <w:lang w:val="nl-NL"/>
              </w:rPr>
              <w:t>KWS-mengsels met chloor</w:t>
            </w:r>
          </w:p>
        </w:tc>
        <w:tc>
          <w:tcPr>
            <w:tcW w:w="992" w:type="dxa"/>
          </w:tcPr>
          <w:p w:rsidR="00E01D75" w:rsidRDefault="00E01D75" w:rsidP="00E01D75">
            <w:pPr>
              <w:jc w:val="right"/>
              <w:rPr>
                <w:lang w:val="nl-NL"/>
              </w:rPr>
            </w:pPr>
            <w:r>
              <w:rPr>
                <w:lang w:val="nl-NL"/>
              </w:rPr>
              <w:t>35 t</w:t>
            </w:r>
          </w:p>
        </w:tc>
      </w:tr>
      <w:tr w:rsidR="00E01D75" w:rsidTr="00B1573D">
        <w:tc>
          <w:tcPr>
            <w:tcW w:w="1526" w:type="dxa"/>
          </w:tcPr>
          <w:p w:rsidR="00E01D75" w:rsidRDefault="00E01D75" w:rsidP="00E01D75">
            <w:pPr>
              <w:rPr>
                <w:lang w:val="nl-NL"/>
              </w:rPr>
            </w:pPr>
          </w:p>
        </w:tc>
        <w:tc>
          <w:tcPr>
            <w:tcW w:w="5245" w:type="dxa"/>
          </w:tcPr>
          <w:p w:rsidR="00E01D75" w:rsidRDefault="00E01D75" w:rsidP="00E01D75">
            <w:pPr>
              <w:pStyle w:val="ListParagraph"/>
              <w:numPr>
                <w:ilvl w:val="0"/>
                <w:numId w:val="126"/>
              </w:numPr>
              <w:rPr>
                <w:lang w:val="nl-NL"/>
              </w:rPr>
            </w:pPr>
            <w:r>
              <w:rPr>
                <w:lang w:val="nl-NL"/>
              </w:rPr>
              <w:t>Reinigingsslib (vloeibaar)</w:t>
            </w:r>
          </w:p>
        </w:tc>
        <w:tc>
          <w:tcPr>
            <w:tcW w:w="992" w:type="dxa"/>
          </w:tcPr>
          <w:p w:rsidR="00E01D75" w:rsidRDefault="00E01D75" w:rsidP="00E01D75">
            <w:pPr>
              <w:jc w:val="right"/>
              <w:rPr>
                <w:lang w:val="nl-NL"/>
              </w:rPr>
            </w:pPr>
            <w:r>
              <w:rPr>
                <w:lang w:val="nl-NL"/>
              </w:rPr>
              <w:t>422 t</w:t>
            </w:r>
          </w:p>
        </w:tc>
      </w:tr>
      <w:tr w:rsidR="00E01D75" w:rsidTr="00B1573D">
        <w:tc>
          <w:tcPr>
            <w:tcW w:w="1526" w:type="dxa"/>
          </w:tcPr>
          <w:p w:rsidR="00E01D75" w:rsidRDefault="00E01D75" w:rsidP="00E01D75">
            <w:pPr>
              <w:rPr>
                <w:lang w:val="nl-NL"/>
              </w:rPr>
            </w:pPr>
          </w:p>
        </w:tc>
        <w:tc>
          <w:tcPr>
            <w:tcW w:w="5245" w:type="dxa"/>
          </w:tcPr>
          <w:p w:rsidR="00E01D75" w:rsidRDefault="00E01D75" w:rsidP="00E01D75">
            <w:pPr>
              <w:pStyle w:val="ListParagraph"/>
              <w:numPr>
                <w:ilvl w:val="0"/>
                <w:numId w:val="126"/>
              </w:numPr>
              <w:rPr>
                <w:lang w:val="nl-NL"/>
              </w:rPr>
            </w:pPr>
            <w:r>
              <w:rPr>
                <w:lang w:val="nl-NL"/>
              </w:rPr>
              <w:t>Spoelwater T507</w:t>
            </w:r>
          </w:p>
        </w:tc>
        <w:tc>
          <w:tcPr>
            <w:tcW w:w="992" w:type="dxa"/>
          </w:tcPr>
          <w:p w:rsidR="00E01D75" w:rsidRDefault="00E01D75" w:rsidP="00E01D75">
            <w:pPr>
              <w:jc w:val="right"/>
              <w:rPr>
                <w:lang w:val="nl-NL"/>
              </w:rPr>
            </w:pPr>
            <w:r>
              <w:rPr>
                <w:lang w:val="nl-NL"/>
              </w:rPr>
              <w:t>151 t</w:t>
            </w:r>
          </w:p>
        </w:tc>
      </w:tr>
      <w:tr w:rsidR="00E01D75" w:rsidTr="00B1573D">
        <w:tc>
          <w:tcPr>
            <w:tcW w:w="1526" w:type="dxa"/>
          </w:tcPr>
          <w:p w:rsidR="00E01D75" w:rsidRDefault="00E01D75" w:rsidP="00E01D75">
            <w:pPr>
              <w:rPr>
                <w:lang w:val="nl-NL"/>
              </w:rPr>
            </w:pPr>
          </w:p>
        </w:tc>
        <w:tc>
          <w:tcPr>
            <w:tcW w:w="5245" w:type="dxa"/>
          </w:tcPr>
          <w:p w:rsidR="00E01D75" w:rsidRDefault="00E01D75" w:rsidP="00E01D75">
            <w:pPr>
              <w:pStyle w:val="ListParagraph"/>
              <w:numPr>
                <w:ilvl w:val="0"/>
                <w:numId w:val="126"/>
              </w:numPr>
              <w:rPr>
                <w:lang w:val="nl-NL"/>
              </w:rPr>
            </w:pPr>
            <w:r>
              <w:rPr>
                <w:lang w:val="nl-NL"/>
              </w:rPr>
              <w:t xml:space="preserve">Voorspoelwaters </w:t>
            </w:r>
          </w:p>
        </w:tc>
        <w:tc>
          <w:tcPr>
            <w:tcW w:w="992" w:type="dxa"/>
          </w:tcPr>
          <w:p w:rsidR="00E01D75" w:rsidRDefault="00E01D75" w:rsidP="00E01D75">
            <w:pPr>
              <w:jc w:val="right"/>
              <w:rPr>
                <w:lang w:val="nl-NL"/>
              </w:rPr>
            </w:pPr>
            <w:r>
              <w:rPr>
                <w:lang w:val="nl-NL"/>
              </w:rPr>
              <w:t>210 t</w:t>
            </w:r>
          </w:p>
        </w:tc>
      </w:tr>
    </w:tbl>
    <w:p w:rsidR="00E01D75" w:rsidRDefault="00E01D75" w:rsidP="00E01D75">
      <w:pPr>
        <w:rPr>
          <w:lang w:val="nl-NL"/>
        </w:rPr>
      </w:pPr>
    </w:p>
    <w:p w:rsidR="007A1F06" w:rsidRDefault="007A1F06" w:rsidP="00AF3F9E">
      <w:pPr>
        <w:rPr>
          <w:lang w:val="nl-NL"/>
        </w:rPr>
      </w:pPr>
      <w:r>
        <w:rPr>
          <w:lang w:val="nl-NL"/>
        </w:rPr>
        <w:br w:type="textWrapping" w:clear="all"/>
      </w:r>
    </w:p>
    <w:p w:rsidR="00617415" w:rsidRDefault="00F16CE5">
      <w:pPr>
        <w:pStyle w:val="ListParagraph"/>
        <w:numPr>
          <w:ilvl w:val="0"/>
          <w:numId w:val="88"/>
        </w:numPr>
        <w:rPr>
          <w:lang w:val="nl-NL"/>
        </w:rPr>
      </w:pPr>
      <w:r w:rsidRPr="00AC0D09">
        <w:rPr>
          <w:lang w:val="nl-NL"/>
        </w:rPr>
        <w:t>Regeneratie voorbehandelingsinstallaties leidingwater</w:t>
      </w:r>
    </w:p>
    <w:p w:rsidR="00617415" w:rsidRDefault="00F16CE5">
      <w:pPr>
        <w:rPr>
          <w:lang w:val="nl-NL"/>
        </w:rPr>
      </w:pPr>
      <w:r w:rsidRPr="00BF1823">
        <w:t xml:space="preserve">Leidingwater dat aangewend wordt voor de stoomproductie wordt </w:t>
      </w:r>
      <w:r>
        <w:t>onthard</w:t>
      </w:r>
      <w:r w:rsidRPr="00BF1823">
        <w:t xml:space="preserve"> m.b.v. ionenwisselaars.</w:t>
      </w:r>
      <w:r w:rsidRPr="00BF1823">
        <w:rPr>
          <w:lang w:val="nl-NL"/>
        </w:rPr>
        <w:t xml:space="preserve"> Deze ionenwisselaars dienen op regelmatige tijdstippen geregenereerd te worden. Het afvalwater dat hierbij ontstaat wordt </w:t>
      </w:r>
      <w:r>
        <w:rPr>
          <w:lang w:val="nl-NL"/>
        </w:rPr>
        <w:t>opgevangen en verpompt</w:t>
      </w:r>
      <w:r w:rsidRPr="00BF1823">
        <w:rPr>
          <w:lang w:val="nl-NL"/>
        </w:rPr>
        <w:t xml:space="preserve"> naar de buffertanks van de waterzuivering.</w:t>
      </w:r>
      <w:r w:rsidR="001D7003">
        <w:rPr>
          <w:lang w:val="nl-NL"/>
        </w:rPr>
        <w:t xml:space="preserve"> De hoeveelheid is echter verwaarloosbaa</w:t>
      </w:r>
      <w:r w:rsidR="00E01D75">
        <w:rPr>
          <w:lang w:val="nl-NL"/>
        </w:rPr>
        <w:t>r en gaat samen met de spui van de stoomketel naar de WZI.</w:t>
      </w:r>
    </w:p>
    <w:p w:rsidR="00617415" w:rsidRDefault="00F16CE5">
      <w:pPr>
        <w:pStyle w:val="ListParagraph"/>
        <w:numPr>
          <w:ilvl w:val="0"/>
          <w:numId w:val="88"/>
        </w:numPr>
        <w:outlineLvl w:val="0"/>
        <w:rPr>
          <w:lang w:val="nl-NL"/>
        </w:rPr>
      </w:pPr>
      <w:r w:rsidRPr="00AC0D09">
        <w:rPr>
          <w:lang w:val="nl-NL"/>
        </w:rPr>
        <w:t>Spui stoomketel</w:t>
      </w:r>
    </w:p>
    <w:p w:rsidR="00617415" w:rsidRDefault="00F16CE5">
      <w:pPr>
        <w:rPr>
          <w:lang w:val="nl-NL"/>
        </w:rPr>
      </w:pPr>
      <w:r>
        <w:rPr>
          <w:lang w:val="nl-NL"/>
        </w:rPr>
        <w:t>Ten gevolge van verdampingsverliezen treedt er een acucumulatie van zouten in op in het water gebruikt voor stoompr</w:t>
      </w:r>
      <w:r w:rsidR="003E50C4">
        <w:rPr>
          <w:lang w:val="nl-NL"/>
        </w:rPr>
        <w:t>o</w:t>
      </w:r>
      <w:r>
        <w:rPr>
          <w:lang w:val="nl-NL"/>
        </w:rPr>
        <w:t xml:space="preserve">ductie. Om gehalte aan zouten onder controle te houden, wordt er periodiek water gespuid uit het stoomcircuit. Het spuiwater wordt opgevangen en verpompt </w:t>
      </w:r>
      <w:r w:rsidR="00B872DA" w:rsidRPr="00BF1823">
        <w:rPr>
          <w:lang w:val="nl-NL"/>
        </w:rPr>
        <w:t xml:space="preserve">naar de buffertanks van de </w:t>
      </w:r>
      <w:r w:rsidR="00E01D75">
        <w:rPr>
          <w:lang w:val="nl-NL"/>
        </w:rPr>
        <w:t>WZI</w:t>
      </w:r>
      <w:r w:rsidR="00B872DA" w:rsidRPr="00BF1823">
        <w:rPr>
          <w:lang w:val="nl-NL"/>
        </w:rPr>
        <w:t>.</w:t>
      </w:r>
    </w:p>
    <w:p w:rsidR="00F077DA" w:rsidRDefault="00F16CE5" w:rsidP="00F077DA">
      <w:pPr>
        <w:pStyle w:val="ListParagraph"/>
        <w:keepNext/>
        <w:keepLines/>
        <w:numPr>
          <w:ilvl w:val="0"/>
          <w:numId w:val="88"/>
        </w:numPr>
        <w:rPr>
          <w:lang w:val="nl-NL"/>
        </w:rPr>
      </w:pPr>
      <w:r w:rsidRPr="00AC0D09">
        <w:rPr>
          <w:lang w:val="nl-NL"/>
        </w:rPr>
        <w:t>(Potentieel) verontreinigd hemelwater</w:t>
      </w:r>
      <w:r w:rsidR="00BD332B">
        <w:rPr>
          <w:rStyle w:val="FootnoteReference"/>
          <w:lang w:val="nl-NL"/>
        </w:rPr>
        <w:footnoteReference w:id="25"/>
      </w:r>
    </w:p>
    <w:p w:rsidR="00F077DA" w:rsidRDefault="003E38A4" w:rsidP="00F077DA">
      <w:pPr>
        <w:keepNext/>
      </w:pPr>
      <w:r>
        <w:t xml:space="preserve">Hemelwater, dat op de terminal op de verharde delen is terecht gekomen en dat mogelijks met verontreiniging in contact gekomen is tijdens het laden en lossen van diverse chemicaliën/olieproducten wordt opgevangen in een gotenstelsel en </w:t>
      </w:r>
      <w:r w:rsidR="000D2C2E">
        <w:t>via API-putten</w:t>
      </w:r>
      <w:r w:rsidR="000D2C2E">
        <w:rPr>
          <w:rStyle w:val="FootnoteReference"/>
        </w:rPr>
        <w:footnoteReference w:id="26"/>
      </w:r>
      <w:r w:rsidR="000D2C2E">
        <w:t xml:space="preserve"> </w:t>
      </w:r>
      <w:r>
        <w:t xml:space="preserve">afgevoerd naar de </w:t>
      </w:r>
      <w:r w:rsidR="008E20E7">
        <w:t xml:space="preserve">buffertanks van de </w:t>
      </w:r>
      <w:r>
        <w:t>waterzuivering.</w:t>
      </w:r>
    </w:p>
    <w:p w:rsidR="00F077DA" w:rsidRDefault="00095A69" w:rsidP="00F077DA">
      <w:pPr>
        <w:keepNext/>
      </w:pPr>
      <w:r>
        <w:t xml:space="preserve">Ook het hemelwater dat wordt opgevangen binnen de inkuipingen van de tankenparken wordt </w:t>
      </w:r>
      <w:r w:rsidR="000D2C2E">
        <w:t xml:space="preserve">via API-putten </w:t>
      </w:r>
      <w:r>
        <w:t xml:space="preserve">integraal afgevoerd naar de </w:t>
      </w:r>
      <w:r w:rsidR="00E01D75">
        <w:rPr>
          <w:lang w:val="nl-NL"/>
        </w:rPr>
        <w:t>WZI</w:t>
      </w:r>
      <w:r>
        <w:t>.</w:t>
      </w:r>
    </w:p>
    <w:p w:rsidR="00F077DA" w:rsidRDefault="006536FF" w:rsidP="00F077DA">
      <w:pPr>
        <w:keepNext/>
      </w:pPr>
      <w:r>
        <w:t xml:space="preserve">De totale verharde oppervlakte die afwatert naar de WZI bedraagt </w:t>
      </w:r>
      <w:r>
        <w:rPr>
          <w:rFonts w:cs="Calibri"/>
        </w:rPr>
        <w:t>±</w:t>
      </w:r>
      <w:r>
        <w:t xml:space="preserve"> 9 ha.</w:t>
      </w:r>
    </w:p>
    <w:p w:rsidR="003E38A4" w:rsidRPr="00AC0D09" w:rsidRDefault="003E38A4" w:rsidP="00AC0D09">
      <w:pPr>
        <w:pStyle w:val="ListParagraph"/>
        <w:numPr>
          <w:ilvl w:val="0"/>
          <w:numId w:val="88"/>
        </w:numPr>
        <w:rPr>
          <w:lang w:val="nl-NL"/>
        </w:rPr>
      </w:pPr>
      <w:r w:rsidRPr="00AC0D09">
        <w:rPr>
          <w:lang w:val="nl-NL"/>
        </w:rPr>
        <w:t>Drainage water</w:t>
      </w:r>
    </w:p>
    <w:p w:rsidR="003E38A4" w:rsidRDefault="003E38A4" w:rsidP="00AF3F9E">
      <w:pPr>
        <w:rPr>
          <w:lang w:val="nl-NL"/>
        </w:rPr>
      </w:pPr>
      <w:r>
        <w:rPr>
          <w:lang w:val="nl-NL"/>
        </w:rPr>
        <w:t>Het betreft hier grondwater dat wordt opgepompt in het kader van de beheersing van de on site aanwezige grondwaterverontreiniging (zie ook hoger) en dat wordt afgevoerd naar de waterzuivering.</w:t>
      </w:r>
    </w:p>
    <w:p w:rsidR="003E38A4" w:rsidRPr="00AC0D09" w:rsidRDefault="003E38A4" w:rsidP="00AC0D09">
      <w:pPr>
        <w:pStyle w:val="ListParagraph"/>
        <w:numPr>
          <w:ilvl w:val="0"/>
          <w:numId w:val="88"/>
        </w:numPr>
        <w:rPr>
          <w:lang w:val="nl-NL"/>
        </w:rPr>
      </w:pPr>
      <w:r w:rsidRPr="00AC0D09">
        <w:rPr>
          <w:lang w:val="nl-NL"/>
        </w:rPr>
        <w:lastRenderedPageBreak/>
        <w:t>Overige</w:t>
      </w:r>
    </w:p>
    <w:p w:rsidR="003E38A4" w:rsidRDefault="003E38A4" w:rsidP="00AF3F9E">
      <w:pPr>
        <w:rPr>
          <w:lang w:val="nl-NL"/>
        </w:rPr>
      </w:pPr>
      <w:r>
        <w:rPr>
          <w:lang w:val="nl-NL"/>
        </w:rPr>
        <w:t xml:space="preserve">Overige deelstromen van bedrijfsafvalwater bestaan uit afvalwater afkomstig van het afspuiten (reinigen) van laad- en loszones en andere reinigingsactiviteiten op de terminal. Deze afvalwaterstromen worden eveneens afgevoerd naar de </w:t>
      </w:r>
      <w:r w:rsidR="008E20E7">
        <w:rPr>
          <w:lang w:val="nl-NL"/>
        </w:rPr>
        <w:t xml:space="preserve">buffertanks van de </w:t>
      </w:r>
      <w:r>
        <w:rPr>
          <w:lang w:val="nl-NL"/>
        </w:rPr>
        <w:t xml:space="preserve">waterzuivering. </w:t>
      </w:r>
    </w:p>
    <w:p w:rsidR="008E20E7" w:rsidRDefault="008E20E7" w:rsidP="004F40A7">
      <w:pPr>
        <w:pStyle w:val="Heading4"/>
      </w:pPr>
      <w:bookmarkStart w:id="467" w:name="_Toc312069228"/>
      <w:r>
        <w:t>Opvang en behandeling</w:t>
      </w:r>
      <w:bookmarkEnd w:id="467"/>
    </w:p>
    <w:p w:rsidR="008E20E7" w:rsidRPr="00C74D1E" w:rsidRDefault="00CB3B91" w:rsidP="00AF3F9E">
      <w:pPr>
        <w:rPr>
          <w:lang w:val="nl-NL"/>
        </w:rPr>
      </w:pPr>
      <w:r w:rsidRPr="00CB3B91">
        <w:t>Zoals hoger aangegeven worden de verschillende afvalwaterstromen hetzij afgevoerd naar (hydraulische) buffertanks</w:t>
      </w:r>
      <w:r w:rsidR="00B10B54">
        <w:rPr>
          <w:rStyle w:val="FootnoteReference"/>
        </w:rPr>
        <w:footnoteReference w:id="27"/>
      </w:r>
      <w:r w:rsidRPr="00CB3B91">
        <w:t xml:space="preserve"> en van hieruit verpompt naar de waterzuivering.</w:t>
      </w:r>
    </w:p>
    <w:p w:rsidR="00724F6C" w:rsidRPr="00C74D1E" w:rsidRDefault="00CB3B91" w:rsidP="00724F6C">
      <w:r w:rsidRPr="00CB3B91">
        <w:t xml:space="preserve">Vanuit de buffertanks wordt het water </w:t>
      </w:r>
      <w:r w:rsidR="00A34A14" w:rsidRPr="00A34A14">
        <w:t xml:space="preserve">continu </w:t>
      </w:r>
      <w:r w:rsidRPr="00CB3B91">
        <w:t xml:space="preserve">gevoed aan het beluchtingsbekken </w:t>
      </w:r>
      <w:r w:rsidRPr="00CB3B91">
        <w:rPr>
          <w:rStyle w:val="FootnoteReference"/>
        </w:rPr>
        <w:footnoteReference w:id="28"/>
      </w:r>
      <w:r w:rsidRPr="00CB3B91">
        <w:t xml:space="preserve"> voor de verwijdering van organische stoffen</w:t>
      </w:r>
      <w:r w:rsidRPr="00CB3B91">
        <w:rPr>
          <w:rStyle w:val="FootnoteReference"/>
        </w:rPr>
        <w:footnoteReference w:id="29"/>
      </w:r>
      <w:r w:rsidRPr="00CB3B91">
        <w:t>. Het verwijderingsrendement m.b.t. organische stoffen (uitgedrukt als CZV)  bedraagt meer dan 95%.</w:t>
      </w:r>
    </w:p>
    <w:p w:rsidR="00724F6C" w:rsidRPr="00C74D1E" w:rsidRDefault="00CB3B91" w:rsidP="00724F6C">
      <w:r w:rsidRPr="00CB3B91">
        <w:t>Vanuit de aërobe reactor komt  via een overgootstort een mengeling van afvalwater met slib terecht in het bezinkingsbekken. Retourslib en spuislib gaan respectievelijk terug naar het beluchtingsbekken en naar de indikking. Het ingedikte spuislib wordt extern afgevoerd.</w:t>
      </w:r>
    </w:p>
    <w:p w:rsidR="00724F6C" w:rsidRPr="00C74D1E" w:rsidRDefault="00CB3B91" w:rsidP="00724F6C">
      <w:r w:rsidRPr="00CB3B91">
        <w:t>Via een tweede overstort wordt het gezuiverde afvalwater vanuit het bezinkingsbekken via een venturiegoot geloosd naar het Industriedok.</w:t>
      </w:r>
    </w:p>
    <w:p w:rsidR="00BA2521" w:rsidRDefault="00CB3B91" w:rsidP="00AF3F9E">
      <w:r w:rsidRPr="00CB3B91">
        <w:t>Op regelmatige tijdstippen wordt er een staal van het geloosde effluent genomen en gecontroleerd op de parameters CZV</w:t>
      </w:r>
      <w:r w:rsidR="00E01D75">
        <w:t>, BZV</w:t>
      </w:r>
      <w:r w:rsidR="00E01D75" w:rsidRPr="00CB3B91">
        <w:t>,</w:t>
      </w:r>
      <w:r w:rsidR="00E01D75">
        <w:t xml:space="preserve"> totaal stikstof en</w:t>
      </w:r>
      <w:r w:rsidR="00E01D75" w:rsidRPr="00CB3B91">
        <w:t xml:space="preserve"> </w:t>
      </w:r>
      <w:r w:rsidRPr="00CB3B91">
        <w:t>totaal fosfor, zijnde parameters die indicatief zijn voor de goede werking van de zuivering.</w:t>
      </w:r>
    </w:p>
    <w:p w:rsidR="008C0859" w:rsidRDefault="008C0859" w:rsidP="004F40A7">
      <w:pPr>
        <w:pStyle w:val="Heading3"/>
      </w:pPr>
      <w:bookmarkStart w:id="468" w:name="_Toc312069229"/>
      <w:r>
        <w:t>Afvalwater sanitaire installaties</w:t>
      </w:r>
      <w:bookmarkEnd w:id="468"/>
    </w:p>
    <w:p w:rsidR="004058EA" w:rsidRDefault="00B762EC" w:rsidP="00AF3F9E">
      <w:r w:rsidRPr="00B762EC">
        <w:t>Het normale huisafvalwater is afkomstig van de sanitaire ins</w:t>
      </w:r>
      <w:r>
        <w:t>ta</w:t>
      </w:r>
      <w:r w:rsidRPr="00B762EC">
        <w:t>llaties en wordt</w:t>
      </w:r>
      <w:r>
        <w:t xml:space="preserve"> opgevangen in een septische put, waarna het geloosd wordt in de openbare riolering </w:t>
      </w:r>
      <w:r w:rsidRPr="00B762EC">
        <w:t>van de Industrieweg, dewelke iets verder uitmondt in het Industriedok.</w:t>
      </w:r>
      <w:r w:rsidR="006536FF">
        <w:t xml:space="preserve"> </w:t>
      </w:r>
    </w:p>
    <w:p w:rsidR="00095A69" w:rsidRDefault="00095A69" w:rsidP="004F40A7">
      <w:pPr>
        <w:pStyle w:val="Heading3"/>
      </w:pPr>
      <w:bookmarkStart w:id="469" w:name="_Toc312069230"/>
      <w:r>
        <w:t>Niet verontreinigd hemelwater</w:t>
      </w:r>
      <w:bookmarkEnd w:id="469"/>
    </w:p>
    <w:p w:rsidR="00095A69" w:rsidRDefault="00095A69" w:rsidP="00AF3F9E">
      <w:r>
        <w:t>Regenwater dat met geen enkele verontreiniging van de terminal in contact is geweest (vb. van dakoppervlakken en parkings) wordt rechtstreeks geloosd in het Industriedok, via de aanwezige riolering in het Havengebied.</w:t>
      </w:r>
    </w:p>
    <w:p w:rsidR="006536FF" w:rsidRDefault="006536FF" w:rsidP="00AF3F9E">
      <w:r>
        <w:t xml:space="preserve">De verharde oppervlakte die rechtstreeks afwatert naar het industriedok bedraagt ca. </w:t>
      </w:r>
      <w:r w:rsidR="00086536">
        <w:t>10</w:t>
      </w:r>
      <w:r>
        <w:t>0 are.</w:t>
      </w:r>
    </w:p>
    <w:p w:rsidR="00486B57" w:rsidRDefault="004058EA" w:rsidP="004F40A7">
      <w:pPr>
        <w:pStyle w:val="Heading3"/>
      </w:pPr>
      <w:bookmarkStart w:id="470" w:name="_Toc312069231"/>
      <w:r>
        <w:t>Oppervlaktewater gebruikt voor druktesten</w:t>
      </w:r>
      <w:bookmarkEnd w:id="470"/>
    </w:p>
    <w:p w:rsidR="004058EA" w:rsidRPr="004058EA" w:rsidRDefault="004058EA" w:rsidP="00AF3F9E">
      <w:r>
        <w:t>Zoals hoger aangegeven wordt een deel van het opgepompte dokwater aangewend voor de uitvoering van druktesten op gereinigde / herstelde tanks</w:t>
      </w:r>
      <w:r w:rsidR="00195660">
        <w:t>, uitgezonderd Inox tanks</w:t>
      </w:r>
      <w:r>
        <w:t xml:space="preserve">. </w:t>
      </w:r>
      <w:r w:rsidR="00195660">
        <w:t xml:space="preserve">(Voor inox tanks woren de druktesten met leidingwater uitgevoerd.) </w:t>
      </w:r>
      <w:r>
        <w:t>Vermits dit water met geen enkele verontreiniging in contact is geweest, wordt dit water – na melding aan de bevoegde diensten – rechtstreeks geloosd in het Industriedok.</w:t>
      </w:r>
      <w:r w:rsidR="00B872DA">
        <w:t xml:space="preserve"> </w:t>
      </w:r>
    </w:p>
    <w:p w:rsidR="00397A28" w:rsidRDefault="00C06F77" w:rsidP="00E954DD">
      <w:pPr>
        <w:pStyle w:val="Heading3"/>
        <w:widowControl/>
      </w:pPr>
      <w:bookmarkStart w:id="471" w:name="_Toc312069232"/>
      <w:r>
        <w:lastRenderedPageBreak/>
        <w:t>Samenvattende waterbalans</w:t>
      </w:r>
      <w:bookmarkEnd w:id="471"/>
    </w:p>
    <w:p w:rsidR="00C06F77" w:rsidRPr="00C06F77" w:rsidRDefault="00C06F77" w:rsidP="00E954DD">
      <w:pPr>
        <w:keepNext/>
      </w:pPr>
      <w:r>
        <w:t xml:space="preserve">In onderstaande tabel wordt een samenvattende waterbalans weergegeven. </w:t>
      </w:r>
    </w:p>
    <w:p w:rsidR="006A007C" w:rsidRDefault="00763805" w:rsidP="00E954DD">
      <w:pPr>
        <w:pStyle w:val="tabel0"/>
      </w:pPr>
      <w:r w:rsidRPr="00C3665E">
        <w:t>Tabe</w:t>
      </w:r>
      <w:r w:rsidR="005F03D9">
        <w:t xml:space="preserve">l </w:t>
      </w:r>
      <w:r w:rsidR="00C325A0">
        <w:fldChar w:fldCharType="begin"/>
      </w:r>
      <w:r w:rsidR="005F03D9">
        <w:instrText xml:space="preserve"> REF t_project_waterbalans \h </w:instrText>
      </w:r>
      <w:r w:rsidR="00C325A0">
        <w:fldChar w:fldCharType="separate"/>
      </w:r>
      <w:r w:rsidR="008102D8">
        <w:t>IV.6</w:t>
      </w:r>
      <w:r w:rsidR="00C325A0">
        <w:fldChar w:fldCharType="end"/>
      </w:r>
      <w:r w:rsidR="005F03D9">
        <w:t xml:space="preserve">  </w:t>
      </w:r>
      <w:r w:rsidR="00EC7DC6">
        <w:t>Samenvattende waterbalans</w:t>
      </w:r>
    </w:p>
    <w:tbl>
      <w:tblPr>
        <w:tblW w:w="8894" w:type="dxa"/>
        <w:tblInd w:w="55" w:type="dxa"/>
        <w:tblCellMar>
          <w:left w:w="70" w:type="dxa"/>
          <w:right w:w="70" w:type="dxa"/>
        </w:tblCellMar>
        <w:tblLook w:val="04A0"/>
      </w:tblPr>
      <w:tblGrid>
        <w:gridCol w:w="299"/>
        <w:gridCol w:w="2640"/>
        <w:gridCol w:w="1471"/>
        <w:gridCol w:w="1098"/>
        <w:gridCol w:w="1144"/>
        <w:gridCol w:w="1098"/>
        <w:gridCol w:w="1144"/>
      </w:tblGrid>
      <w:tr w:rsidR="00C02282" w:rsidRPr="00C02282" w:rsidTr="00697EA0">
        <w:trPr>
          <w:trHeight w:val="255"/>
        </w:trPr>
        <w:tc>
          <w:tcPr>
            <w:tcW w:w="299" w:type="dxa"/>
            <w:tcBorders>
              <w:top w:val="single" w:sz="4" w:space="0" w:color="auto"/>
              <w:left w:val="single" w:sz="4" w:space="0" w:color="auto"/>
              <w:bottom w:val="nil"/>
              <w:right w:val="nil"/>
            </w:tcBorders>
            <w:shd w:val="clear" w:color="auto" w:fill="auto"/>
            <w:noWrap/>
            <w:vAlign w:val="bottom"/>
            <w:hideMark/>
          </w:tcPr>
          <w:p w:rsidR="00C02282" w:rsidRPr="00C02282" w:rsidRDefault="00C02282" w:rsidP="00E954DD">
            <w:pPr>
              <w:pStyle w:val="normaltabel"/>
              <w:keepNext/>
              <w:widowControl/>
            </w:pPr>
          </w:p>
        </w:tc>
        <w:tc>
          <w:tcPr>
            <w:tcW w:w="2640" w:type="dxa"/>
            <w:tcBorders>
              <w:top w:val="single" w:sz="4" w:space="0" w:color="auto"/>
              <w:left w:val="nil"/>
              <w:bottom w:val="nil"/>
              <w:right w:val="single" w:sz="4" w:space="0" w:color="auto"/>
            </w:tcBorders>
            <w:shd w:val="clear" w:color="auto" w:fill="auto"/>
            <w:noWrap/>
            <w:vAlign w:val="bottom"/>
            <w:hideMark/>
          </w:tcPr>
          <w:p w:rsidR="00C02282" w:rsidRPr="00C02282" w:rsidRDefault="00C02282" w:rsidP="00E954DD">
            <w:pPr>
              <w:pStyle w:val="normaltabel"/>
              <w:keepNext/>
              <w:widowControl/>
            </w:pPr>
          </w:p>
        </w:tc>
        <w:tc>
          <w:tcPr>
            <w:tcW w:w="1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282" w:rsidRPr="00C02282" w:rsidRDefault="00192404" w:rsidP="00E954DD">
            <w:pPr>
              <w:pStyle w:val="normaltabel"/>
              <w:keepNext/>
              <w:widowControl/>
            </w:pPr>
            <w:r>
              <w:t>bepalingswijze</w:t>
            </w:r>
            <w:r w:rsidR="00C02282">
              <w:br/>
            </w:r>
            <w:r w:rsidR="00C02282" w:rsidRPr="00C02282">
              <w:t>M = meting</w:t>
            </w:r>
            <w:r w:rsidR="00C02282" w:rsidRPr="00C02282">
              <w:br/>
              <w:t>B = berekening</w:t>
            </w:r>
          </w:p>
        </w:tc>
        <w:tc>
          <w:tcPr>
            <w:tcW w:w="22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282" w:rsidRPr="00C02282" w:rsidRDefault="00C02282" w:rsidP="00E954DD">
            <w:pPr>
              <w:pStyle w:val="normaltabel"/>
              <w:keepNext/>
              <w:widowControl/>
            </w:pPr>
            <w:r w:rsidRPr="00C02282">
              <w:t>2008</w:t>
            </w:r>
          </w:p>
        </w:tc>
        <w:tc>
          <w:tcPr>
            <w:tcW w:w="22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282" w:rsidRPr="00C02282" w:rsidRDefault="00C02282" w:rsidP="00E954DD">
            <w:pPr>
              <w:pStyle w:val="normaltabel"/>
              <w:keepNext/>
              <w:widowControl/>
            </w:pPr>
            <w:r w:rsidRPr="00C02282">
              <w:t>2009</w:t>
            </w:r>
          </w:p>
        </w:tc>
      </w:tr>
      <w:tr w:rsidR="00C02282" w:rsidRPr="00C02282" w:rsidTr="00697EA0">
        <w:trPr>
          <w:trHeight w:val="254"/>
        </w:trPr>
        <w:tc>
          <w:tcPr>
            <w:tcW w:w="299" w:type="dxa"/>
            <w:tcBorders>
              <w:top w:val="nil"/>
              <w:left w:val="single" w:sz="4" w:space="0" w:color="auto"/>
              <w:bottom w:val="nil"/>
              <w:right w:val="nil"/>
            </w:tcBorders>
            <w:shd w:val="clear" w:color="auto" w:fill="auto"/>
            <w:noWrap/>
            <w:vAlign w:val="bottom"/>
            <w:hideMark/>
          </w:tcPr>
          <w:p w:rsidR="00C02282" w:rsidRPr="00C02282" w:rsidRDefault="00C02282" w:rsidP="00E954DD">
            <w:pPr>
              <w:pStyle w:val="normaltabel"/>
              <w:keepNext/>
              <w:widowControl/>
            </w:pPr>
          </w:p>
        </w:tc>
        <w:tc>
          <w:tcPr>
            <w:tcW w:w="2640" w:type="dxa"/>
            <w:tcBorders>
              <w:top w:val="nil"/>
              <w:left w:val="nil"/>
              <w:bottom w:val="nil"/>
              <w:right w:val="single" w:sz="4" w:space="0" w:color="auto"/>
            </w:tcBorders>
            <w:shd w:val="clear" w:color="auto" w:fill="auto"/>
            <w:noWrap/>
            <w:vAlign w:val="bottom"/>
            <w:hideMark/>
          </w:tcPr>
          <w:p w:rsidR="00C02282" w:rsidRPr="00C02282" w:rsidRDefault="00C02282" w:rsidP="00E954DD">
            <w:pPr>
              <w:pStyle w:val="normaltabel"/>
              <w:keepNext/>
              <w:widowControl/>
            </w:pPr>
          </w:p>
        </w:tc>
        <w:tc>
          <w:tcPr>
            <w:tcW w:w="147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282" w:rsidRPr="00C02282" w:rsidRDefault="00C02282" w:rsidP="00E954DD">
            <w:pPr>
              <w:pStyle w:val="normaltabel"/>
              <w:keepNext/>
              <w:widowControl/>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282" w:rsidRPr="00C02282" w:rsidRDefault="00C02282" w:rsidP="00E954DD">
            <w:pPr>
              <w:pStyle w:val="normaltabel"/>
              <w:keepNext/>
              <w:widowControl/>
            </w:pPr>
            <w:r w:rsidRPr="00C02282">
              <w:t>IN</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282" w:rsidRPr="00C02282" w:rsidRDefault="00C02282" w:rsidP="00E954DD">
            <w:pPr>
              <w:pStyle w:val="normaltabel"/>
              <w:keepNext/>
              <w:widowControl/>
            </w:pPr>
            <w:r w:rsidRPr="00C02282">
              <w:t>UIT</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282" w:rsidRPr="00C02282" w:rsidRDefault="00C02282" w:rsidP="00E954DD">
            <w:pPr>
              <w:pStyle w:val="normaltabel"/>
              <w:keepNext/>
              <w:widowControl/>
            </w:pPr>
            <w:r w:rsidRPr="00C02282">
              <w:t>IN</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282" w:rsidRPr="00C02282" w:rsidRDefault="00C02282" w:rsidP="00E954DD">
            <w:pPr>
              <w:pStyle w:val="normaltabel"/>
              <w:keepNext/>
              <w:widowControl/>
            </w:pPr>
            <w:r w:rsidRPr="00C02282">
              <w:t>UIT</w:t>
            </w:r>
          </w:p>
        </w:tc>
      </w:tr>
      <w:tr w:rsidR="00C02282" w:rsidRPr="00C02282" w:rsidTr="00697EA0">
        <w:trPr>
          <w:trHeight w:val="255"/>
        </w:trPr>
        <w:tc>
          <w:tcPr>
            <w:tcW w:w="299" w:type="dxa"/>
            <w:tcBorders>
              <w:top w:val="nil"/>
              <w:left w:val="single" w:sz="4" w:space="0" w:color="auto"/>
              <w:bottom w:val="single" w:sz="4" w:space="0" w:color="auto"/>
              <w:right w:val="nil"/>
            </w:tcBorders>
            <w:shd w:val="clear" w:color="auto" w:fill="auto"/>
            <w:noWrap/>
            <w:vAlign w:val="bottom"/>
            <w:hideMark/>
          </w:tcPr>
          <w:p w:rsidR="00C02282" w:rsidRPr="00C02282" w:rsidRDefault="00C02282" w:rsidP="00E954DD">
            <w:pPr>
              <w:pStyle w:val="normaltabel"/>
              <w:keepNext/>
              <w:widowControl/>
            </w:pPr>
          </w:p>
        </w:tc>
        <w:tc>
          <w:tcPr>
            <w:tcW w:w="2640" w:type="dxa"/>
            <w:tcBorders>
              <w:top w:val="nil"/>
              <w:left w:val="nil"/>
              <w:bottom w:val="single" w:sz="4" w:space="0" w:color="auto"/>
              <w:right w:val="single" w:sz="4" w:space="0" w:color="auto"/>
            </w:tcBorders>
            <w:shd w:val="clear" w:color="auto" w:fill="auto"/>
            <w:noWrap/>
            <w:vAlign w:val="bottom"/>
            <w:hideMark/>
          </w:tcPr>
          <w:p w:rsidR="00C02282" w:rsidRPr="00C02282" w:rsidRDefault="00C02282" w:rsidP="00E954DD">
            <w:pPr>
              <w:pStyle w:val="normaltabel"/>
              <w:keepNext/>
              <w:widowControl/>
            </w:pPr>
          </w:p>
        </w:tc>
        <w:tc>
          <w:tcPr>
            <w:tcW w:w="147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282" w:rsidRPr="00C02282" w:rsidRDefault="00C02282" w:rsidP="00E954DD">
            <w:pPr>
              <w:pStyle w:val="normaltabel"/>
              <w:keepNext/>
              <w:widowControl/>
            </w:pPr>
          </w:p>
        </w:tc>
        <w:tc>
          <w:tcPr>
            <w:tcW w:w="44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282" w:rsidRPr="00C02282" w:rsidRDefault="00C02282" w:rsidP="00E954DD">
            <w:pPr>
              <w:pStyle w:val="normaltabel"/>
              <w:keepNext/>
              <w:widowControl/>
              <w:jc w:val="center"/>
            </w:pPr>
            <w:r>
              <w:t>m³/jaar</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1</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leidingwater</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M</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29</w:t>
            </w:r>
            <w:r>
              <w:t>.</w:t>
            </w:r>
            <w:r w:rsidRPr="00C02282">
              <w:t>444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25</w:t>
            </w:r>
            <w:r>
              <w:t>.</w:t>
            </w:r>
            <w:r w:rsidRPr="00C02282">
              <w:t>416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2</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oppervlaktewater</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M</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rFonts w:cs="Calibri"/>
                <w:color w:val="000000"/>
                <w:szCs w:val="18"/>
              </w:rPr>
              <w:t>19.341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4</w:t>
            </w:r>
            <w:r>
              <w:t>.</w:t>
            </w:r>
            <w:r w:rsidRPr="00C02282">
              <w:t>233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3</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drainagewater</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M</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656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492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4</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hemelwater</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74</w:t>
            </w:r>
            <w:r>
              <w:t>.</w:t>
            </w:r>
            <w:r w:rsidRPr="00C02282">
              <w:t>222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72</w:t>
            </w:r>
            <w:r>
              <w:t>.</w:t>
            </w:r>
            <w:r w:rsidRPr="00C02282">
              <w:t>767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5</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bedrijfsafvalwater</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M</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92</w:t>
            </w:r>
            <w:r>
              <w:t>.</w:t>
            </w:r>
            <w:r w:rsidRPr="00C02282">
              <w:t>820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77</w:t>
            </w:r>
            <w:r>
              <w:t>.</w:t>
            </w:r>
            <w:r w:rsidRPr="00C02282">
              <w:t>159</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2A0CF4">
            <w:pPr>
              <w:pStyle w:val="normaltabel"/>
              <w:keepNext/>
              <w:widowControl/>
              <w:numPr>
                <w:ilvl w:val="0"/>
                <w:numId w:val="125"/>
              </w:numPr>
            </w:pPr>
            <w:r>
              <w:t>Spoelwater opslagtanks</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t>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rFonts w:cs="Calibri"/>
                <w:color w:val="000000"/>
                <w:szCs w:val="18"/>
              </w:rPr>
              <w:t>677</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rFonts w:cs="Calibri"/>
                <w:color w:val="000000"/>
                <w:szCs w:val="18"/>
              </w:rPr>
              <w:t>477</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2A0CF4" w:rsidRDefault="00697EA0" w:rsidP="002A0CF4">
            <w:pPr>
              <w:pStyle w:val="ListParagraph"/>
              <w:numPr>
                <w:ilvl w:val="0"/>
                <w:numId w:val="88"/>
              </w:numPr>
              <w:outlineLvl w:val="0"/>
              <w:rPr>
                <w:lang w:val="nl-NL"/>
              </w:rPr>
            </w:pPr>
            <w:r w:rsidRPr="00AC0D09">
              <w:rPr>
                <w:lang w:val="nl-NL"/>
              </w:rPr>
              <w:t>Spui stoomketel</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t>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7D52D1" w:rsidRDefault="00697EA0" w:rsidP="007D52D1">
            <w:pPr>
              <w:rPr>
                <w:color w:val="000000"/>
                <w:sz w:val="18"/>
                <w:szCs w:val="18"/>
              </w:rPr>
            </w:pPr>
            <w:r>
              <w:rPr>
                <w:rFonts w:cs="Calibri"/>
                <w:color w:val="000000"/>
                <w:sz w:val="18"/>
                <w:szCs w:val="18"/>
              </w:rPr>
              <w:t>4.117</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rFonts w:cs="Calibri"/>
                <w:color w:val="000000"/>
                <w:szCs w:val="18"/>
              </w:rPr>
              <w:t>3.812</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AC0D09" w:rsidRDefault="00697EA0" w:rsidP="002A0CF4">
            <w:pPr>
              <w:pStyle w:val="ListParagraph"/>
              <w:numPr>
                <w:ilvl w:val="0"/>
                <w:numId w:val="88"/>
              </w:numPr>
              <w:outlineLvl w:val="0"/>
              <w:rPr>
                <w:lang w:val="nl-NL"/>
              </w:rPr>
            </w:pPr>
            <w:r>
              <w:rPr>
                <w:lang w:val="nl-NL"/>
              </w:rPr>
              <w:t>Condensaflaten stoomketel</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Default="00697EA0" w:rsidP="00E954DD">
            <w:pPr>
              <w:pStyle w:val="normaltabel"/>
              <w:keepNext/>
              <w:widowControl/>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7D52D1" w:rsidRDefault="00697EA0" w:rsidP="007D52D1">
            <w:pPr>
              <w:rPr>
                <w:color w:val="000000"/>
                <w:sz w:val="18"/>
                <w:szCs w:val="18"/>
              </w:rPr>
            </w:pPr>
            <w:r>
              <w:rPr>
                <w:rFonts w:cs="Calibri"/>
                <w:color w:val="000000"/>
                <w:sz w:val="18"/>
                <w:szCs w:val="18"/>
              </w:rPr>
              <w:t>19.547</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rFonts w:cs="Calibri"/>
                <w:color w:val="000000"/>
                <w:szCs w:val="18"/>
              </w:rPr>
              <w:t>18.154</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2A0CF4">
            <w:pPr>
              <w:pStyle w:val="normaltabel"/>
              <w:keepNext/>
              <w:widowControl/>
              <w:numPr>
                <w:ilvl w:val="0"/>
                <w:numId w:val="124"/>
              </w:numPr>
            </w:pPr>
            <w:r w:rsidRPr="00AC0D09">
              <w:t>(Potentieel) verontreinigd hemelwater</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t>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rFonts w:cs="Calibri"/>
                <w:color w:val="000000"/>
                <w:szCs w:val="18"/>
              </w:rPr>
              <w:t>46.548</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rFonts w:cs="Calibri"/>
                <w:color w:val="000000"/>
                <w:szCs w:val="18"/>
              </w:rPr>
              <w:t>45.636</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2A0CF4" w:rsidRDefault="00697EA0" w:rsidP="002A0CF4">
            <w:pPr>
              <w:pStyle w:val="ListParagraph"/>
              <w:numPr>
                <w:ilvl w:val="0"/>
                <w:numId w:val="88"/>
              </w:numPr>
              <w:rPr>
                <w:lang w:val="nl-NL"/>
              </w:rPr>
            </w:pPr>
            <w:r w:rsidRPr="00AC0D09">
              <w:rPr>
                <w:lang w:val="nl-NL"/>
              </w:rPr>
              <w:t>Drainage water</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t>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rFonts w:cs="Calibri"/>
                <w:color w:val="000000"/>
                <w:szCs w:val="18"/>
              </w:rPr>
              <w:t>656</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rFonts w:cs="Calibri"/>
                <w:color w:val="000000"/>
                <w:szCs w:val="18"/>
              </w:rPr>
              <w:t>492</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2A0CF4" w:rsidRDefault="00697EA0" w:rsidP="002A0CF4">
            <w:pPr>
              <w:pStyle w:val="ListParagraph"/>
              <w:numPr>
                <w:ilvl w:val="0"/>
                <w:numId w:val="88"/>
              </w:numPr>
              <w:tabs>
                <w:tab w:val="center" w:pos="4320"/>
                <w:tab w:val="center" w:pos="4536"/>
                <w:tab w:val="right" w:pos="8640"/>
                <w:tab w:val="right" w:pos="9072"/>
              </w:tabs>
              <w:rPr>
                <w:lang w:val="nl-NL"/>
              </w:rPr>
            </w:pPr>
            <w:r w:rsidRPr="00AC0D09">
              <w:rPr>
                <w:lang w:val="nl-NL"/>
              </w:rPr>
              <w:t>Overige</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t>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rFonts w:cs="Calibri"/>
                <w:color w:val="000000"/>
                <w:szCs w:val="18"/>
              </w:rPr>
              <w:t>21.275</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rFonts w:cs="Calibri"/>
                <w:color w:val="000000"/>
                <w:szCs w:val="18"/>
              </w:rPr>
              <w:t>8.588</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6</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sanitair afvalwater</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3</w:t>
            </w:r>
            <w:r>
              <w:t>.</w:t>
            </w:r>
            <w:r w:rsidRPr="00C02282">
              <w:t>780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3</w:t>
            </w:r>
            <w:r>
              <w:t>.</w:t>
            </w:r>
            <w:r w:rsidRPr="00C02282">
              <w:t>450</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7</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oppervlaktewater druktesten</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2</w:t>
            </w:r>
            <w:r>
              <w:t>.</w:t>
            </w:r>
            <w:r w:rsidRPr="00C02282">
              <w:t>000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C02282">
              <w:t>0</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8</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niet verontreinigd hemelwater</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t>5.407</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t>5.301</w:t>
            </w:r>
          </w:p>
        </w:tc>
      </w:tr>
      <w:tr w:rsidR="00697EA0" w:rsidRPr="00C02282" w:rsidTr="00697EA0">
        <w:trPr>
          <w:trHeight w:val="25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9</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t>v</w:t>
            </w:r>
            <w:r w:rsidRPr="00C02282">
              <w:t>erliezen</w:t>
            </w:r>
            <w:r>
              <w:t>*</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A0" w:rsidRPr="00C02282" w:rsidRDefault="00697EA0" w:rsidP="00E954DD">
            <w:pPr>
              <w:pStyle w:val="normaltabel"/>
              <w:keepNext/>
              <w:widowControl/>
            </w:pPr>
            <w:r w:rsidRPr="00C02282">
              <w:t>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rFonts w:cs="Calibri"/>
                <w:color w:val="000000"/>
                <w:szCs w:val="18"/>
              </w:rPr>
              <w:t>19.658</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Pr>
                <w:color w:val="000000"/>
                <w:sz w:val="20"/>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EA0" w:rsidRPr="00C02282" w:rsidRDefault="00697EA0" w:rsidP="00E954DD">
            <w:pPr>
              <w:pStyle w:val="normaltabel"/>
              <w:keepNext/>
              <w:widowControl/>
            </w:pPr>
            <w:r w:rsidRPr="00FD3C98">
              <w:t>16</w:t>
            </w:r>
            <w:r>
              <w:t>.</w:t>
            </w:r>
            <w:r w:rsidRPr="00FD3C98">
              <w:t>998</w:t>
            </w:r>
          </w:p>
        </w:tc>
      </w:tr>
    </w:tbl>
    <w:p w:rsidR="00C02282" w:rsidRDefault="00192404" w:rsidP="00E954DD">
      <w:pPr>
        <w:pStyle w:val="voetnoottabel"/>
        <w:keepNext/>
        <w:widowControl/>
      </w:pPr>
      <w:r>
        <w:t>*</w:t>
      </w:r>
      <w:r>
        <w:tab/>
        <w:t>het betreft hier enerzijds hemelwaterverliezen t.g.v. infiltratie binnen niet vloeistofdichte inkuipingen, plasvorming, verdamping en dergelijke alsook o.m. verliezen van water t.g.v. verneveling bij reiniging</w:t>
      </w:r>
      <w:r w:rsidR="0036758E">
        <w:t xml:space="preserve"> en afvoer van afvalwater door een erkend verwerker. </w:t>
      </w:r>
    </w:p>
    <w:p w:rsidR="00192404" w:rsidRDefault="00192404" w:rsidP="00E954DD">
      <w:pPr>
        <w:pStyle w:val="tsstekst"/>
        <w:keepNext/>
        <w:keepLines/>
      </w:pPr>
      <w:r>
        <w:t>Toelichting bij berekeningswijzen</w:t>
      </w:r>
      <w:r w:rsidR="00EA71FD">
        <w:t>:</w:t>
      </w:r>
    </w:p>
    <w:p w:rsidR="00192404" w:rsidRDefault="00192404" w:rsidP="00E954DD">
      <w:pPr>
        <w:pStyle w:val="tsstekst"/>
        <w:keepNext/>
        <w:keepLines/>
      </w:pPr>
      <w:r>
        <w:t xml:space="preserve">Inkomende hemelwater: </w:t>
      </w:r>
      <w:r w:rsidR="00EA71FD">
        <w:t xml:space="preserve">totale </w:t>
      </w:r>
      <w:r>
        <w:t>verharde oppervlakte van terminal maal een neerslaghoeveelheid van 0</w:t>
      </w:r>
      <w:r w:rsidR="00EA71FD">
        <w:t>,765 m³/m².jaar (2008) en 0,</w:t>
      </w:r>
      <w:r>
        <w:t>75 m³/m².jaar (2009)</w:t>
      </w:r>
    </w:p>
    <w:p w:rsidR="00192404" w:rsidRPr="00965878" w:rsidRDefault="00EA71FD" w:rsidP="00E954DD">
      <w:pPr>
        <w:pStyle w:val="tsstekst"/>
        <w:keepNext/>
        <w:keepLines/>
        <w:rPr>
          <w:lang w:val="en-US"/>
        </w:rPr>
      </w:pPr>
      <w:r w:rsidRPr="00965878">
        <w:rPr>
          <w:lang w:val="en-US"/>
        </w:rPr>
        <w:t xml:space="preserve">Sanitair afvalwater: </w:t>
      </w:r>
      <w:r w:rsidR="00192404" w:rsidRPr="00965878">
        <w:rPr>
          <w:lang w:val="en-US"/>
        </w:rPr>
        <w:t>aantal full time employees (FTE) maal 30 m³</w:t>
      </w:r>
    </w:p>
    <w:p w:rsidR="00192404" w:rsidRDefault="00EA71FD" w:rsidP="00E954DD">
      <w:pPr>
        <w:pStyle w:val="tsstekst"/>
        <w:keepNext/>
        <w:keepLines/>
      </w:pPr>
      <w:r>
        <w:t>Oppervlaktewater druktesten: bepaald a.d.h.v. waterinhoud tanks onderworpen aan een druktest</w:t>
      </w:r>
    </w:p>
    <w:p w:rsidR="00EA71FD" w:rsidRDefault="00EA71FD" w:rsidP="00E954DD">
      <w:pPr>
        <w:pStyle w:val="tsstekst"/>
        <w:keepNext/>
        <w:keepLines/>
      </w:pPr>
      <w:r>
        <w:t xml:space="preserve">Niet verontreinigd hemelwater: </w:t>
      </w:r>
      <w:r>
        <w:tab/>
        <w:t>verharde oppervlakte daken gebouwen maal een neerslaghoeveelheid van 0,765 m³/m².jaar (2008) en 0,75 m³/m².jaar (2009) maal een reductiefactor van 0,7</w:t>
      </w:r>
      <w:r>
        <w:rPr>
          <w:rStyle w:val="FootnoteReference"/>
        </w:rPr>
        <w:footnoteReference w:id="30"/>
      </w:r>
    </w:p>
    <w:p w:rsidR="00EA71FD" w:rsidRPr="00EA71FD" w:rsidRDefault="00EA71FD" w:rsidP="00E954DD">
      <w:pPr>
        <w:pStyle w:val="tsstekst"/>
        <w:keepNext/>
        <w:keepLines/>
      </w:pPr>
      <w:r>
        <w:t xml:space="preserve">Verliezen: </w:t>
      </w:r>
      <w:r>
        <w:tab/>
        <w:t>[</w:t>
      </w:r>
      <w:r>
        <w:rPr>
          <w:rFonts w:cs="Calibri"/>
        </w:rPr>
        <w:t>∑</w:t>
      </w:r>
      <w:r>
        <w:t xml:space="preserve"> inkomende stromen] – [</w:t>
      </w:r>
      <w:r>
        <w:rPr>
          <w:rFonts w:cs="Calibri"/>
        </w:rPr>
        <w:t>∑</w:t>
      </w:r>
      <w:r>
        <w:t xml:space="preserve"> bedrijfsafvalwater, sanitair afvalwater, oppervlaktewater druktesten, niet verontreinigd hemelwater]</w:t>
      </w:r>
    </w:p>
    <w:p w:rsidR="008C0859" w:rsidRPr="00131BC7" w:rsidRDefault="008C0859" w:rsidP="001D447A">
      <w:pPr>
        <w:pStyle w:val="Heading2"/>
        <w:widowControl/>
      </w:pPr>
      <w:bookmarkStart w:id="473" w:name="_Toc244407759"/>
      <w:bookmarkStart w:id="474" w:name="_Toc312069233"/>
      <w:r w:rsidRPr="00131BC7">
        <w:lastRenderedPageBreak/>
        <w:t>Energi</w:t>
      </w:r>
      <w:bookmarkEnd w:id="473"/>
      <w:r w:rsidR="00131BC7">
        <w:t>everbruik</w:t>
      </w:r>
      <w:bookmarkEnd w:id="474"/>
    </w:p>
    <w:p w:rsidR="00016262" w:rsidRDefault="00016262" w:rsidP="001D447A">
      <w:pPr>
        <w:pStyle w:val="tit-5"/>
      </w:pPr>
      <w:r>
        <w:t>Elektri</w:t>
      </w:r>
      <w:r w:rsidR="00131BC7">
        <w:t>citeitsverbruik</w:t>
      </w:r>
    </w:p>
    <w:p w:rsidR="003C7F2C" w:rsidRDefault="003C7F2C" w:rsidP="001D447A">
      <w:pPr>
        <w:keepNext/>
      </w:pPr>
      <w:r>
        <w:rPr>
          <w:lang w:val="nl-NL"/>
        </w:rPr>
        <w:t>Het electriciteitsverbruik is hoofdgelijk gelinkt aan het elektrisch verwarmen van leidingen voor het transport van stoffen, de verlichting van de terminal en aandrijving van pompen.</w:t>
      </w:r>
    </w:p>
    <w:p w:rsidR="00016262" w:rsidRDefault="00131BC7" w:rsidP="001D447A">
      <w:pPr>
        <w:pStyle w:val="tit-5"/>
        <w:outlineLvl w:val="0"/>
      </w:pPr>
      <w:r>
        <w:t>Brandstofverbruik</w:t>
      </w:r>
    </w:p>
    <w:p w:rsidR="003C7F2C" w:rsidRDefault="003C7F2C" w:rsidP="001D447A">
      <w:pPr>
        <w:keepNext/>
      </w:pPr>
      <w:r>
        <w:t xml:space="preserve">Brandstof wordt verbruikt t.b.v. stoomproductie, waarbij de geproduceerde stoom op zijn beurt wordt aangewend voor de verwarming van opslagtanks en gebouwen. Zoals hoger aangegeven wordt voor de stoomproductie hoofdzakelijk aardgas verbruikt en </w:t>
      </w:r>
      <w:r w:rsidR="00195660">
        <w:t xml:space="preserve">sporadisch </w:t>
      </w:r>
      <w:r>
        <w:t xml:space="preserve"> ook stookolie</w:t>
      </w:r>
      <w:r w:rsidR="00794FC2">
        <w:rPr>
          <w:rStyle w:val="FootnoteReference"/>
        </w:rPr>
        <w:footnoteReference w:id="31"/>
      </w:r>
      <w:r w:rsidR="00195660">
        <w:t xml:space="preserve"> (back-up)</w:t>
      </w:r>
      <w:r>
        <w:t>.</w:t>
      </w:r>
    </w:p>
    <w:p w:rsidR="00016262" w:rsidRDefault="00131BC7" w:rsidP="001D447A">
      <w:pPr>
        <w:pStyle w:val="tit-5"/>
        <w:outlineLvl w:val="0"/>
      </w:pPr>
      <w:r>
        <w:t>Primair energieverbruik</w:t>
      </w:r>
    </w:p>
    <w:p w:rsidR="008C0859" w:rsidRDefault="008C0859" w:rsidP="001D447A">
      <w:pPr>
        <w:keepNext/>
      </w:pPr>
      <w:r>
        <w:t>Onderstaande tabel geeft een overzicht van de energieverbruiken in 2008</w:t>
      </w:r>
      <w:r w:rsidR="00AD20FA">
        <w:t xml:space="preserve"> en 2009</w:t>
      </w:r>
      <w:r>
        <w:t xml:space="preserve">. </w:t>
      </w:r>
      <w:r w:rsidR="00195660">
        <w:t xml:space="preserve">Voor 2010 zijn de cijfers van 2008 representatief. </w:t>
      </w:r>
      <w:r>
        <w:t xml:space="preserve">Hieruit blijkt duidelijk dat </w:t>
      </w:r>
      <w:r w:rsidR="00C325A0">
        <w:fldChar w:fldCharType="begin"/>
      </w:r>
      <w:r>
        <w:instrText xml:space="preserve"> klant </w:instrText>
      </w:r>
      <w:r w:rsidR="00C325A0">
        <w:fldChar w:fldCharType="separate"/>
      </w:r>
      <w:r w:rsidR="008102D8">
        <w:t xml:space="preserve">Vopak Terminal Eurotank NV </w:t>
      </w:r>
      <w:r w:rsidR="00C325A0">
        <w:fldChar w:fldCharType="end"/>
      </w:r>
      <w:r>
        <w:t xml:space="preserve"> geen energie-intensieve inrichting is (totaal energieverbruik &lt; 0,1 PJ). </w:t>
      </w:r>
    </w:p>
    <w:p w:rsidR="008C0859" w:rsidRDefault="008C0859" w:rsidP="001D447A">
      <w:pPr>
        <w:pStyle w:val="tabel0"/>
        <w:outlineLvl w:val="0"/>
      </w:pPr>
      <w:r>
        <w:t>Tabel</w:t>
      </w:r>
      <w:r w:rsidR="005F03D9">
        <w:t xml:space="preserve"> </w:t>
      </w:r>
      <w:r w:rsidR="00C325A0">
        <w:fldChar w:fldCharType="begin"/>
      </w:r>
      <w:r w:rsidR="005F03D9">
        <w:instrText xml:space="preserve"> REF t_project_energieverbruik \h </w:instrText>
      </w:r>
      <w:r w:rsidR="00C325A0">
        <w:fldChar w:fldCharType="separate"/>
      </w:r>
      <w:r w:rsidR="008102D8">
        <w:t>IV.7</w:t>
      </w:r>
      <w:r w:rsidR="00C325A0">
        <w:fldChar w:fldCharType="end"/>
      </w:r>
      <w:r>
        <w:t xml:space="preserve">: Overzicht energieverbruiken </w:t>
      </w:r>
      <w:r w:rsidR="00C325A0">
        <w:fldChar w:fldCharType="begin"/>
      </w:r>
      <w:r w:rsidR="000C7C16">
        <w:instrText xml:space="preserve"> klant </w:instrText>
      </w:r>
      <w:r w:rsidR="00C325A0">
        <w:fldChar w:fldCharType="separate"/>
      </w:r>
      <w:r w:rsidR="008102D8">
        <w:t xml:space="preserve">Vopak Terminal Eurotank NV </w:t>
      </w:r>
      <w:r w:rsidR="00C325A0">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313"/>
        <w:gridCol w:w="1252"/>
        <w:gridCol w:w="1703"/>
        <w:gridCol w:w="1703"/>
      </w:tblGrid>
      <w:tr w:rsidR="00AD20FA" w:rsidRPr="00FA19C4" w:rsidTr="00AB3B84">
        <w:tc>
          <w:tcPr>
            <w:tcW w:w="1463" w:type="dxa"/>
            <w:tcBorders>
              <w:top w:val="single" w:sz="4" w:space="0" w:color="auto"/>
              <w:left w:val="nil"/>
              <w:bottom w:val="single" w:sz="4" w:space="0" w:color="auto"/>
              <w:right w:val="nil"/>
            </w:tcBorders>
            <w:shd w:val="clear" w:color="auto" w:fill="BFBFBF" w:themeFill="background1" w:themeFillShade="BF"/>
          </w:tcPr>
          <w:p w:rsidR="00AD20FA" w:rsidRPr="008C0859" w:rsidRDefault="00AD20FA" w:rsidP="001D447A">
            <w:pPr>
              <w:pStyle w:val="normaltabel"/>
              <w:keepNext/>
              <w:widowControl/>
            </w:pPr>
            <w:r w:rsidRPr="008C0859">
              <w:t>energiedrager</w:t>
            </w:r>
          </w:p>
        </w:tc>
        <w:tc>
          <w:tcPr>
            <w:tcW w:w="2565" w:type="dxa"/>
            <w:gridSpan w:val="2"/>
            <w:tcBorders>
              <w:top w:val="single" w:sz="4" w:space="0" w:color="auto"/>
              <w:left w:val="nil"/>
              <w:bottom w:val="single" w:sz="4" w:space="0" w:color="auto"/>
              <w:right w:val="nil"/>
            </w:tcBorders>
            <w:shd w:val="clear" w:color="auto" w:fill="BFBFBF" w:themeFill="background1" w:themeFillShade="BF"/>
          </w:tcPr>
          <w:p w:rsidR="00AD20FA" w:rsidRPr="008C0859" w:rsidRDefault="00AD20FA" w:rsidP="001D447A">
            <w:pPr>
              <w:pStyle w:val="normaltabel"/>
              <w:keepNext/>
              <w:widowControl/>
            </w:pPr>
            <w:r w:rsidRPr="008C0859">
              <w:t>Verbruik 2008</w:t>
            </w:r>
          </w:p>
        </w:tc>
        <w:tc>
          <w:tcPr>
            <w:tcW w:w="3406" w:type="dxa"/>
            <w:gridSpan w:val="2"/>
            <w:tcBorders>
              <w:top w:val="single" w:sz="4" w:space="0" w:color="auto"/>
              <w:left w:val="nil"/>
              <w:bottom w:val="single" w:sz="4" w:space="0" w:color="auto"/>
              <w:right w:val="nil"/>
            </w:tcBorders>
            <w:shd w:val="clear" w:color="auto" w:fill="BFBFBF" w:themeFill="background1" w:themeFillShade="BF"/>
          </w:tcPr>
          <w:p w:rsidR="00AD20FA" w:rsidRPr="008C0859" w:rsidRDefault="00AD20FA" w:rsidP="001D447A">
            <w:pPr>
              <w:pStyle w:val="normaltabel"/>
              <w:keepNext/>
              <w:widowControl/>
            </w:pPr>
            <w:r>
              <w:t>Verbruik 2009</w:t>
            </w:r>
          </w:p>
        </w:tc>
      </w:tr>
      <w:tr w:rsidR="00AD20FA" w:rsidTr="00AB3B84">
        <w:tc>
          <w:tcPr>
            <w:tcW w:w="1463" w:type="dxa"/>
            <w:tcBorders>
              <w:top w:val="single" w:sz="4" w:space="0" w:color="auto"/>
              <w:left w:val="nil"/>
              <w:bottom w:val="nil"/>
              <w:right w:val="nil"/>
            </w:tcBorders>
          </w:tcPr>
          <w:p w:rsidR="00AD20FA" w:rsidRDefault="00AD20FA" w:rsidP="001D447A">
            <w:pPr>
              <w:pStyle w:val="normaltabel"/>
              <w:keepNext/>
              <w:widowControl/>
            </w:pPr>
            <w:r>
              <w:t>Elektriciteit</w:t>
            </w:r>
          </w:p>
        </w:tc>
        <w:tc>
          <w:tcPr>
            <w:tcW w:w="1313" w:type="dxa"/>
            <w:tcBorders>
              <w:top w:val="single" w:sz="4" w:space="0" w:color="auto"/>
              <w:left w:val="nil"/>
              <w:bottom w:val="nil"/>
              <w:right w:val="nil"/>
            </w:tcBorders>
            <w:vAlign w:val="center"/>
          </w:tcPr>
          <w:p w:rsidR="00AD20FA" w:rsidRDefault="00AD20FA" w:rsidP="001D447A">
            <w:pPr>
              <w:pStyle w:val="normaltabel"/>
              <w:keepNext/>
              <w:widowControl/>
            </w:pPr>
            <w:r>
              <w:t>3.614 MWh</w:t>
            </w:r>
          </w:p>
        </w:tc>
        <w:tc>
          <w:tcPr>
            <w:tcW w:w="1252" w:type="dxa"/>
            <w:tcBorders>
              <w:top w:val="single" w:sz="4" w:space="0" w:color="auto"/>
              <w:left w:val="nil"/>
              <w:bottom w:val="nil"/>
              <w:right w:val="nil"/>
            </w:tcBorders>
          </w:tcPr>
          <w:p w:rsidR="00AD20FA" w:rsidRDefault="00AD20FA" w:rsidP="001D447A">
            <w:pPr>
              <w:pStyle w:val="normaltabel"/>
              <w:keepNext/>
              <w:widowControl/>
            </w:pPr>
            <w:r>
              <w:t>32.530 GJ</w:t>
            </w:r>
          </w:p>
        </w:tc>
        <w:tc>
          <w:tcPr>
            <w:tcW w:w="1703" w:type="dxa"/>
            <w:tcBorders>
              <w:top w:val="single" w:sz="4" w:space="0" w:color="auto"/>
              <w:left w:val="nil"/>
              <w:bottom w:val="nil"/>
              <w:right w:val="nil"/>
            </w:tcBorders>
            <w:vAlign w:val="center"/>
          </w:tcPr>
          <w:p w:rsidR="00AD20FA" w:rsidRDefault="00AD20FA" w:rsidP="001D447A">
            <w:pPr>
              <w:pStyle w:val="normaltabel"/>
              <w:keepNext/>
              <w:widowControl/>
            </w:pPr>
            <w:r>
              <w:t>3.527 MWh</w:t>
            </w:r>
          </w:p>
        </w:tc>
        <w:tc>
          <w:tcPr>
            <w:tcW w:w="1703" w:type="dxa"/>
            <w:tcBorders>
              <w:top w:val="single" w:sz="4" w:space="0" w:color="auto"/>
              <w:left w:val="nil"/>
              <w:bottom w:val="nil"/>
              <w:right w:val="nil"/>
            </w:tcBorders>
          </w:tcPr>
          <w:p w:rsidR="00AD20FA" w:rsidRDefault="00AD20FA" w:rsidP="001D447A">
            <w:pPr>
              <w:pStyle w:val="normaltabel"/>
              <w:keepNext/>
              <w:widowControl/>
            </w:pPr>
            <w:r>
              <w:t>31.746 GJ</w:t>
            </w:r>
          </w:p>
        </w:tc>
      </w:tr>
      <w:tr w:rsidR="00AD20FA" w:rsidTr="00AB3B84">
        <w:tc>
          <w:tcPr>
            <w:tcW w:w="1463" w:type="dxa"/>
            <w:tcBorders>
              <w:top w:val="nil"/>
              <w:left w:val="nil"/>
              <w:bottom w:val="nil"/>
              <w:right w:val="nil"/>
            </w:tcBorders>
          </w:tcPr>
          <w:p w:rsidR="00AD20FA" w:rsidRDefault="00AD20FA" w:rsidP="001D447A">
            <w:pPr>
              <w:pStyle w:val="normaltabel"/>
              <w:keepNext/>
              <w:widowControl/>
            </w:pPr>
            <w:r>
              <w:t>Aardgas</w:t>
            </w:r>
          </w:p>
        </w:tc>
        <w:tc>
          <w:tcPr>
            <w:tcW w:w="1313" w:type="dxa"/>
            <w:tcBorders>
              <w:top w:val="nil"/>
              <w:left w:val="nil"/>
              <w:bottom w:val="nil"/>
              <w:right w:val="nil"/>
            </w:tcBorders>
          </w:tcPr>
          <w:p w:rsidR="00AD20FA" w:rsidRDefault="00AD20FA" w:rsidP="001D447A">
            <w:pPr>
              <w:pStyle w:val="normaltabel"/>
              <w:keepNext/>
              <w:widowControl/>
            </w:pPr>
            <w:r>
              <w:t>15.393 MWh</w:t>
            </w:r>
          </w:p>
        </w:tc>
        <w:tc>
          <w:tcPr>
            <w:tcW w:w="1252" w:type="dxa"/>
            <w:tcBorders>
              <w:top w:val="nil"/>
              <w:left w:val="nil"/>
              <w:bottom w:val="nil"/>
              <w:right w:val="nil"/>
            </w:tcBorders>
          </w:tcPr>
          <w:p w:rsidR="00AD20FA" w:rsidRDefault="00AD20FA" w:rsidP="001D447A">
            <w:pPr>
              <w:pStyle w:val="normaltabel"/>
              <w:keepNext/>
              <w:widowControl/>
            </w:pPr>
            <w:r>
              <w:t>50.095 GJ</w:t>
            </w:r>
          </w:p>
        </w:tc>
        <w:tc>
          <w:tcPr>
            <w:tcW w:w="1703" w:type="dxa"/>
            <w:tcBorders>
              <w:top w:val="nil"/>
              <w:left w:val="nil"/>
              <w:bottom w:val="nil"/>
              <w:right w:val="nil"/>
            </w:tcBorders>
          </w:tcPr>
          <w:p w:rsidR="00AD20FA" w:rsidRDefault="00AD20FA" w:rsidP="001D447A">
            <w:pPr>
              <w:pStyle w:val="normaltabel"/>
              <w:keepNext/>
              <w:widowControl/>
            </w:pPr>
            <w:r>
              <w:t>14.556 MWh</w:t>
            </w:r>
          </w:p>
        </w:tc>
        <w:tc>
          <w:tcPr>
            <w:tcW w:w="1703" w:type="dxa"/>
            <w:tcBorders>
              <w:top w:val="nil"/>
              <w:left w:val="nil"/>
              <w:bottom w:val="nil"/>
              <w:right w:val="nil"/>
            </w:tcBorders>
          </w:tcPr>
          <w:p w:rsidR="00AD20FA" w:rsidRDefault="00AD20FA" w:rsidP="001D447A">
            <w:pPr>
              <w:pStyle w:val="normaltabel"/>
              <w:keepNext/>
              <w:widowControl/>
            </w:pPr>
            <w:r>
              <w:t>47.371 GJ</w:t>
            </w:r>
          </w:p>
        </w:tc>
      </w:tr>
      <w:tr w:rsidR="00AD20FA" w:rsidTr="00AB3B84">
        <w:tc>
          <w:tcPr>
            <w:tcW w:w="1463" w:type="dxa"/>
            <w:tcBorders>
              <w:top w:val="nil"/>
              <w:left w:val="nil"/>
              <w:bottom w:val="single" w:sz="4" w:space="0" w:color="auto"/>
              <w:right w:val="nil"/>
            </w:tcBorders>
          </w:tcPr>
          <w:p w:rsidR="00AD20FA" w:rsidRDefault="00AD20FA" w:rsidP="001D447A">
            <w:pPr>
              <w:pStyle w:val="normaltabel"/>
              <w:keepNext/>
              <w:widowControl/>
            </w:pPr>
            <w:r>
              <w:t xml:space="preserve">Gasolie </w:t>
            </w:r>
          </w:p>
        </w:tc>
        <w:tc>
          <w:tcPr>
            <w:tcW w:w="1313" w:type="dxa"/>
            <w:tcBorders>
              <w:top w:val="nil"/>
              <w:left w:val="nil"/>
              <w:bottom w:val="single" w:sz="4" w:space="0" w:color="auto"/>
              <w:right w:val="nil"/>
            </w:tcBorders>
          </w:tcPr>
          <w:p w:rsidR="00AD20FA" w:rsidRDefault="00AD20FA" w:rsidP="001D447A">
            <w:pPr>
              <w:pStyle w:val="normaltabel"/>
              <w:keepNext/>
              <w:widowControl/>
            </w:pPr>
            <w:r>
              <w:t>42.885 liter</w:t>
            </w:r>
          </w:p>
        </w:tc>
        <w:tc>
          <w:tcPr>
            <w:tcW w:w="1252" w:type="dxa"/>
            <w:tcBorders>
              <w:top w:val="nil"/>
              <w:left w:val="nil"/>
              <w:bottom w:val="single" w:sz="4" w:space="0" w:color="auto"/>
              <w:right w:val="nil"/>
            </w:tcBorders>
          </w:tcPr>
          <w:p w:rsidR="00AD20FA" w:rsidRDefault="00AD20FA" w:rsidP="001D447A">
            <w:pPr>
              <w:pStyle w:val="normaltabel"/>
              <w:keepNext/>
              <w:widowControl/>
            </w:pPr>
            <w:r>
              <w:t>1.578 GJ</w:t>
            </w:r>
          </w:p>
        </w:tc>
        <w:tc>
          <w:tcPr>
            <w:tcW w:w="1703" w:type="dxa"/>
            <w:tcBorders>
              <w:top w:val="nil"/>
              <w:left w:val="nil"/>
              <w:bottom w:val="single" w:sz="4" w:space="0" w:color="auto"/>
              <w:right w:val="nil"/>
            </w:tcBorders>
          </w:tcPr>
          <w:p w:rsidR="00AD20FA" w:rsidRDefault="00AD20FA" w:rsidP="001D447A">
            <w:pPr>
              <w:pStyle w:val="normaltabel"/>
              <w:keepNext/>
              <w:widowControl/>
            </w:pPr>
            <w:r>
              <w:t>44.489 liter</w:t>
            </w:r>
          </w:p>
        </w:tc>
        <w:tc>
          <w:tcPr>
            <w:tcW w:w="1703" w:type="dxa"/>
            <w:tcBorders>
              <w:top w:val="nil"/>
              <w:left w:val="nil"/>
              <w:bottom w:val="single" w:sz="4" w:space="0" w:color="auto"/>
              <w:right w:val="nil"/>
            </w:tcBorders>
          </w:tcPr>
          <w:p w:rsidR="00AD20FA" w:rsidRDefault="00AD20FA" w:rsidP="001D447A">
            <w:pPr>
              <w:pStyle w:val="normaltabel"/>
              <w:keepNext/>
              <w:widowControl/>
            </w:pPr>
            <w:r>
              <w:t>1.637 GJ</w:t>
            </w:r>
          </w:p>
        </w:tc>
      </w:tr>
      <w:tr w:rsidR="00AD20FA" w:rsidTr="00AB3B84">
        <w:tc>
          <w:tcPr>
            <w:tcW w:w="1463" w:type="dxa"/>
            <w:tcBorders>
              <w:top w:val="single" w:sz="4" w:space="0" w:color="auto"/>
              <w:left w:val="nil"/>
              <w:bottom w:val="single" w:sz="4" w:space="0" w:color="auto"/>
              <w:right w:val="nil"/>
            </w:tcBorders>
          </w:tcPr>
          <w:p w:rsidR="00AD20FA" w:rsidRDefault="00AD20FA" w:rsidP="001D447A">
            <w:pPr>
              <w:pStyle w:val="normaltabel"/>
              <w:keepNext/>
              <w:widowControl/>
            </w:pPr>
            <w:r>
              <w:t>Totaal</w:t>
            </w:r>
          </w:p>
        </w:tc>
        <w:tc>
          <w:tcPr>
            <w:tcW w:w="1313" w:type="dxa"/>
            <w:tcBorders>
              <w:top w:val="single" w:sz="4" w:space="0" w:color="auto"/>
              <w:left w:val="nil"/>
              <w:bottom w:val="single" w:sz="4" w:space="0" w:color="auto"/>
              <w:right w:val="nil"/>
            </w:tcBorders>
          </w:tcPr>
          <w:p w:rsidR="00AD20FA" w:rsidRDefault="00AD20FA" w:rsidP="001D447A">
            <w:pPr>
              <w:pStyle w:val="normaltabel"/>
              <w:keepNext/>
              <w:widowControl/>
            </w:pPr>
          </w:p>
        </w:tc>
        <w:tc>
          <w:tcPr>
            <w:tcW w:w="1252" w:type="dxa"/>
            <w:tcBorders>
              <w:top w:val="single" w:sz="4" w:space="0" w:color="auto"/>
              <w:left w:val="nil"/>
              <w:bottom w:val="single" w:sz="4" w:space="0" w:color="auto"/>
              <w:right w:val="nil"/>
            </w:tcBorders>
          </w:tcPr>
          <w:p w:rsidR="00AD20FA" w:rsidRDefault="00AD20FA" w:rsidP="001D447A">
            <w:pPr>
              <w:pStyle w:val="normaltabel"/>
              <w:keepNext/>
              <w:widowControl/>
            </w:pPr>
            <w:r>
              <w:t>0,0842 PJ</w:t>
            </w:r>
          </w:p>
        </w:tc>
        <w:tc>
          <w:tcPr>
            <w:tcW w:w="1703" w:type="dxa"/>
            <w:tcBorders>
              <w:top w:val="single" w:sz="4" w:space="0" w:color="auto"/>
              <w:left w:val="nil"/>
              <w:bottom w:val="single" w:sz="4" w:space="0" w:color="auto"/>
              <w:right w:val="nil"/>
            </w:tcBorders>
          </w:tcPr>
          <w:p w:rsidR="00AD20FA" w:rsidRDefault="00AD20FA" w:rsidP="001D447A">
            <w:pPr>
              <w:pStyle w:val="normaltabel"/>
              <w:keepNext/>
              <w:widowControl/>
            </w:pPr>
          </w:p>
        </w:tc>
        <w:tc>
          <w:tcPr>
            <w:tcW w:w="1703" w:type="dxa"/>
            <w:tcBorders>
              <w:top w:val="single" w:sz="4" w:space="0" w:color="auto"/>
              <w:left w:val="nil"/>
              <w:bottom w:val="single" w:sz="4" w:space="0" w:color="auto"/>
              <w:right w:val="nil"/>
            </w:tcBorders>
          </w:tcPr>
          <w:p w:rsidR="00AD20FA" w:rsidRDefault="00AD20FA" w:rsidP="001D447A">
            <w:pPr>
              <w:pStyle w:val="normaltabel"/>
              <w:keepNext/>
              <w:widowControl/>
            </w:pPr>
            <w:r>
              <w:t>0,0808 PJ</w:t>
            </w:r>
          </w:p>
        </w:tc>
      </w:tr>
    </w:tbl>
    <w:p w:rsidR="008C0859" w:rsidRPr="00131BC7" w:rsidRDefault="008C0859" w:rsidP="00AF3F9E">
      <w:pPr>
        <w:pStyle w:val="Heading2"/>
      </w:pPr>
      <w:bookmarkStart w:id="475" w:name="_Toc244407761"/>
      <w:bookmarkStart w:id="476" w:name="_Toc312069234"/>
      <w:r w:rsidRPr="00131BC7">
        <w:t>Afvalstoffen</w:t>
      </w:r>
      <w:bookmarkEnd w:id="475"/>
      <w:bookmarkEnd w:id="476"/>
    </w:p>
    <w:p w:rsidR="00131BC7" w:rsidRPr="00131BC7" w:rsidRDefault="0089728A" w:rsidP="00AF3F9E">
      <w:pPr>
        <w:rPr>
          <w:lang w:val="nl-NL"/>
        </w:rPr>
      </w:pPr>
      <w:r>
        <w:rPr>
          <w:lang w:val="nl-NL"/>
        </w:rPr>
        <w:t xml:space="preserve">Binnen Vopak zijn verschillende afvalstromen te detecteren. </w:t>
      </w:r>
      <w:r w:rsidR="00131BC7" w:rsidRPr="00131BC7">
        <w:rPr>
          <w:lang w:val="nl-NL"/>
        </w:rPr>
        <w:t xml:space="preserve">In </w:t>
      </w:r>
      <w:r w:rsidR="005F03D9">
        <w:rPr>
          <w:lang w:val="nl-NL"/>
        </w:rPr>
        <w:t xml:space="preserve">Tabel </w:t>
      </w:r>
      <w:r w:rsidR="00C325A0">
        <w:rPr>
          <w:lang w:val="nl-NL"/>
        </w:rPr>
        <w:fldChar w:fldCharType="begin"/>
      </w:r>
      <w:r w:rsidR="005F03D9">
        <w:rPr>
          <w:lang w:val="nl-NL"/>
        </w:rPr>
        <w:instrText xml:space="preserve"> REF t_project_afvalstoffen \h </w:instrText>
      </w:r>
      <w:r w:rsidR="00C325A0">
        <w:rPr>
          <w:lang w:val="nl-NL"/>
        </w:rPr>
      </w:r>
      <w:r w:rsidR="00C325A0">
        <w:rPr>
          <w:lang w:val="nl-NL"/>
        </w:rPr>
        <w:fldChar w:fldCharType="separate"/>
      </w:r>
      <w:r w:rsidR="008102D8">
        <w:t>IV.8</w:t>
      </w:r>
      <w:r w:rsidR="00C325A0">
        <w:rPr>
          <w:lang w:val="nl-NL"/>
        </w:rPr>
        <w:fldChar w:fldCharType="end"/>
      </w:r>
      <w:r w:rsidR="001B30C5">
        <w:rPr>
          <w:rStyle w:val="FootnoteReference"/>
          <w:lang w:val="nl-NL"/>
        </w:rPr>
        <w:footnoteReference w:id="32"/>
      </w:r>
      <w:r w:rsidR="005F03D9">
        <w:rPr>
          <w:rStyle w:val="CommentReference"/>
          <w:lang w:eastAsia="nl-NL"/>
        </w:rPr>
        <w:t xml:space="preserve"> </w:t>
      </w:r>
      <w:r w:rsidR="00131BC7" w:rsidRPr="00131BC7">
        <w:rPr>
          <w:lang w:val="nl-NL"/>
        </w:rPr>
        <w:t>wordt een overzicht gegeven van de in 200</w:t>
      </w:r>
      <w:r w:rsidR="00452917">
        <w:rPr>
          <w:lang w:val="nl-NL"/>
        </w:rPr>
        <w:t>8-2010</w:t>
      </w:r>
      <w:r w:rsidR="00131BC7" w:rsidRPr="00131BC7">
        <w:rPr>
          <w:lang w:val="nl-NL"/>
        </w:rPr>
        <w:t xml:space="preserve"> afgevoerde afvalstromen.</w:t>
      </w:r>
    </w:p>
    <w:p w:rsidR="005E27AE" w:rsidRDefault="005E27AE" w:rsidP="00AF3F9E"/>
    <w:p w:rsidR="00E954DD" w:rsidRPr="00B85F2F" w:rsidRDefault="00E954DD" w:rsidP="00AF3F9E">
      <w:pPr>
        <w:sectPr w:rsidR="00E954DD" w:rsidRPr="00B85F2F" w:rsidSect="00E95A86">
          <w:headerReference w:type="even" r:id="rId45"/>
          <w:headerReference w:type="default" r:id="rId46"/>
          <w:headerReference w:type="first" r:id="rId47"/>
          <w:pgSz w:w="11909" w:h="16834" w:code="9"/>
          <w:pgMar w:top="1242" w:right="1440" w:bottom="1440" w:left="1440" w:header="454" w:footer="709" w:gutter="0"/>
          <w:pgNumType w:start="1" w:chapStyle="1" w:chapSep="period"/>
          <w:cols w:space="708"/>
        </w:sectPr>
      </w:pPr>
    </w:p>
    <w:p w:rsidR="00C85E16" w:rsidRDefault="00880964" w:rsidP="004F40A7">
      <w:pPr>
        <w:pStyle w:val="Heading1"/>
      </w:pPr>
      <w:bookmarkStart w:id="477" w:name="_Toc224380791"/>
      <w:bookmarkStart w:id="478" w:name="_Toc225309181"/>
      <w:bookmarkStart w:id="479" w:name="_Toc225840126"/>
      <w:bookmarkStart w:id="480" w:name="_Toc225909956"/>
      <w:bookmarkStart w:id="481" w:name="_Toc230433011"/>
      <w:bookmarkStart w:id="482" w:name="_Toc230433560"/>
      <w:bookmarkStart w:id="483" w:name="_Toc236217821"/>
      <w:bookmarkStart w:id="484" w:name="_Toc241482726"/>
      <w:bookmarkStart w:id="485" w:name="_Toc248029447"/>
      <w:bookmarkStart w:id="486" w:name="_Toc251256976"/>
      <w:bookmarkStart w:id="487" w:name="_Toc251767778"/>
      <w:bookmarkStart w:id="488" w:name="_Toc253038376"/>
      <w:bookmarkStart w:id="489" w:name="_Toc259197841"/>
      <w:bookmarkStart w:id="490" w:name="_Toc263434231"/>
      <w:bookmarkStart w:id="491" w:name="_Toc271806522"/>
      <w:bookmarkStart w:id="492" w:name="_Toc272754355"/>
      <w:bookmarkStart w:id="493" w:name="_Toc272754513"/>
      <w:bookmarkStart w:id="494" w:name="_Toc272754671"/>
      <w:bookmarkStart w:id="495" w:name="_Toc278442293"/>
      <w:bookmarkStart w:id="496" w:name="_Toc279411675"/>
      <w:bookmarkStart w:id="497" w:name="hfdst5"/>
      <w:bookmarkStart w:id="498" w:name="_Toc279480179"/>
      <w:bookmarkStart w:id="499" w:name="_Toc282505704"/>
      <w:bookmarkStart w:id="500" w:name="_Ref291151171"/>
      <w:bookmarkStart w:id="501" w:name="_Ref291151495"/>
      <w:bookmarkStart w:id="502" w:name="_Toc295920141"/>
      <w:bookmarkStart w:id="503" w:name="_Toc295923372"/>
      <w:bookmarkStart w:id="504" w:name="_Toc295923684"/>
      <w:bookmarkStart w:id="505" w:name="_Toc295995282"/>
      <w:bookmarkStart w:id="506" w:name="_Toc296004864"/>
      <w:bookmarkStart w:id="507" w:name="_Toc296085815"/>
      <w:bookmarkStart w:id="508" w:name="_Toc296330722"/>
      <w:bookmarkStart w:id="509" w:name="_Toc296419438"/>
      <w:bookmarkStart w:id="510" w:name="_Toc297286184"/>
      <w:bookmarkStart w:id="511" w:name="_Toc297542484"/>
      <w:bookmarkStart w:id="512" w:name="_Toc297546623"/>
      <w:bookmarkStart w:id="513" w:name="_Toc297546788"/>
      <w:bookmarkStart w:id="514" w:name="_Toc297546953"/>
      <w:bookmarkStart w:id="515" w:name="_Toc297547118"/>
      <w:bookmarkStart w:id="516" w:name="_Toc297553619"/>
      <w:bookmarkStart w:id="517" w:name="_Toc297649785"/>
      <w:bookmarkStart w:id="518" w:name="_Toc297722585"/>
      <w:bookmarkStart w:id="519" w:name="_Toc297725603"/>
      <w:bookmarkStart w:id="520" w:name="_Toc298161722"/>
      <w:bookmarkStart w:id="521" w:name="_Toc299981069"/>
      <w:bookmarkStart w:id="522" w:name="_Toc299981252"/>
      <w:bookmarkStart w:id="523" w:name="_Toc299981435"/>
      <w:bookmarkStart w:id="524" w:name="_Toc299982650"/>
      <w:bookmarkStart w:id="525" w:name="_Toc299982833"/>
      <w:bookmarkStart w:id="526" w:name="_Toc299985122"/>
      <w:bookmarkStart w:id="527" w:name="_Toc299986221"/>
      <w:bookmarkStart w:id="528" w:name="_Toc299986404"/>
      <w:bookmarkStart w:id="529" w:name="_Toc300045610"/>
      <w:bookmarkStart w:id="530" w:name="_Toc300232299"/>
      <w:bookmarkStart w:id="531" w:name="_Toc300303663"/>
      <w:bookmarkStart w:id="532" w:name="_Toc300559587"/>
      <w:bookmarkStart w:id="533" w:name="_Toc300560995"/>
      <w:bookmarkStart w:id="534" w:name="_Toc300561611"/>
      <w:bookmarkStart w:id="535" w:name="_Toc300561794"/>
      <w:bookmarkStart w:id="536" w:name="_Toc300562741"/>
      <w:bookmarkStart w:id="537" w:name="_Toc311109242"/>
      <w:bookmarkStart w:id="538" w:name="_Toc311212607"/>
      <w:bookmarkStart w:id="539" w:name="_Toc311451874"/>
      <w:bookmarkStart w:id="540" w:name="_Toc312069235"/>
      <w:r>
        <w:lastRenderedPageBreak/>
        <w:t>Geplande situatie</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C85E16" w:rsidRDefault="00C85E16" w:rsidP="00AF3F9E">
      <w:pPr>
        <w:sectPr w:rsidR="00C85E16" w:rsidSect="00C54545">
          <w:headerReference w:type="default" r:id="rId48"/>
          <w:pgSz w:w="11909" w:h="16834" w:code="9"/>
          <w:pgMar w:top="1240" w:right="1277" w:bottom="1440" w:left="1440" w:header="454" w:footer="709" w:gutter="0"/>
          <w:pgNumType w:start="1" w:chapStyle="1" w:chapSep="period"/>
          <w:cols w:space="708"/>
        </w:sectPr>
      </w:pPr>
    </w:p>
    <w:p w:rsidR="00EC713B" w:rsidRDefault="00EC713B" w:rsidP="004F40A7">
      <w:pPr>
        <w:pStyle w:val="Heading2"/>
      </w:pPr>
      <w:bookmarkStart w:id="541" w:name="_Toc312069236"/>
      <w:r>
        <w:lastRenderedPageBreak/>
        <w:t>Overzicht vande geplande wijzigingen</w:t>
      </w:r>
      <w:bookmarkEnd w:id="541"/>
    </w:p>
    <w:p w:rsidR="00E74C13" w:rsidRDefault="008A128C" w:rsidP="00AF3F9E">
      <w:r>
        <w:t>Zoals hoger aangegeven wenst VTE de opslagcapaciteit in 2 fases uit te breiden.</w:t>
      </w:r>
      <w:r w:rsidR="00C808B3">
        <w:t xml:space="preserve"> Een algeme</w:t>
      </w:r>
      <w:r w:rsidR="00BD51FE">
        <w:t>en</w:t>
      </w:r>
      <w:r w:rsidR="00C808B3">
        <w:t xml:space="preserve"> overzicht van de beoogde </w:t>
      </w:r>
      <w:r w:rsidR="00BD51FE">
        <w:t xml:space="preserve">wijzigingen inzake </w:t>
      </w:r>
      <w:r w:rsidR="00C808B3">
        <w:t xml:space="preserve">opslagcapaciteiten is weergegeven in deel </w:t>
      </w:r>
      <w:r w:rsidR="00C325A0">
        <w:fldChar w:fldCharType="begin"/>
      </w:r>
      <w:r w:rsidR="00C808B3">
        <w:instrText xml:space="preserve"> REF hfdst1 \n \h </w:instrText>
      </w:r>
      <w:r w:rsidR="00C325A0">
        <w:fldChar w:fldCharType="separate"/>
      </w:r>
      <w:r w:rsidR="008102D8">
        <w:t>I</w:t>
      </w:r>
      <w:r w:rsidR="00C325A0">
        <w:fldChar w:fldCharType="end"/>
      </w:r>
      <w:r w:rsidR="00C808B3">
        <w:t xml:space="preserve"> §</w:t>
      </w:r>
      <w:r w:rsidR="00C325A0">
        <w:rPr>
          <w:noProof/>
        </w:rPr>
        <w:fldChar w:fldCharType="begin"/>
      </w:r>
      <w:r w:rsidR="00B1573D">
        <w:instrText xml:space="preserve"> REF _Ref312053725 \r \h </w:instrText>
      </w:r>
      <w:r w:rsidR="00C325A0">
        <w:rPr>
          <w:noProof/>
        </w:rPr>
      </w:r>
      <w:r w:rsidR="00C325A0">
        <w:rPr>
          <w:noProof/>
        </w:rPr>
        <w:fldChar w:fldCharType="separate"/>
      </w:r>
      <w:r w:rsidR="008102D8">
        <w:t>I3</w:t>
      </w:r>
      <w:r w:rsidR="00C325A0">
        <w:rPr>
          <w:noProof/>
        </w:rPr>
        <w:fldChar w:fldCharType="end"/>
      </w:r>
      <w:r w:rsidR="00C808B3">
        <w:t xml:space="preserve">. Hieronder wordt een meer gedetailleerd overzicht gegeven van de aanpassingen die op het terrein zullen doorgevoerd worden.  </w:t>
      </w:r>
    </w:p>
    <w:p w:rsidR="000F265C" w:rsidRDefault="000F265C" w:rsidP="000F265C">
      <w:pPr>
        <w:pStyle w:val="tit-5"/>
        <w:outlineLvl w:val="0"/>
      </w:pPr>
      <w:r>
        <w:t>fase 1</w:t>
      </w:r>
    </w:p>
    <w:p w:rsidR="000F265C" w:rsidRDefault="000F265C" w:rsidP="000F265C">
      <w:r>
        <w:t xml:space="preserve">Ten aanzien van de vergunde situatie (zie figuur </w:t>
      </w:r>
      <w:r w:rsidR="00C325A0">
        <w:fldChar w:fldCharType="begin"/>
      </w:r>
      <w:r>
        <w:instrText xml:space="preserve"> REF f_project_plattegrond \h </w:instrText>
      </w:r>
      <w:r w:rsidR="00C325A0">
        <w:fldChar w:fldCharType="separate"/>
      </w:r>
      <w:r w:rsidR="008102D8">
        <w:t>IV.</w:t>
      </w:r>
      <w:r w:rsidR="008102D8">
        <w:rPr>
          <w:noProof/>
        </w:rPr>
        <w:t>2</w:t>
      </w:r>
      <w:r w:rsidR="00C325A0">
        <w:fldChar w:fldCharType="end"/>
      </w:r>
      <w:r>
        <w:t xml:space="preserve">) zijn op het bestaande bedrijfsterrein volgende wijzigingen gepland die verder ‘fase 1’ genoemd worden (zie figuur </w:t>
      </w:r>
      <w:r w:rsidR="00C325A0">
        <w:fldChar w:fldCharType="begin"/>
      </w:r>
      <w:r>
        <w:instrText xml:space="preserve"> REF f_project_plattegrond_f1 \h </w:instrText>
      </w:r>
      <w:r w:rsidR="00C325A0">
        <w:fldChar w:fldCharType="separate"/>
      </w:r>
      <w:r w:rsidR="008102D8">
        <w:t>V.</w:t>
      </w:r>
      <w:r w:rsidR="008102D8">
        <w:rPr>
          <w:noProof/>
        </w:rPr>
        <w:t>1</w:t>
      </w:r>
      <w:r w:rsidR="00C325A0">
        <w:fldChar w:fldCharType="end"/>
      </w:r>
      <w:r>
        <w:t>):</w:t>
      </w:r>
    </w:p>
    <w:p w:rsidR="000F265C" w:rsidRDefault="000F265C" w:rsidP="000F265C">
      <w:pPr>
        <w:pStyle w:val="ListParagraph"/>
        <w:numPr>
          <w:ilvl w:val="0"/>
          <w:numId w:val="89"/>
        </w:numPr>
      </w:pPr>
      <w:r>
        <w:t>Bouwen van tankenpark 850 voor 12 extra tanks uitgerust voor de opslag van zowel (zeer) licht ontvlambare als van (zeer) toxische producten. Deze nieuwe opslagtanks zijn allen tanks met ademventielen (insteldruk 100 mbar) en de inkuiping van tankenpark 850 zal vloeistofdicht worden uitgevoerd.</w:t>
      </w:r>
    </w:p>
    <w:p w:rsidR="000F265C" w:rsidRDefault="000F265C" w:rsidP="000F265C">
      <w:pPr>
        <w:pStyle w:val="ListParagraph"/>
        <w:numPr>
          <w:ilvl w:val="0"/>
          <w:numId w:val="89"/>
        </w:numPr>
      </w:pPr>
      <w:r>
        <w:t>Bouwen van tankenpark 900 voor 8 extra tanks uitgerust voor de opslag van zowel (zeer) licht ontvlambare als van (zeer) toxische producten. Deze nieuwe opslagtanks zijn allen tanks met ademventielen (insteldruk 100 mbar) en de inkuiping van tankenpark 900 zal vloeistofdicht worden uitgevoerd.</w:t>
      </w:r>
    </w:p>
    <w:p w:rsidR="000F265C" w:rsidRDefault="000F265C" w:rsidP="000F265C">
      <w:pPr>
        <w:pStyle w:val="ListParagraph"/>
        <w:numPr>
          <w:ilvl w:val="0"/>
          <w:numId w:val="89"/>
        </w:numPr>
      </w:pPr>
      <w:r>
        <w:t>Verplaatsen van tankenpark 810 bestaande uit drie buffertanks die specifiek</w:t>
      </w:r>
      <w:r>
        <w:rPr>
          <w:rStyle w:val="FootnoteReference"/>
        </w:rPr>
        <w:footnoteReference w:id="33"/>
      </w:r>
      <w:r>
        <w:t xml:space="preserve"> bestemd worden voor de waterzuivering.</w:t>
      </w:r>
    </w:p>
    <w:p w:rsidR="000F265C" w:rsidRDefault="000F265C" w:rsidP="000F265C">
      <w:pPr>
        <w:pStyle w:val="ListParagraph"/>
        <w:numPr>
          <w:ilvl w:val="0"/>
          <w:numId w:val="89"/>
        </w:numPr>
      </w:pPr>
      <w:r>
        <w:t>Bijbehorende vloeistofdichte verlaadplaatsen voor tankenpark 850 en 900.</w:t>
      </w:r>
    </w:p>
    <w:p w:rsidR="000F265C" w:rsidRDefault="000F265C" w:rsidP="000F265C">
      <w:pPr>
        <w:pStyle w:val="ListParagraph"/>
        <w:numPr>
          <w:ilvl w:val="0"/>
          <w:numId w:val="89"/>
        </w:numPr>
      </w:pPr>
      <w:r>
        <w:t xml:space="preserve">Bouwen van twee tanks (TK54 en TK55) in tankenpark 10/50/100/200 voor de opslag van o.m. (zeer) toxische producten alsook van milieugevaarlijke producten. </w:t>
      </w:r>
    </w:p>
    <w:p w:rsidR="000F265C" w:rsidRDefault="000F265C" w:rsidP="000F265C">
      <w:pPr>
        <w:pStyle w:val="ListParagraph"/>
        <w:numPr>
          <w:ilvl w:val="0"/>
          <w:numId w:val="89"/>
        </w:numPr>
      </w:pPr>
      <w:r>
        <w:t>Afbraak van 18</w:t>
      </w:r>
      <w:r>
        <w:rPr>
          <w:rStyle w:val="FootnoteReference"/>
        </w:rPr>
        <w:footnoteReference w:id="34"/>
      </w:r>
      <w:r>
        <w:t xml:space="preserve"> tanks in tankenpark 10/50/100/200 incl. bijbehorende aanpassing van de kuipmuur en afbraak van 4 tanks uit tankenpark 300/400 incl. bijbehorende aanpassing van de kuipmuur. De hiervoor aangegeven geplande bouw van tanks moet de afbraak van deze tanks compenseren.</w:t>
      </w:r>
    </w:p>
    <w:p w:rsidR="000F265C" w:rsidRDefault="000F265C" w:rsidP="000F265C">
      <w:pPr>
        <w:pStyle w:val="ListParagraph"/>
      </w:pPr>
      <w:r>
        <w:t>Voor 13 van de vergunde tanks is de opslag van producten met een gewijzigd vlampunt gepland :</w:t>
      </w:r>
    </w:p>
    <w:p w:rsidR="000F265C" w:rsidRDefault="000F265C" w:rsidP="000F265C">
      <w:pPr>
        <w:pStyle w:val="ListParagraph"/>
        <w:numPr>
          <w:ilvl w:val="0"/>
          <w:numId w:val="90"/>
        </w:numPr>
      </w:pPr>
      <w:r>
        <w:t>10 tanks (TK306, TK309, TK312, TK315, TK318, TK321, TK324, TK327, TK330, TK333) worden bestemd voor producten met een vlampunt &gt; 55°C (P3) waar in de vergunde situatie P2-producten in opslag kunnen zijn</w:t>
      </w:r>
    </w:p>
    <w:p w:rsidR="000F265C" w:rsidRDefault="000F265C" w:rsidP="000F265C">
      <w:pPr>
        <w:pStyle w:val="ListParagraph"/>
        <w:numPr>
          <w:ilvl w:val="0"/>
          <w:numId w:val="90"/>
        </w:numPr>
      </w:pPr>
      <w:r>
        <w:t>2 tanks (TK500 en TK502) worden bestemd voor P2-producten waar het in de vergunde situatie producten met een vlampunt &gt; 55°C betreft</w:t>
      </w:r>
    </w:p>
    <w:p w:rsidR="000F265C" w:rsidRPr="008A128C" w:rsidRDefault="000F265C" w:rsidP="000F265C">
      <w:pPr>
        <w:pStyle w:val="ListParagraph"/>
        <w:numPr>
          <w:ilvl w:val="0"/>
          <w:numId w:val="90"/>
        </w:numPr>
      </w:pPr>
      <w:r>
        <w:t>tank TK501 wordt bestemd voor P1-producten waar het in de vergunde situatie producten met een vlampunt &gt; 55°C betreft</w:t>
      </w:r>
    </w:p>
    <w:p w:rsidR="000F265C" w:rsidRDefault="000F265C" w:rsidP="000F265C">
      <w:pPr>
        <w:pStyle w:val="ListParagraph"/>
        <w:rPr>
          <w:lang w:val="nl-NL"/>
        </w:rPr>
      </w:pPr>
      <w:r w:rsidRPr="007552BB">
        <w:rPr>
          <w:lang w:val="nl-NL"/>
        </w:rPr>
        <w:t>In de tanks van tankenpark 500/550/600/650/660/700/750/850/900 die voor P1-producten zijn voorzien, wordt ook voorzien om hier methanol te kunnen opslaan.</w:t>
      </w:r>
    </w:p>
    <w:p w:rsidR="000F265C" w:rsidRDefault="000F265C" w:rsidP="000F265C">
      <w:pPr>
        <w:pStyle w:val="ListParagraph"/>
        <w:keepNext/>
        <w:keepLines/>
        <w:rPr>
          <w:lang w:val="nl-NL"/>
        </w:rPr>
      </w:pPr>
      <w:r w:rsidRPr="007552BB">
        <w:rPr>
          <w:lang w:val="nl-NL"/>
        </w:rPr>
        <w:lastRenderedPageBreak/>
        <w:t xml:space="preserve">De steigers ST3 en ST4 worden vervangen door een nieuwe steiger ST3 die in de richting van het dok verruimd wordt zodat schepen met grotere diepgang hier kunnen aanmeren. </w:t>
      </w:r>
      <w:r w:rsidRPr="007552BB">
        <w:rPr>
          <w:lang w:val="nl-NL"/>
        </w:rPr>
        <w:br/>
        <w:t>Tegelijkertijd is voorzien om het dok ter hoogte van de kade met steiger ST2 te verdiepen. Dit levert dan minder beperkingen op ten aanzien van verladingen omdat in de huidige toestand in een aantal gevallen schepen eerst op een andere locatie (deels) moeten lossen alvorens naar Vopak Terminal Eurotank te kunnen komen en dit vanwege de beperkte diepte van het dok ter hoogte van steiger ST2.</w:t>
      </w:r>
      <w:r>
        <w:rPr>
          <w:lang w:val="nl-NL"/>
        </w:rPr>
        <w:t xml:space="preserve"> </w:t>
      </w:r>
      <w:r w:rsidR="00F00AB3">
        <w:rPr>
          <w:lang w:val="nl-NL"/>
        </w:rPr>
        <w:t>Tenslotte wordt ook een pijpenrek voorzien van ST2 naar ST3.</w:t>
      </w:r>
    </w:p>
    <w:p w:rsidR="000F265C" w:rsidRDefault="000F265C" w:rsidP="000F265C">
      <w:pPr>
        <w:pStyle w:val="ListParagraph"/>
        <w:rPr>
          <w:lang w:val="nl-NL"/>
        </w:rPr>
      </w:pPr>
      <w:r w:rsidRPr="007552BB">
        <w:rPr>
          <w:lang w:val="nl-NL"/>
        </w:rPr>
        <w:t>Naast het plaatsen van bijkomende verlaadplaatsen voor tankwagens en spoorwagons voor de nieuwe tankenparken, is ook het centraliseren van de verlaadplaatsen voor tankwagens en spoorwagons voor de vergunde tankenparken voorzien. Hieraan verbonden zijn een aantal wijzigingen van het spoortraject om meer bepaald de wagons ter hoogte van de verlaadplaatsen te brengen. Voorts wordt een bijkomende toegang voor de vrachtwagens in de noordwestelijke hoek van het bedrijfsterrein voorzien waardoor de mogelijkheid geboden wordt voor een verbeterde toegang van de vrachtwagens. Mede in dit verband zal het te vergunnen bedrijfsterrein uitbreiden tot aan de rand van de Industrieweg.</w:t>
      </w:r>
      <w:r w:rsidR="00481C21">
        <w:rPr>
          <w:lang w:val="nl-NL"/>
        </w:rPr>
        <w:t xml:space="preserve"> </w:t>
      </w:r>
    </w:p>
    <w:p w:rsidR="000F265C" w:rsidRPr="007552BB" w:rsidRDefault="000F265C" w:rsidP="000F265C">
      <w:pPr>
        <w:pStyle w:val="ListParagraph"/>
        <w:rPr>
          <w:lang w:val="nl-NL"/>
        </w:rPr>
      </w:pPr>
      <w:r w:rsidRPr="007552BB">
        <w:rPr>
          <w:lang w:val="nl-NL"/>
        </w:rPr>
        <w:t>Bouwen van een nieuwe brandkelder waarin de bluswaterpompen opgesteld</w:t>
      </w:r>
      <w:r>
        <w:rPr>
          <w:lang w:val="nl-NL"/>
        </w:rPr>
        <w:t xml:space="preserve"> </w:t>
      </w:r>
      <w:r w:rsidRPr="007552BB">
        <w:rPr>
          <w:lang w:val="nl-NL"/>
        </w:rPr>
        <w:t>staan</w:t>
      </w:r>
      <w:r>
        <w:rPr>
          <w:lang w:val="nl-NL"/>
        </w:rPr>
        <w:t xml:space="preserve">. </w:t>
      </w:r>
      <w:r w:rsidRPr="007552BB">
        <w:rPr>
          <w:lang w:val="nl-NL"/>
        </w:rPr>
        <w:t xml:space="preserve">Deze brandkelder komt </w:t>
      </w:r>
      <w:r>
        <w:rPr>
          <w:lang w:val="nl-NL"/>
        </w:rPr>
        <w:t>waarschijnlijk op</w:t>
      </w:r>
      <w:r w:rsidRPr="007552BB">
        <w:rPr>
          <w:lang w:val="nl-NL"/>
        </w:rPr>
        <w:t xml:space="preserve"> de plaats van de bestaande brandkelder die ter hoogte van de waterzuiveringsinstallatie aanwezig is.</w:t>
      </w:r>
    </w:p>
    <w:p w:rsidR="000F265C" w:rsidRDefault="000F265C" w:rsidP="000F265C">
      <w:pPr>
        <w:pStyle w:val="tit-5"/>
        <w:outlineLvl w:val="0"/>
        <w:rPr>
          <w:lang w:val="nl-NL"/>
        </w:rPr>
      </w:pPr>
      <w:r>
        <w:rPr>
          <w:lang w:val="nl-NL"/>
        </w:rPr>
        <w:lastRenderedPageBreak/>
        <w:t>fase 2</w:t>
      </w:r>
    </w:p>
    <w:p w:rsidR="000F265C" w:rsidRPr="00C808B3" w:rsidRDefault="000F265C" w:rsidP="000F265C">
      <w:pPr>
        <w:keepNext/>
        <w:rPr>
          <w:lang w:val="nl-NL"/>
        </w:rPr>
      </w:pPr>
      <w:r w:rsidRPr="00C808B3">
        <w:rPr>
          <w:lang w:val="nl-NL"/>
        </w:rPr>
        <w:t xml:space="preserve">Omdat </w:t>
      </w:r>
      <w:r>
        <w:rPr>
          <w:lang w:val="nl-NL"/>
        </w:rPr>
        <w:t>VTE</w:t>
      </w:r>
      <w:r w:rsidRPr="00C808B3">
        <w:rPr>
          <w:lang w:val="nl-NL"/>
        </w:rPr>
        <w:t xml:space="preserve"> met de opmaak van het </w:t>
      </w:r>
      <w:r>
        <w:rPr>
          <w:lang w:val="nl-NL"/>
        </w:rPr>
        <w:t>MER</w:t>
      </w:r>
      <w:r w:rsidRPr="00C808B3">
        <w:rPr>
          <w:lang w:val="nl-NL"/>
        </w:rPr>
        <w:t xml:space="preserve"> op een</w:t>
      </w:r>
      <w:r>
        <w:rPr>
          <w:lang w:val="nl-NL"/>
        </w:rPr>
        <w:t xml:space="preserve"> </w:t>
      </w:r>
      <w:r w:rsidRPr="00C808B3">
        <w:rPr>
          <w:lang w:val="nl-NL"/>
        </w:rPr>
        <w:t xml:space="preserve">iets langere termijn wenst te kijken, zal er in het </w:t>
      </w:r>
      <w:r>
        <w:rPr>
          <w:lang w:val="nl-NL"/>
        </w:rPr>
        <w:t>MER</w:t>
      </w:r>
      <w:r w:rsidRPr="00C808B3">
        <w:rPr>
          <w:lang w:val="nl-NL"/>
        </w:rPr>
        <w:t xml:space="preserve"> ook een zgn. ‘fase 2’ onderzocht</w:t>
      </w:r>
      <w:r>
        <w:rPr>
          <w:lang w:val="nl-NL"/>
        </w:rPr>
        <w:t xml:space="preserve"> </w:t>
      </w:r>
      <w:r w:rsidRPr="00C808B3">
        <w:rPr>
          <w:lang w:val="nl-NL"/>
        </w:rPr>
        <w:t>worden die in de tijd na fase 1 komt, en die naast de geplande wijzigingen van fase 1 bijkomend</w:t>
      </w:r>
      <w:r>
        <w:rPr>
          <w:lang w:val="nl-NL"/>
        </w:rPr>
        <w:t xml:space="preserve"> </w:t>
      </w:r>
      <w:r w:rsidRPr="00C808B3">
        <w:rPr>
          <w:lang w:val="nl-NL"/>
        </w:rPr>
        <w:t xml:space="preserve">nog volgende wijzigingen omvat </w:t>
      </w:r>
      <w:r>
        <w:rPr>
          <w:lang w:val="nl-NL"/>
        </w:rPr>
        <w:t xml:space="preserve">(zie ook figuur </w:t>
      </w:r>
      <w:r w:rsidR="00C325A0">
        <w:rPr>
          <w:lang w:val="nl-NL"/>
        </w:rPr>
        <w:fldChar w:fldCharType="begin"/>
      </w:r>
      <w:r>
        <w:rPr>
          <w:lang w:val="nl-NL"/>
        </w:rPr>
        <w:instrText xml:space="preserve"> REF f_project_plattegrond_f1 \h </w:instrText>
      </w:r>
      <w:r w:rsidR="00C325A0">
        <w:rPr>
          <w:lang w:val="nl-NL"/>
        </w:rPr>
      </w:r>
      <w:r w:rsidR="00C325A0">
        <w:rPr>
          <w:lang w:val="nl-NL"/>
        </w:rPr>
        <w:fldChar w:fldCharType="separate"/>
      </w:r>
      <w:r w:rsidR="008102D8">
        <w:t>V.</w:t>
      </w:r>
      <w:r w:rsidR="008102D8">
        <w:rPr>
          <w:noProof/>
        </w:rPr>
        <w:t>1</w:t>
      </w:r>
      <w:r w:rsidR="00C325A0">
        <w:rPr>
          <w:lang w:val="nl-NL"/>
        </w:rPr>
        <w:fldChar w:fldCharType="end"/>
      </w:r>
      <w:r>
        <w:rPr>
          <w:lang w:val="nl-NL"/>
        </w:rPr>
        <w:t>)</w:t>
      </w:r>
      <w:r w:rsidRPr="00C808B3">
        <w:rPr>
          <w:lang w:val="nl-NL"/>
        </w:rPr>
        <w:t>:</w:t>
      </w:r>
    </w:p>
    <w:p w:rsidR="000F265C" w:rsidRDefault="000F265C" w:rsidP="000F265C">
      <w:pPr>
        <w:pStyle w:val="ListParagraph"/>
        <w:keepNext/>
        <w:keepLines/>
        <w:rPr>
          <w:lang w:val="nl-NL"/>
        </w:rPr>
      </w:pPr>
      <w:r w:rsidRPr="00C808B3">
        <w:rPr>
          <w:lang w:val="nl-NL"/>
        </w:rPr>
        <w:t>Bouwen van 4 extra tanks met bijbehorende verlaadplaats verlaadplaats LP E voor tankenpark 650 uitgerust voor de opslag van zowel (zeer) licht ontvlambare als van (zeer) toxische producten.</w:t>
      </w:r>
    </w:p>
    <w:p w:rsidR="000F265C" w:rsidRDefault="000F265C" w:rsidP="000F265C">
      <w:pPr>
        <w:pStyle w:val="ListParagraph"/>
        <w:keepNext/>
        <w:keepLines/>
        <w:rPr>
          <w:lang w:val="nl-NL"/>
        </w:rPr>
      </w:pPr>
      <w:r w:rsidRPr="00C808B3">
        <w:rPr>
          <w:lang w:val="nl-NL"/>
        </w:rPr>
        <w:t>Met de bouw van de bijkomende tanks voor tankenpark 650 zal een deel van de bestaande vatenloods komen te vervallen waarbij nog één afvullijn behouden blijft. Deze wijziging heeft echter geen invloed op de totaal aanwezige hoeveelheden aan gevaarlijke producten in de terminal.</w:t>
      </w:r>
    </w:p>
    <w:p w:rsidR="000F265C" w:rsidRDefault="000F265C" w:rsidP="000F265C">
      <w:pPr>
        <w:pStyle w:val="ListParagraph"/>
        <w:keepNext/>
        <w:keepLines/>
        <w:rPr>
          <w:lang w:val="nl-NL"/>
        </w:rPr>
      </w:pPr>
      <w:r w:rsidRPr="00C808B3">
        <w:rPr>
          <w:lang w:val="nl-NL"/>
        </w:rPr>
        <w:t>De bestaande tanks in tankenpark 650 en tankenpark 660 worden bijkomend ook voorzien voor de opslag van (zeer) toxische producten.</w:t>
      </w:r>
    </w:p>
    <w:p w:rsidR="0013222E" w:rsidRDefault="0013222E" w:rsidP="0013222E">
      <w:pPr>
        <w:pStyle w:val="tit-5"/>
        <w:outlineLvl w:val="0"/>
        <w:rPr>
          <w:lang w:val="nl"/>
        </w:rPr>
      </w:pPr>
      <w:r>
        <w:rPr>
          <w:lang w:val="nl"/>
        </w:rPr>
        <w:t>Wijzigingen</w:t>
      </w:r>
    </w:p>
    <w:p w:rsidR="0013222E" w:rsidRPr="0038234F" w:rsidRDefault="0013222E" w:rsidP="0013222E">
      <w:pPr>
        <w:keepNext/>
        <w:rPr>
          <w:lang w:val="nl-NL"/>
        </w:rPr>
      </w:pPr>
      <w:r>
        <w:t xml:space="preserve">Na het indienen van het gecombineerde kennisgevingdossier/ontwerp-MER werden door </w:t>
      </w:r>
      <w:fldSimple w:instr=" REF klant \h  \* MERGEFORMAT ">
        <w:r w:rsidR="008102D8">
          <w:t xml:space="preserve">Vopak Terminal Eurotank NV </w:t>
        </w:r>
      </w:fldSimple>
      <w:r>
        <w:t>nog volgende beperkte wijzigingen vooropgesteld voor fase 1 ten opzichte van de beschouwde situatie:</w:t>
      </w:r>
    </w:p>
    <w:p w:rsidR="0013222E" w:rsidRDefault="0013222E" w:rsidP="0013222E">
      <w:pPr>
        <w:pStyle w:val="ListParagraph"/>
        <w:keepNext/>
        <w:keepLines/>
        <w:numPr>
          <w:ilvl w:val="0"/>
          <w:numId w:val="119"/>
        </w:numPr>
        <w:spacing w:before="0" w:after="0" w:line="240" w:lineRule="auto"/>
      </w:pPr>
      <w:r>
        <w:t>vervanging van TK105 (500 m</w:t>
      </w:r>
      <w:r w:rsidRPr="00007C7D">
        <w:rPr>
          <w:vertAlign w:val="superscript"/>
        </w:rPr>
        <w:t>3</w:t>
      </w:r>
      <w:r>
        <w:t>) door TK101 (750 m</w:t>
      </w:r>
      <w:r w:rsidRPr="00007C7D">
        <w:rPr>
          <w:vertAlign w:val="superscript"/>
        </w:rPr>
        <w:t>3</w:t>
      </w:r>
      <w:r>
        <w:t>) die moet wijken naar aanleiding van de aanpassing van de inkuipingsmuur van tankenpark 10/50/100/200.  Gezien  de bijkomende capaciteit t.o.v. de beschouwde situatie in de effectenbeoordelingen slechts ca. 0,05% van de totale opslagcapaciteit</w:t>
      </w:r>
      <w:r>
        <w:rPr>
          <w:rStyle w:val="FootnoteReference"/>
        </w:rPr>
        <w:footnoteReference w:id="35"/>
      </w:r>
      <w:r>
        <w:t xml:space="preserve"> (500.640 m</w:t>
      </w:r>
      <w:r w:rsidRPr="00007C7D">
        <w:rPr>
          <w:vertAlign w:val="superscript"/>
        </w:rPr>
        <w:t>3</w:t>
      </w:r>
      <w:r>
        <w:t xml:space="preserve">) bedraagt wordt geen invloed verwacht op de resultaten van de impactberekeningen. </w:t>
      </w:r>
    </w:p>
    <w:p w:rsidR="0013222E" w:rsidRDefault="0013222E" w:rsidP="0013222E">
      <w:pPr>
        <w:pStyle w:val="ListParagraph"/>
        <w:keepNext/>
        <w:keepLines/>
        <w:numPr>
          <w:ilvl w:val="0"/>
          <w:numId w:val="119"/>
        </w:numPr>
        <w:spacing w:before="0" w:after="0" w:line="240" w:lineRule="auto"/>
      </w:pPr>
      <w:r>
        <w:t>Er wordt een nieuwe kademuur voorzien (over de volledige lengte van de grens van het bedrijfsterrein met de dokken en met een breedte ca. 3 m) alsook gepland het dok te verdiepen  in samenwerking met het Gemeentelijk Havenbedrijf Antwerpen. In dit verband is tevens een nieuwe steiger ST8 voorzien specifiek voor overslag van en naar TP800. Voor aan- en afvoer via de steiger ST8 zal het inzake brandbaarheid gaan om P3-producten terwijl via de pijpleiding het P1-producten betreft. De aard van de opgeslagen producten zal dus mee bepalen welk alternatief in werkelijkheid zal gebruikt worden. In dit verband wenst Vopak Terminal Eurotank NV over beide mogelijkheden te beschikken.</w:t>
      </w:r>
    </w:p>
    <w:p w:rsidR="0013222E" w:rsidRDefault="0013222E" w:rsidP="0013222E">
      <w:pPr>
        <w:pStyle w:val="ListParagraph"/>
        <w:keepNext/>
        <w:keepLines/>
        <w:numPr>
          <w:ilvl w:val="1"/>
          <w:numId w:val="119"/>
        </w:numPr>
        <w:spacing w:before="0" w:after="0" w:line="240" w:lineRule="auto"/>
      </w:pPr>
      <w:r>
        <w:t xml:space="preserve">Het extra transport dat wordt gegenereerd door scheepsverkeer is beperkt. Gezien het scheepsverkeer van </w:t>
      </w:r>
      <w:r w:rsidR="00C325A0">
        <w:fldChar w:fldCharType="begin"/>
      </w:r>
      <w:r>
        <w:instrText xml:space="preserve"> REF klant \h </w:instrText>
      </w:r>
      <w:r w:rsidR="00C325A0">
        <w:fldChar w:fldCharType="separate"/>
      </w:r>
      <w:r w:rsidR="008102D8">
        <w:t xml:space="preserve">Vopak Terminal Eurotank NV </w:t>
      </w:r>
      <w:r w:rsidR="00C325A0">
        <w:fldChar w:fldCharType="end"/>
      </w:r>
      <w:r w:rsidRPr="00E325E1">
        <w:t xml:space="preserve"> </w:t>
      </w:r>
      <w:r>
        <w:t xml:space="preserve">slechts een beperkt aandeel uitmaakt van het scheepsverkeer in de Antwerpse haven (zie ook § </w:t>
      </w:r>
      <w:r w:rsidR="00C325A0">
        <w:fldChar w:fldCharType="begin"/>
      </w:r>
      <w:r>
        <w:instrText xml:space="preserve"> REF _Ref311457229 \w \h </w:instrText>
      </w:r>
      <w:r w:rsidR="00C325A0">
        <w:fldChar w:fldCharType="separate"/>
      </w:r>
      <w:r w:rsidR="008102D8">
        <w:t>VIII2.5.2.3</w:t>
      </w:r>
      <w:r w:rsidR="00C325A0">
        <w:fldChar w:fldCharType="end"/>
      </w:r>
      <w:r>
        <w:t xml:space="preserve"> en </w:t>
      </w:r>
      <w:r w:rsidR="00C325A0">
        <w:fldChar w:fldCharType="begin"/>
      </w:r>
      <w:r>
        <w:instrText xml:space="preserve"> REF _Ref311457236 \w \h </w:instrText>
      </w:r>
      <w:r w:rsidR="00C325A0">
        <w:fldChar w:fldCharType="separate"/>
      </w:r>
      <w:r w:rsidR="008102D8">
        <w:t>VIII2.6.2.5</w:t>
      </w:r>
      <w:r w:rsidR="00C325A0">
        <w:fldChar w:fldCharType="end"/>
      </w:r>
      <w:r>
        <w:t>) is geen significante bijkomende impact te verwachten. Tevens wordt verwacht dat m.b.t. de NOx emissie in de toekomst een aanzienlijke aanscherping van de emissienormen wordt voorzien, zodat de impact van de scheepvaart zal afnemen.</w:t>
      </w:r>
    </w:p>
    <w:p w:rsidR="0013222E" w:rsidRDefault="0013222E" w:rsidP="0013222E">
      <w:pPr>
        <w:pStyle w:val="ListParagraph"/>
        <w:keepNext/>
        <w:keepLines/>
        <w:numPr>
          <w:ilvl w:val="1"/>
          <w:numId w:val="119"/>
        </w:numPr>
        <w:spacing w:before="0" w:after="0" w:line="240" w:lineRule="auto"/>
      </w:pPr>
      <w:r>
        <w:t>De luchtemissies gerelateerd aan de opslag en doorzet van P3-producten zijn kleiner dan de luchtemissies gekoppeld aan de opslag van P1-producten in TP800. De opslag van P1-producten werd onrechtstreeks</w:t>
      </w:r>
      <w:r>
        <w:rPr>
          <w:rStyle w:val="FootnoteReference"/>
        </w:rPr>
        <w:footnoteReference w:id="36"/>
      </w:r>
      <w:r>
        <w:t xml:space="preserve"> reeds opgenomen in de impactberekeningen van de discipline lucht. Er is dus geen significante toename van de luchtemissies te verwachten bij opslag en doorzet van P3-producten. </w:t>
      </w:r>
    </w:p>
    <w:p w:rsidR="0013222E" w:rsidRDefault="0013222E" w:rsidP="0013222E">
      <w:pPr>
        <w:pStyle w:val="ListParagraph"/>
        <w:keepNext/>
        <w:keepLines/>
        <w:numPr>
          <w:ilvl w:val="0"/>
          <w:numId w:val="119"/>
        </w:numPr>
        <w:spacing w:before="0" w:after="0" w:line="240" w:lineRule="auto"/>
      </w:pPr>
      <w:r>
        <w:t xml:space="preserve">De zone voor standplaats en reinigen van eigen tankwagens wordt </w:t>
      </w:r>
      <w:r w:rsidR="00B1573D">
        <w:t>gecentraliseerd</w:t>
      </w:r>
      <w:r>
        <w:t>. Deze wijziging heeft geen invloed op milieu-effecten.</w:t>
      </w:r>
    </w:p>
    <w:p w:rsidR="000F265C" w:rsidRDefault="000F265C" w:rsidP="000F265C">
      <w:pPr>
        <w:pStyle w:val="tit-5"/>
        <w:outlineLvl w:val="0"/>
        <w:rPr>
          <w:lang w:val="nl"/>
        </w:rPr>
      </w:pPr>
      <w:r>
        <w:rPr>
          <w:lang w:val="nl"/>
        </w:rPr>
        <w:t>globaal overzicht</w:t>
      </w:r>
    </w:p>
    <w:p w:rsidR="000F265C" w:rsidRDefault="000F265C" w:rsidP="000F265C">
      <w:pPr>
        <w:rPr>
          <w:lang w:val="nl"/>
        </w:rPr>
      </w:pPr>
      <w:r>
        <w:rPr>
          <w:lang w:val="nl"/>
        </w:rPr>
        <w:lastRenderedPageBreak/>
        <w:t xml:space="preserve">Een globaal overzicht van de wijzigingen m.b.t. de opslagfaciliteiten is – naast op de vermelde figuren – ook opgenomen in tabel </w:t>
      </w:r>
      <w:r w:rsidR="00C325A0">
        <w:rPr>
          <w:lang w:val="nl"/>
        </w:rPr>
        <w:fldChar w:fldCharType="begin"/>
      </w:r>
      <w:r>
        <w:rPr>
          <w:lang w:val="nl"/>
        </w:rPr>
        <w:instrText xml:space="preserve"> REF t_project_opslagtanks \h </w:instrText>
      </w:r>
      <w:r w:rsidR="00C325A0">
        <w:rPr>
          <w:lang w:val="nl"/>
        </w:rPr>
      </w:r>
      <w:r w:rsidR="00C325A0">
        <w:rPr>
          <w:lang w:val="nl"/>
        </w:rPr>
        <w:fldChar w:fldCharType="separate"/>
      </w:r>
      <w:r w:rsidR="008102D8">
        <w:t>IV.</w:t>
      </w:r>
      <w:r w:rsidR="008102D8">
        <w:rPr>
          <w:noProof/>
        </w:rPr>
        <w:t>2</w:t>
      </w:r>
      <w:r w:rsidR="00C325A0">
        <w:rPr>
          <w:lang w:val="nl"/>
        </w:rPr>
        <w:fldChar w:fldCharType="end"/>
      </w:r>
      <w:r w:rsidR="001B30C5">
        <w:rPr>
          <w:rStyle w:val="FootnoteReference"/>
          <w:lang w:val="nl"/>
        </w:rPr>
        <w:footnoteReference w:id="37"/>
      </w:r>
      <w:r w:rsidRPr="00C808B3">
        <w:rPr>
          <w:lang w:val="nl"/>
        </w:rPr>
        <w:t xml:space="preserve"> met het overzicht van</w:t>
      </w:r>
      <w:r>
        <w:rPr>
          <w:lang w:val="nl"/>
        </w:rPr>
        <w:t xml:space="preserve"> </w:t>
      </w:r>
      <w:r w:rsidRPr="00C808B3">
        <w:rPr>
          <w:lang w:val="nl"/>
        </w:rPr>
        <w:t>de tanks in de fase 1 en de fase 2. In de tabel worden de wijzigingen aangeduid in het</w:t>
      </w:r>
      <w:r>
        <w:rPr>
          <w:lang w:val="nl"/>
        </w:rPr>
        <w:t xml:space="preserve"> </w:t>
      </w:r>
      <w:r w:rsidRPr="00C808B3">
        <w:rPr>
          <w:lang w:val="nl"/>
        </w:rPr>
        <w:t>rood.</w:t>
      </w:r>
    </w:p>
    <w:p w:rsidR="000F265C" w:rsidRDefault="000F265C" w:rsidP="000F265C">
      <w:pPr>
        <w:rPr>
          <w:lang w:val="nl"/>
        </w:rPr>
      </w:pPr>
      <w:r>
        <w:rPr>
          <w:lang w:val="nl"/>
        </w:rPr>
        <w:t>Finaal</w:t>
      </w:r>
      <w:r w:rsidRPr="00C808B3">
        <w:rPr>
          <w:lang w:val="nl"/>
        </w:rPr>
        <w:t xml:space="preserve"> wordt nog opgemerkt dat globaal voor de wijzigingen waar het om een</w:t>
      </w:r>
      <w:r>
        <w:rPr>
          <w:lang w:val="nl"/>
        </w:rPr>
        <w:t xml:space="preserve"> </w:t>
      </w:r>
      <w:r w:rsidRPr="00C808B3">
        <w:rPr>
          <w:lang w:val="nl"/>
        </w:rPr>
        <w:t>vernieuwing/vervanging gaat zoals van o.m. verlaadplaatsen, de vergunde installaties in</w:t>
      </w:r>
      <w:r>
        <w:rPr>
          <w:lang w:val="nl"/>
        </w:rPr>
        <w:t xml:space="preserve"> </w:t>
      </w:r>
      <w:r w:rsidRPr="00C808B3">
        <w:rPr>
          <w:lang w:val="nl"/>
        </w:rPr>
        <w:t>dienst zullen blijven totdat de nieuwe die ze vervangen, in dienst zijn.</w:t>
      </w:r>
    </w:p>
    <w:p w:rsidR="00EC713B" w:rsidRDefault="00EC713B" w:rsidP="004F40A7">
      <w:pPr>
        <w:pStyle w:val="Heading2"/>
      </w:pPr>
      <w:bookmarkStart w:id="542" w:name="_Toc312069237"/>
      <w:r>
        <w:t>Verantwoording van de wijzigingen</w:t>
      </w:r>
      <w:bookmarkEnd w:id="542"/>
    </w:p>
    <w:p w:rsidR="00EC713B" w:rsidRDefault="00EC713B" w:rsidP="00AF3F9E">
      <w:r>
        <w:t>Vopak beschikt reeds over andere terminals in de Antwerpse regio zijnde VTL</w:t>
      </w:r>
      <w:r>
        <w:rPr>
          <w:rStyle w:val="FootnoteReference"/>
          <w:lang w:val="nl-NL"/>
        </w:rPr>
        <w:footnoteReference w:id="38"/>
      </w:r>
      <w:r>
        <w:t xml:space="preserve"> en VTA</w:t>
      </w:r>
      <w:r>
        <w:rPr>
          <w:rStyle w:val="FootnoteReference"/>
          <w:lang w:val="nl-NL"/>
        </w:rPr>
        <w:footnoteReference w:id="39"/>
      </w:r>
      <w:r>
        <w:t>. De keuze voor de opslag in één van haar terminals houdt verband met de vergunning, de beschikbare opslagcapaciteit, de uitrustig</w:t>
      </w:r>
      <w:r w:rsidR="00495AA8">
        <w:t>e</w:t>
      </w:r>
      <w:r>
        <w:t>n en de overslagmogelijkheden voor elk van de terminals. In praktijk heeft de Vopak groep nood aan een uitbreiding van de terminal VTE om te kunnen voldoen aan de vraag van haar klanten. Het gaat bijkomend om enerzijds het anticiperen op de groeiende markt en anderzijds het eventueel uit de markt nemen van verouderde capaciteit met minder gunstige geografische ligging en/of oudere installaties om aldus competitief te kunnen blijven.</w:t>
      </w:r>
    </w:p>
    <w:p w:rsidR="00C808B3" w:rsidRPr="00C808B3" w:rsidRDefault="00EC713B" w:rsidP="00AF3F9E">
      <w:pPr>
        <w:rPr>
          <w:lang w:val="nl"/>
        </w:rPr>
      </w:pPr>
      <w:r>
        <w:t xml:space="preserve">De grotere diepgang ter hoogte van steiger ST2 is niet om grotere schepen te kunnen verladen maar wel is het hierdoor niet langer nodig dat schepen met een te grote diepgang eerst elders een deel </w:t>
      </w:r>
      <w:r w:rsidR="00495AA8">
        <w:t>v</w:t>
      </w:r>
      <w:r>
        <w:t xml:space="preserve">an hun lading moeten lossen vooraleer ze de inrichting van </w:t>
      </w:r>
      <w:r w:rsidR="00C325A0">
        <w:fldChar w:fldCharType="begin"/>
      </w:r>
      <w:r w:rsidR="00F077DA">
        <w:instrText xml:space="preserve"> klant </w:instrText>
      </w:r>
      <w:r w:rsidR="00C325A0">
        <w:fldChar w:fldCharType="separate"/>
      </w:r>
      <w:r w:rsidR="008102D8">
        <w:t xml:space="preserve">Vopak Terminal Eurotank NV </w:t>
      </w:r>
      <w:r w:rsidR="00C325A0">
        <w:fldChar w:fldCharType="end"/>
      </w:r>
      <w:r w:rsidR="003E50C4">
        <w:t xml:space="preserve"> kunnen aandoen en waardoor tevens de Haven van Antwerpen voor deze schepen als eerste aanloophaven dienst kan doen.</w:t>
      </w:r>
      <w:r>
        <w:t xml:space="preserve"> Dit maakt dat er minder wachttijden en ook </w:t>
      </w:r>
      <w:r w:rsidR="00495AA8">
        <w:t>m</w:t>
      </w:r>
      <w:r>
        <w:t>inder handelingen zijn in dit verband wat globaal een verbetering is.</w:t>
      </w:r>
      <w:r w:rsidR="00C808B3">
        <w:rPr>
          <w:lang w:val="nl"/>
        </w:rPr>
        <w:t xml:space="preserve"> </w:t>
      </w:r>
    </w:p>
    <w:p w:rsidR="00D913E2" w:rsidRPr="00C808B3" w:rsidRDefault="00D913E2" w:rsidP="00AF3F9E">
      <w:pPr>
        <w:rPr>
          <w:lang w:val="nl"/>
        </w:rPr>
        <w:sectPr w:rsidR="00D913E2" w:rsidRPr="00C808B3" w:rsidSect="00C54545">
          <w:headerReference w:type="default" r:id="rId49"/>
          <w:pgSz w:w="11909" w:h="16834" w:code="9"/>
          <w:pgMar w:top="1240" w:right="1277" w:bottom="1440" w:left="1440" w:header="454" w:footer="709" w:gutter="0"/>
          <w:pgNumType w:start="1" w:chapStyle="1" w:chapSep="period"/>
          <w:cols w:space="708"/>
        </w:sectPr>
      </w:pPr>
    </w:p>
    <w:p w:rsidR="00AF5F28" w:rsidRDefault="00AF5F28" w:rsidP="004F40A7">
      <w:pPr>
        <w:pStyle w:val="Heading1"/>
      </w:pPr>
      <w:bookmarkStart w:id="543" w:name="_Toc107126368"/>
      <w:bookmarkStart w:id="544" w:name="_Toc154566661"/>
      <w:bookmarkStart w:id="545" w:name="_Toc155591958"/>
      <w:bookmarkStart w:id="546" w:name="_Toc160437890"/>
      <w:bookmarkStart w:id="547" w:name="_Toc161021364"/>
      <w:bookmarkStart w:id="548" w:name="_Toc161649818"/>
      <w:bookmarkStart w:id="549" w:name="_Toc162148849"/>
      <w:bookmarkStart w:id="550" w:name="_Toc162939462"/>
      <w:bookmarkStart w:id="551" w:name="_Toc162940241"/>
      <w:bookmarkStart w:id="552" w:name="_Toc163300639"/>
      <w:bookmarkStart w:id="553" w:name="_Toc163303356"/>
      <w:bookmarkStart w:id="554" w:name="_Toc163545195"/>
      <w:bookmarkStart w:id="555" w:name="_Toc163622458"/>
      <w:bookmarkStart w:id="556" w:name="_Toc169529798"/>
      <w:bookmarkStart w:id="557" w:name="_Toc170203132"/>
      <w:bookmarkStart w:id="558" w:name="_Toc171153403"/>
      <w:bookmarkStart w:id="559" w:name="_Toc171438875"/>
      <w:bookmarkStart w:id="560" w:name="_Toc173232386"/>
      <w:bookmarkStart w:id="561" w:name="_Toc180228937"/>
      <w:bookmarkStart w:id="562" w:name="_Toc181154096"/>
      <w:bookmarkStart w:id="563" w:name="_Toc182486259"/>
      <w:bookmarkStart w:id="564" w:name="_Toc183519545"/>
      <w:bookmarkStart w:id="565" w:name="_Toc183832343"/>
      <w:bookmarkStart w:id="566" w:name="_Toc183851293"/>
      <w:bookmarkStart w:id="567" w:name="_Toc183851525"/>
      <w:bookmarkStart w:id="568" w:name="_Toc184443595"/>
      <w:bookmarkStart w:id="569" w:name="_Toc185067535"/>
      <w:bookmarkStart w:id="570" w:name="_Toc189406926"/>
      <w:bookmarkStart w:id="571" w:name="_Toc189451467"/>
      <w:bookmarkStart w:id="572" w:name="_Toc189629863"/>
      <w:bookmarkStart w:id="573" w:name="_Toc224380830"/>
      <w:bookmarkStart w:id="574" w:name="_Toc225309202"/>
      <w:bookmarkStart w:id="575" w:name="_Toc225840147"/>
      <w:bookmarkStart w:id="576" w:name="_Toc225909977"/>
      <w:bookmarkStart w:id="577" w:name="_Toc230433032"/>
      <w:bookmarkStart w:id="578" w:name="_Toc230433581"/>
      <w:bookmarkStart w:id="579" w:name="_Toc236217842"/>
      <w:bookmarkStart w:id="580" w:name="_Toc241482727"/>
      <w:bookmarkStart w:id="581" w:name="_Toc248029448"/>
      <w:bookmarkStart w:id="582" w:name="_Toc251256977"/>
      <w:bookmarkStart w:id="583" w:name="_Toc251767779"/>
      <w:bookmarkStart w:id="584" w:name="_Toc253038377"/>
      <w:bookmarkStart w:id="585" w:name="_Toc259197842"/>
      <w:bookmarkStart w:id="586" w:name="_Toc263434232"/>
      <w:bookmarkStart w:id="587" w:name="_Toc271806523"/>
      <w:bookmarkStart w:id="588" w:name="_Toc272754356"/>
      <w:bookmarkStart w:id="589" w:name="_Toc272754514"/>
      <w:bookmarkStart w:id="590" w:name="_Toc272754672"/>
      <w:bookmarkStart w:id="591" w:name="_Toc278442294"/>
      <w:bookmarkStart w:id="592" w:name="_Toc279411676"/>
      <w:bookmarkStart w:id="593" w:name="hfdst6"/>
      <w:bookmarkStart w:id="594" w:name="_Toc279480180"/>
      <w:bookmarkStart w:id="595" w:name="_Toc282505708"/>
      <w:bookmarkStart w:id="596" w:name="_Toc295920144"/>
      <w:bookmarkStart w:id="597" w:name="_Toc295923375"/>
      <w:bookmarkStart w:id="598" w:name="_Toc295923687"/>
      <w:bookmarkStart w:id="599" w:name="_Toc295995285"/>
      <w:bookmarkStart w:id="600" w:name="_Toc296004867"/>
      <w:bookmarkStart w:id="601" w:name="_Toc296085818"/>
      <w:bookmarkStart w:id="602" w:name="_Toc296330725"/>
      <w:bookmarkStart w:id="603" w:name="_Toc296419441"/>
      <w:bookmarkStart w:id="604" w:name="_Toc297286187"/>
      <w:bookmarkStart w:id="605" w:name="_Toc297542487"/>
      <w:bookmarkStart w:id="606" w:name="_Toc297546626"/>
      <w:bookmarkStart w:id="607" w:name="_Toc297546791"/>
      <w:bookmarkStart w:id="608" w:name="_Toc297546956"/>
      <w:bookmarkStart w:id="609" w:name="_Toc297547121"/>
      <w:bookmarkStart w:id="610" w:name="_Toc297553622"/>
      <w:bookmarkStart w:id="611" w:name="_Toc297649788"/>
      <w:bookmarkStart w:id="612" w:name="_Toc297722588"/>
      <w:bookmarkStart w:id="613" w:name="_Toc297725606"/>
      <w:bookmarkStart w:id="614" w:name="_Toc298161725"/>
      <w:bookmarkStart w:id="615" w:name="_Toc299981072"/>
      <w:bookmarkStart w:id="616" w:name="_Toc299981255"/>
      <w:bookmarkStart w:id="617" w:name="_Toc299981438"/>
      <w:bookmarkStart w:id="618" w:name="_Toc299982653"/>
      <w:bookmarkStart w:id="619" w:name="_Toc299982836"/>
      <w:bookmarkStart w:id="620" w:name="_Toc299985125"/>
      <w:bookmarkStart w:id="621" w:name="_Toc299986224"/>
      <w:bookmarkStart w:id="622" w:name="_Toc299986407"/>
      <w:bookmarkStart w:id="623" w:name="_Toc300045613"/>
      <w:bookmarkStart w:id="624" w:name="_Toc300232302"/>
      <w:bookmarkStart w:id="625" w:name="_Toc300303666"/>
      <w:bookmarkStart w:id="626" w:name="_Toc300559590"/>
      <w:bookmarkStart w:id="627" w:name="_Toc300560998"/>
      <w:bookmarkStart w:id="628" w:name="_Toc300561614"/>
      <w:bookmarkStart w:id="629" w:name="_Toc300561797"/>
      <w:bookmarkStart w:id="630" w:name="_Toc300562744"/>
      <w:bookmarkStart w:id="631" w:name="_Toc311109245"/>
      <w:bookmarkStart w:id="632" w:name="_Toc311212610"/>
      <w:bookmarkStart w:id="633" w:name="_Toc311451877"/>
      <w:bookmarkStart w:id="634" w:name="_Toc312069238"/>
      <w:r>
        <w:lastRenderedPageBreak/>
        <w:t>Beschrijving van overwogen alternatieven</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AF5F28" w:rsidRDefault="00AF5F28" w:rsidP="00AF3F9E">
      <w:pPr>
        <w:rPr>
          <w:lang w:val="nl"/>
        </w:rPr>
      </w:pPr>
    </w:p>
    <w:p w:rsidR="00AF5F28" w:rsidRDefault="00AF5F28" w:rsidP="00AF3F9E">
      <w:pPr>
        <w:rPr>
          <w:lang w:val="nl"/>
        </w:rPr>
        <w:sectPr w:rsidR="00AF5F28" w:rsidSect="00C54545">
          <w:headerReference w:type="even" r:id="rId50"/>
          <w:headerReference w:type="default" r:id="rId51"/>
          <w:headerReference w:type="first" r:id="rId52"/>
          <w:pgSz w:w="11909" w:h="16834" w:code="9"/>
          <w:pgMar w:top="1240" w:right="1440" w:bottom="1440" w:left="1440" w:header="454" w:footer="709" w:gutter="0"/>
          <w:pgNumType w:start="1" w:chapStyle="1" w:chapSep="period"/>
          <w:cols w:space="708"/>
        </w:sectPr>
      </w:pPr>
    </w:p>
    <w:p w:rsidR="00CF2658" w:rsidRDefault="00DB1CFD" w:rsidP="004F40A7">
      <w:pPr>
        <w:pStyle w:val="Heading2"/>
      </w:pPr>
      <w:bookmarkStart w:id="635" w:name="_Toc312069239"/>
      <w:r>
        <w:lastRenderedPageBreak/>
        <w:t>Nulalternatief</w:t>
      </w:r>
      <w:bookmarkEnd w:id="635"/>
    </w:p>
    <w:p w:rsidR="007F30AF" w:rsidRDefault="007F30AF" w:rsidP="00AF3F9E">
      <w:pPr>
        <w:rPr>
          <w:lang w:val="nl"/>
        </w:rPr>
      </w:pPr>
      <w:r>
        <w:rPr>
          <w:lang w:val="nl"/>
        </w:rPr>
        <w:t xml:space="preserve">Het nulalternatief behelst het behoud van de vergunde situatie. </w:t>
      </w:r>
    </w:p>
    <w:p w:rsidR="007F30AF" w:rsidRDefault="007F30AF" w:rsidP="00AF3F9E">
      <w:pPr>
        <w:rPr>
          <w:lang w:val="nl"/>
        </w:rPr>
      </w:pPr>
      <w:r>
        <w:rPr>
          <w:lang w:val="nl"/>
        </w:rPr>
        <w:t xml:space="preserve">Momenteel is er een toenemende vraag om de opslag van (gevaarlijke) chemische vloeistoffen uit te besteden aan bedrijven die hierin gespecialiseerd zijn. </w:t>
      </w:r>
      <w:r>
        <w:t>Bij opslag in een specifiek voor opslag uitgeruste inrichting kan een betere beheersing van de daaraan verbonden kosten en risico’s</w:t>
      </w:r>
      <w:r>
        <w:rPr>
          <w:rStyle w:val="FootnoteReference"/>
        </w:rPr>
        <w:footnoteReference w:id="40"/>
      </w:r>
      <w:r>
        <w:t xml:space="preserve"> mogelijk zijn.</w:t>
      </w:r>
    </w:p>
    <w:p w:rsidR="007F30AF" w:rsidRDefault="007F30AF" w:rsidP="00AF3F9E">
      <w:pPr>
        <w:rPr>
          <w:lang w:val="nl"/>
        </w:rPr>
      </w:pPr>
      <w:r>
        <w:rPr>
          <w:lang w:val="nl"/>
        </w:rPr>
        <w:t xml:space="preserve">Om afdoende te kunnen anticiperen op deze vraag is het voor </w:t>
      </w:r>
      <w:r w:rsidR="00C325A0">
        <w:rPr>
          <w:lang w:val="nl"/>
        </w:rPr>
        <w:fldChar w:fldCharType="begin"/>
      </w:r>
      <w:r>
        <w:rPr>
          <w:lang w:val="nl"/>
        </w:rPr>
        <w:instrText xml:space="preserve"> klant </w:instrText>
      </w:r>
      <w:r w:rsidR="00C325A0">
        <w:rPr>
          <w:lang w:val="nl"/>
        </w:rPr>
        <w:fldChar w:fldCharType="separate"/>
      </w:r>
      <w:r w:rsidR="008102D8">
        <w:t xml:space="preserve">Vopak Terminal Eurotank NV </w:t>
      </w:r>
      <w:r w:rsidR="00C325A0">
        <w:rPr>
          <w:lang w:val="nl"/>
        </w:rPr>
        <w:fldChar w:fldCharType="end"/>
      </w:r>
      <w:r>
        <w:rPr>
          <w:lang w:val="nl"/>
        </w:rPr>
        <w:t xml:space="preserve"> noodzakelijk om de huidige tankterminal alsook de aard en de hoeveelheid aan gevaarlijke stoffen die mogen opgeslagen worden, uit te breiden.</w:t>
      </w:r>
      <w:r w:rsidR="00495AA8">
        <w:rPr>
          <w:lang w:val="nl"/>
        </w:rPr>
        <w:t xml:space="preserve"> De uitbreiding biedt ook de mogelijkheid om verouderde installaties uit dienst te nemen.</w:t>
      </w:r>
    </w:p>
    <w:p w:rsidR="007F30AF" w:rsidRDefault="007F30AF" w:rsidP="00AF3F9E">
      <w:pPr>
        <w:rPr>
          <w:lang w:val="nl"/>
        </w:rPr>
      </w:pPr>
      <w:r>
        <w:rPr>
          <w:lang w:val="nl"/>
        </w:rPr>
        <w:t xml:space="preserve">Het nulalternatief is op zich dan ook vanuit bedrijfseconomische overwegingen, geen alternatief. </w:t>
      </w:r>
    </w:p>
    <w:p w:rsidR="00AB3B84" w:rsidRPr="00EE2CEF" w:rsidRDefault="007F30AF" w:rsidP="00AF3F9E">
      <w:r>
        <w:rPr>
          <w:lang w:val="nl"/>
        </w:rPr>
        <w:t>Dit neemt echter niet weg, dat in het MER de milieueffecten van het nulalternatief binnen de referentiesituatie zullen bestudeerd worden.</w:t>
      </w:r>
    </w:p>
    <w:p w:rsidR="00A42ACE" w:rsidRDefault="00DB1CFD" w:rsidP="004F40A7">
      <w:pPr>
        <w:pStyle w:val="Heading2"/>
      </w:pPr>
      <w:bookmarkStart w:id="636" w:name="_Toc312069240"/>
      <w:r>
        <w:t>Locatiealternatief</w:t>
      </w:r>
      <w:bookmarkEnd w:id="636"/>
    </w:p>
    <w:p w:rsidR="00691D53" w:rsidRDefault="00AB3B84" w:rsidP="00AF3F9E">
      <w:r>
        <w:t xml:space="preserve">De vestigingsplaats van de terminal van </w:t>
      </w:r>
      <w:r w:rsidR="00EC713B">
        <w:t>VTE</w:t>
      </w:r>
      <w:r>
        <w:t xml:space="preserve"> houdt rechtstreeks verband met de aanwezi</w:t>
      </w:r>
      <w:r w:rsidR="007F30AF">
        <w:t>g</w:t>
      </w:r>
      <w:r>
        <w:t xml:space="preserve">heid van </w:t>
      </w:r>
      <w:r w:rsidR="007F30AF">
        <w:t>h</w:t>
      </w:r>
      <w:r>
        <w:t>et dok en de mogelijkheid tot aan- en afvoer via lichters en zeeschepen, alsook met de nog beschikbare ruimte voor de inplanting van twee nieuwe tankenparken binnen het huidige bedrijfsterrein van de terminal.</w:t>
      </w:r>
    </w:p>
    <w:p w:rsidR="00EC713B" w:rsidRDefault="00EC713B" w:rsidP="00AF3F9E">
      <w:r>
        <w:t>Het is dan ook evident dat de uitbreiding van de huidige terminal gerealiseerd wordt binnen de bestaande terminal, aangezien hier reeds de nodige faciliteiten aanwezig zijn voor de op- en overslag van vloeistoffen</w:t>
      </w:r>
    </w:p>
    <w:p w:rsidR="00DE04B4" w:rsidRPr="00DB1CFD" w:rsidRDefault="00EC713B" w:rsidP="00AF3F9E">
      <w:r>
        <w:t>Locatiealternatieven worden dan ook in het MER niet in beschouwing genomen.</w:t>
      </w:r>
    </w:p>
    <w:p w:rsidR="00A42ACE" w:rsidRDefault="00A42ACE" w:rsidP="004F40A7">
      <w:pPr>
        <w:pStyle w:val="Heading2"/>
      </w:pPr>
      <w:bookmarkStart w:id="637" w:name="_Toc312069241"/>
      <w:r>
        <w:t>Uitvoeringsalternatie</w:t>
      </w:r>
      <w:r w:rsidR="00D27FA3">
        <w:t>ven</w:t>
      </w:r>
      <w:r w:rsidR="007F30AF">
        <w:t xml:space="preserve"> en BBT</w:t>
      </w:r>
      <w:bookmarkEnd w:id="637"/>
    </w:p>
    <w:p w:rsidR="007F30AF" w:rsidRDefault="007F30AF" w:rsidP="00AF3F9E">
      <w:pPr>
        <w:rPr>
          <w:lang w:val="nl-NL"/>
        </w:rPr>
      </w:pPr>
      <w:r w:rsidRPr="0032671B">
        <w:rPr>
          <w:lang w:val="nl-NL"/>
        </w:rPr>
        <w:t xml:space="preserve">De activiteit van op- en overslag is op zich een zeer eenvoudige activiteit waarvoor de uitvoering, zijnde een opslagtank en de installaties voor overslag, vastligt. </w:t>
      </w:r>
    </w:p>
    <w:p w:rsidR="009F1995" w:rsidRDefault="007F30AF" w:rsidP="00AF3F9E">
      <w:pPr>
        <w:rPr>
          <w:lang w:val="nl-NL"/>
        </w:rPr>
      </w:pPr>
      <w:r>
        <w:rPr>
          <w:lang w:val="nl-NL"/>
        </w:rPr>
        <w:t>Mogelijke uitvoeringsalternatieven situeren zich dan ook op het niveau van de maatregelen die genomen (kunnen) worden om de emissies van vluchtige organische stoffen bij op- en overslag te beperken.</w:t>
      </w:r>
    </w:p>
    <w:p w:rsidR="007F30AF" w:rsidRPr="00337A06" w:rsidRDefault="007F30AF" w:rsidP="00AF3F9E">
      <w:pPr>
        <w:rPr>
          <w:lang w:val="nl-NL"/>
        </w:rPr>
      </w:pPr>
      <w:r>
        <w:rPr>
          <w:lang w:val="nl-NL"/>
        </w:rPr>
        <w:t>Hieronder is een evaluatie van de genomen maatregelen ter beperking van de emissies van VOS versus BBT/Bref bepalingen opgenomen.</w:t>
      </w:r>
    </w:p>
    <w:p w:rsidR="007F30AF" w:rsidRDefault="007F30AF" w:rsidP="00E52C07">
      <w:pPr>
        <w:keepNext/>
      </w:pPr>
      <w:r>
        <w:rPr>
          <w:lang w:val="nl-NL"/>
        </w:rPr>
        <w:lastRenderedPageBreak/>
        <w:t>Ten aanzien van het toepassen van BBT</w:t>
      </w:r>
      <w:r>
        <w:t xml:space="preserve"> kunnen o.a. de hierna vermelde maatregelen, zoals opgenomen in  de BAT studie “Emissions from Storage, Euopean Commission; july </w:t>
      </w:r>
      <w:smartTag w:uri="urn:schemas-microsoft-com:office:smarttags" w:element="metricconverter">
        <w:smartTagPr>
          <w:attr w:name="ProductID" w:val="2006”"/>
        </w:smartTagPr>
        <w:r>
          <w:t>2006”</w:t>
        </w:r>
      </w:smartTag>
      <w:r>
        <w:t xml:space="preserve"> geciteerd worden (maatregelen waarmee alle betrokken partijen bij de opmaak van het BAT akkoord gingen), en welke reeds projectmatig geïntegreerd zijn</w:t>
      </w:r>
      <w:r w:rsidRPr="00747ACA">
        <w:t>:</w:t>
      </w:r>
    </w:p>
    <w:p w:rsidR="007F30AF" w:rsidRDefault="007F30AF" w:rsidP="00E52C07">
      <w:pPr>
        <w:pStyle w:val="ListParagraph"/>
        <w:keepNext/>
        <w:keepLines/>
        <w:numPr>
          <w:ilvl w:val="0"/>
          <w:numId w:val="91"/>
        </w:numPr>
      </w:pPr>
      <w:r>
        <w:t>Aanbrengen geschikte, sterk reflecterende verf</w:t>
      </w:r>
    </w:p>
    <w:p w:rsidR="007F30AF" w:rsidRPr="00FC3F0E" w:rsidRDefault="007F30AF" w:rsidP="00E52C07">
      <w:pPr>
        <w:pStyle w:val="ListParagraph"/>
        <w:keepNext/>
        <w:keepLines/>
        <w:numPr>
          <w:ilvl w:val="0"/>
          <w:numId w:val="91"/>
        </w:numPr>
      </w:pPr>
      <w:r>
        <w:t>VOS-</w:t>
      </w:r>
      <w:r w:rsidRPr="00FC3F0E">
        <w:t xml:space="preserve">emissies </w:t>
      </w:r>
      <w:r>
        <w:t>worden regelmatig berekend</w:t>
      </w:r>
      <w:r w:rsidRPr="00FC3F0E">
        <w:t xml:space="preserve">  </w:t>
      </w:r>
    </w:p>
    <w:p w:rsidR="007F30AF" w:rsidRPr="00FC3F0E" w:rsidRDefault="007F30AF" w:rsidP="00E52C07">
      <w:pPr>
        <w:pStyle w:val="ListParagraph"/>
        <w:keepNext/>
        <w:keepLines/>
        <w:numPr>
          <w:ilvl w:val="0"/>
          <w:numId w:val="91"/>
        </w:numPr>
      </w:pPr>
      <w:r>
        <w:t xml:space="preserve">De nieuwe tanks zijn uitgerust met overdrukventielen met een insteldruk van 100 mbar. </w:t>
      </w:r>
    </w:p>
    <w:p w:rsidR="007F30AF" w:rsidRPr="00FC3F0E" w:rsidRDefault="007F30AF" w:rsidP="00E52C07">
      <w:pPr>
        <w:pStyle w:val="ListParagraph"/>
        <w:keepNext/>
        <w:keepLines/>
        <w:numPr>
          <w:ilvl w:val="0"/>
          <w:numId w:val="91"/>
        </w:numPr>
      </w:pPr>
      <w:r w:rsidRPr="00FC3F0E">
        <w:t xml:space="preserve">Het aantal flenzen </w:t>
      </w:r>
      <w:r>
        <w:t>is beperkt in functie van</w:t>
      </w:r>
      <w:r w:rsidRPr="00FC3F0E">
        <w:t xml:space="preserve"> de beperkingen gesteld door de eisen voor onderhoud van de installatie of flexibiliteit van het transfer systeem</w:t>
      </w:r>
      <w:r w:rsidRPr="00E52C07">
        <w:rPr>
          <w:color w:val="FF0000"/>
        </w:rPr>
        <w:t xml:space="preserve"> </w:t>
      </w:r>
    </w:p>
    <w:p w:rsidR="007F30AF" w:rsidRDefault="007F30AF" w:rsidP="00E52C07">
      <w:pPr>
        <w:pStyle w:val="ListParagraph"/>
        <w:keepNext/>
        <w:keepLines/>
        <w:numPr>
          <w:ilvl w:val="0"/>
          <w:numId w:val="91"/>
        </w:numPr>
      </w:pPr>
      <w:r>
        <w:t>Toepassen van damp-retour bij overslag van stoffen met een dampspanning &gt; 13.3 kPa@35°C (ongeacht de gevaarseigenschap)</w:t>
      </w:r>
    </w:p>
    <w:p w:rsidR="007F30AF" w:rsidRPr="000A7A68" w:rsidRDefault="007F30AF" w:rsidP="00E52C07">
      <w:pPr>
        <w:pStyle w:val="ListParagraph"/>
        <w:keepNext/>
        <w:keepLines/>
        <w:numPr>
          <w:ilvl w:val="0"/>
          <w:numId w:val="91"/>
        </w:numPr>
      </w:pPr>
      <w:r>
        <w:t>Opvang en nabehandeling van emissies verbonden aan de op- en overslag van zeer licht ontvlambare stoffen</w:t>
      </w:r>
    </w:p>
    <w:p w:rsidR="007F30AF" w:rsidRDefault="007F30AF" w:rsidP="00E52C07">
      <w:pPr>
        <w:keepNext/>
      </w:pPr>
      <w:r>
        <w:rPr>
          <w:lang w:val="nl-NL"/>
        </w:rPr>
        <w:t xml:space="preserve">Voor de checklist inzake toepassen BBT wordt verwezen naar </w:t>
      </w:r>
      <w:r w:rsidRPr="008C4BA6">
        <w:rPr>
          <w:lang w:val="nl-NL"/>
        </w:rPr>
        <w:t>bijlage</w:t>
      </w:r>
      <w:r w:rsidR="00AE0E7E">
        <w:rPr>
          <w:lang w:val="nl-NL"/>
        </w:rPr>
        <w:t xml:space="preserve"> </w:t>
      </w:r>
      <w:r w:rsidR="00C325A0">
        <w:rPr>
          <w:lang w:val="nl-NL"/>
        </w:rPr>
        <w:fldChar w:fldCharType="begin"/>
      </w:r>
      <w:r w:rsidR="00AE0E7E">
        <w:rPr>
          <w:lang w:val="nl-NL"/>
        </w:rPr>
        <w:instrText xml:space="preserve"> REF bijlage_BBT \h </w:instrText>
      </w:r>
      <w:r w:rsidR="00C325A0">
        <w:rPr>
          <w:lang w:val="nl-NL"/>
        </w:rPr>
      </w:r>
      <w:r w:rsidR="00C325A0">
        <w:rPr>
          <w:lang w:val="nl-NL"/>
        </w:rPr>
        <w:fldChar w:fldCharType="separate"/>
      </w:r>
      <w:r w:rsidR="008102D8">
        <w:t>3</w:t>
      </w:r>
      <w:r w:rsidR="00C325A0">
        <w:rPr>
          <w:lang w:val="nl-NL"/>
        </w:rPr>
        <w:fldChar w:fldCharType="end"/>
      </w:r>
      <w:r w:rsidR="00915F6C">
        <w:rPr>
          <w:lang w:val="nl-NL"/>
        </w:rPr>
        <w:t>.</w:t>
      </w:r>
    </w:p>
    <w:p w:rsidR="009F1995" w:rsidRDefault="009F1995" w:rsidP="00AF3F9E"/>
    <w:p w:rsidR="009F1995" w:rsidRPr="00FE5738" w:rsidRDefault="009F1995" w:rsidP="00AF3F9E">
      <w:pPr>
        <w:sectPr w:rsidR="009F1995" w:rsidRPr="00FE5738" w:rsidSect="00C54545">
          <w:headerReference w:type="even" r:id="rId53"/>
          <w:headerReference w:type="default" r:id="rId54"/>
          <w:headerReference w:type="first" r:id="rId55"/>
          <w:pgSz w:w="11909" w:h="16834" w:code="9"/>
          <w:pgMar w:top="1240" w:right="1440" w:bottom="1440" w:left="1440" w:header="454" w:footer="709" w:gutter="0"/>
          <w:pgNumType w:start="1" w:chapStyle="1" w:chapSep="period"/>
          <w:cols w:space="708"/>
        </w:sectPr>
      </w:pPr>
    </w:p>
    <w:p w:rsidR="00AF5F28" w:rsidRPr="00BD6BCF" w:rsidRDefault="007D2979" w:rsidP="004F40A7">
      <w:pPr>
        <w:pStyle w:val="Heading1"/>
      </w:pPr>
      <w:bookmarkStart w:id="638" w:name="_Toc107126372"/>
      <w:bookmarkStart w:id="639" w:name="_Toc154566686"/>
      <w:bookmarkStart w:id="640" w:name="_Toc155591983"/>
      <w:bookmarkStart w:id="641" w:name="_Toc160437915"/>
      <w:bookmarkStart w:id="642" w:name="_Toc161021389"/>
      <w:bookmarkStart w:id="643" w:name="_Toc161649843"/>
      <w:bookmarkStart w:id="644" w:name="_Toc162148874"/>
      <w:bookmarkStart w:id="645" w:name="_Toc162939487"/>
      <w:bookmarkStart w:id="646" w:name="_Toc162940266"/>
      <w:bookmarkStart w:id="647" w:name="_Toc163300664"/>
      <w:bookmarkStart w:id="648" w:name="_Toc163303381"/>
      <w:bookmarkStart w:id="649" w:name="_Toc163545220"/>
      <w:bookmarkStart w:id="650" w:name="_Toc163622483"/>
      <w:bookmarkStart w:id="651" w:name="_Toc169529823"/>
      <w:bookmarkStart w:id="652" w:name="_Toc170203157"/>
      <w:bookmarkStart w:id="653" w:name="_Toc171153428"/>
      <w:bookmarkStart w:id="654" w:name="_Toc171438900"/>
      <w:bookmarkStart w:id="655" w:name="_Toc173232389"/>
      <w:bookmarkStart w:id="656" w:name="_Toc180228943"/>
      <w:bookmarkStart w:id="657" w:name="_Toc181154107"/>
      <w:bookmarkStart w:id="658" w:name="_Toc182486270"/>
      <w:bookmarkStart w:id="659" w:name="_Toc183519556"/>
      <w:bookmarkStart w:id="660" w:name="_Toc183832354"/>
      <w:bookmarkStart w:id="661" w:name="_Toc183851304"/>
      <w:bookmarkStart w:id="662" w:name="_Toc183851536"/>
      <w:bookmarkStart w:id="663" w:name="_Toc184443606"/>
      <w:bookmarkStart w:id="664" w:name="_Toc185067546"/>
      <w:bookmarkStart w:id="665" w:name="_Toc189406938"/>
      <w:bookmarkStart w:id="666" w:name="_Toc189451479"/>
      <w:bookmarkStart w:id="667" w:name="_Toc189629875"/>
      <w:bookmarkStart w:id="668" w:name="_Toc224380834"/>
      <w:bookmarkStart w:id="669" w:name="_Toc225309206"/>
      <w:bookmarkStart w:id="670" w:name="_Toc225840151"/>
      <w:bookmarkStart w:id="671" w:name="_Toc225909981"/>
      <w:bookmarkStart w:id="672" w:name="_Toc230433036"/>
      <w:bookmarkStart w:id="673" w:name="_Toc230433585"/>
      <w:bookmarkStart w:id="674" w:name="_Toc236217846"/>
      <w:bookmarkStart w:id="675" w:name="_Toc241482731"/>
      <w:bookmarkStart w:id="676" w:name="_Toc248029459"/>
      <w:bookmarkStart w:id="677" w:name="_Toc251256988"/>
      <w:bookmarkStart w:id="678" w:name="_Toc251767790"/>
      <w:bookmarkStart w:id="679" w:name="_Toc253038388"/>
      <w:bookmarkStart w:id="680" w:name="_Toc259197851"/>
      <w:bookmarkStart w:id="681" w:name="_Toc263434241"/>
      <w:bookmarkStart w:id="682" w:name="_Toc271806532"/>
      <w:bookmarkStart w:id="683" w:name="_Toc272754365"/>
      <w:bookmarkStart w:id="684" w:name="_Toc272754523"/>
      <w:bookmarkStart w:id="685" w:name="_Toc272754681"/>
      <w:bookmarkStart w:id="686" w:name="_Toc278442303"/>
      <w:bookmarkStart w:id="687" w:name="_Toc279411680"/>
      <w:bookmarkStart w:id="688" w:name="hfdst7"/>
      <w:bookmarkStart w:id="689" w:name="_Toc279480184"/>
      <w:bookmarkStart w:id="690" w:name="_Toc282505713"/>
      <w:bookmarkStart w:id="691" w:name="_Toc295920148"/>
      <w:bookmarkStart w:id="692" w:name="_Toc295923379"/>
      <w:bookmarkStart w:id="693" w:name="_Toc295923691"/>
      <w:bookmarkStart w:id="694" w:name="_Toc295995289"/>
      <w:bookmarkStart w:id="695" w:name="_Toc296004871"/>
      <w:bookmarkStart w:id="696" w:name="_Toc296085822"/>
      <w:bookmarkStart w:id="697" w:name="_Toc296330729"/>
      <w:bookmarkStart w:id="698" w:name="_Toc296419445"/>
      <w:bookmarkStart w:id="699" w:name="_Toc297286191"/>
      <w:bookmarkStart w:id="700" w:name="_Toc297542491"/>
      <w:bookmarkStart w:id="701" w:name="_Toc297546630"/>
      <w:bookmarkStart w:id="702" w:name="_Toc297546795"/>
      <w:bookmarkStart w:id="703" w:name="_Toc297546960"/>
      <w:bookmarkStart w:id="704" w:name="_Toc297547125"/>
      <w:bookmarkStart w:id="705" w:name="_Toc297553626"/>
      <w:bookmarkStart w:id="706" w:name="_Toc297649792"/>
      <w:bookmarkStart w:id="707" w:name="_Toc297722592"/>
      <w:bookmarkStart w:id="708" w:name="_Toc297725610"/>
      <w:bookmarkStart w:id="709" w:name="_Toc298161729"/>
      <w:bookmarkStart w:id="710" w:name="_Toc299981076"/>
      <w:bookmarkStart w:id="711" w:name="_Toc299981259"/>
      <w:bookmarkStart w:id="712" w:name="_Toc299981442"/>
      <w:bookmarkStart w:id="713" w:name="_Toc299982657"/>
      <w:bookmarkStart w:id="714" w:name="_Toc299982840"/>
      <w:bookmarkStart w:id="715" w:name="_Toc299985129"/>
      <w:bookmarkStart w:id="716" w:name="_Toc299986228"/>
      <w:bookmarkStart w:id="717" w:name="_Toc299986411"/>
      <w:bookmarkStart w:id="718" w:name="_Toc300045617"/>
      <w:bookmarkStart w:id="719" w:name="_Toc300232306"/>
      <w:bookmarkStart w:id="720" w:name="_Toc300303670"/>
      <w:bookmarkStart w:id="721" w:name="_Toc300559594"/>
      <w:bookmarkStart w:id="722" w:name="_Toc300561002"/>
      <w:bookmarkStart w:id="723" w:name="_Toc300561618"/>
      <w:bookmarkStart w:id="724" w:name="_Toc300561801"/>
      <w:bookmarkStart w:id="725" w:name="_Toc300562748"/>
      <w:bookmarkStart w:id="726" w:name="_Toc311109249"/>
      <w:bookmarkStart w:id="727" w:name="_Toc311212614"/>
      <w:bookmarkStart w:id="728" w:name="_Toc311451881"/>
      <w:bookmarkStart w:id="729" w:name="_Toc312069242"/>
      <w:r>
        <w:lastRenderedPageBreak/>
        <w:t>ingreep-effectanalyse</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AF5F28" w:rsidRDefault="00AF5F28" w:rsidP="00AF3F9E">
      <w:pPr>
        <w:rPr>
          <w:lang w:val="nl"/>
        </w:rPr>
      </w:pPr>
    </w:p>
    <w:p w:rsidR="00AF5F28" w:rsidRDefault="00AF5F28" w:rsidP="00AF3F9E">
      <w:pPr>
        <w:rPr>
          <w:lang w:val="nl"/>
        </w:rPr>
        <w:sectPr w:rsidR="00AF5F28" w:rsidSect="00C54545">
          <w:headerReference w:type="even" r:id="rId56"/>
          <w:headerReference w:type="default" r:id="rId57"/>
          <w:headerReference w:type="first" r:id="rId58"/>
          <w:pgSz w:w="11909" w:h="16834" w:code="9"/>
          <w:pgMar w:top="1240" w:right="1440" w:bottom="1440" w:left="1440" w:header="454" w:footer="709" w:gutter="0"/>
          <w:pgNumType w:start="1" w:chapStyle="1" w:chapSep="period"/>
          <w:cols w:space="708"/>
        </w:sectPr>
      </w:pPr>
    </w:p>
    <w:p w:rsidR="004B5046" w:rsidRDefault="00394D88" w:rsidP="004F40A7">
      <w:pPr>
        <w:pStyle w:val="Heading2"/>
      </w:pPr>
      <w:bookmarkStart w:id="730" w:name="_Toc312069243"/>
      <w:r>
        <w:lastRenderedPageBreak/>
        <w:t>Ingreep-effectmatrix</w:t>
      </w:r>
      <w:bookmarkEnd w:id="730"/>
    </w:p>
    <w:tbl>
      <w:tblPr>
        <w:tblW w:w="512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357"/>
        <w:gridCol w:w="1013"/>
        <w:gridCol w:w="1131"/>
        <w:gridCol w:w="962"/>
        <w:gridCol w:w="966"/>
        <w:gridCol w:w="964"/>
        <w:gridCol w:w="964"/>
        <w:gridCol w:w="1112"/>
      </w:tblGrid>
      <w:tr w:rsidR="00394D88" w:rsidRPr="00BB6E38" w:rsidTr="00394D88">
        <w:trPr>
          <w:cantSplit/>
        </w:trPr>
        <w:tc>
          <w:tcPr>
            <w:tcW w:w="1245" w:type="pct"/>
            <w:tcBorders>
              <w:top w:val="single" w:sz="4" w:space="0" w:color="auto"/>
              <w:left w:val="single" w:sz="4" w:space="0" w:color="auto"/>
              <w:bottom w:val="single" w:sz="4" w:space="0" w:color="auto"/>
            </w:tcBorders>
            <w:vAlign w:val="center"/>
          </w:tcPr>
          <w:p w:rsidR="00394D88" w:rsidRDefault="00394D88" w:rsidP="00AF3F9E">
            <w:r>
              <w:t>Omschrijving</w:t>
            </w:r>
          </w:p>
        </w:tc>
        <w:tc>
          <w:tcPr>
            <w:tcW w:w="535" w:type="pct"/>
            <w:tcBorders>
              <w:top w:val="single" w:sz="4" w:space="0" w:color="auto"/>
              <w:bottom w:val="single" w:sz="4" w:space="0" w:color="auto"/>
            </w:tcBorders>
            <w:vAlign w:val="center"/>
          </w:tcPr>
          <w:p w:rsidR="00394D88" w:rsidRDefault="00394D88" w:rsidP="00AF3F9E">
            <w:r>
              <w:t>Bodem en grondwater</w:t>
            </w:r>
          </w:p>
        </w:tc>
        <w:tc>
          <w:tcPr>
            <w:tcW w:w="597" w:type="pct"/>
            <w:tcBorders>
              <w:top w:val="single" w:sz="4" w:space="0" w:color="auto"/>
              <w:bottom w:val="single" w:sz="4" w:space="0" w:color="auto"/>
            </w:tcBorders>
            <w:vAlign w:val="center"/>
          </w:tcPr>
          <w:p w:rsidR="00394D88" w:rsidRDefault="00394D88" w:rsidP="00AF3F9E">
            <w:r>
              <w:t>Oppervlakte-water</w:t>
            </w:r>
          </w:p>
        </w:tc>
        <w:tc>
          <w:tcPr>
            <w:tcW w:w="508" w:type="pct"/>
            <w:tcBorders>
              <w:top w:val="single" w:sz="4" w:space="0" w:color="auto"/>
              <w:bottom w:val="single" w:sz="4" w:space="0" w:color="auto"/>
            </w:tcBorders>
            <w:vAlign w:val="center"/>
          </w:tcPr>
          <w:p w:rsidR="00394D88" w:rsidRDefault="00394D88" w:rsidP="00AF3F9E">
            <w:r>
              <w:t>Lucht</w:t>
            </w:r>
          </w:p>
        </w:tc>
        <w:tc>
          <w:tcPr>
            <w:tcW w:w="510" w:type="pct"/>
            <w:tcBorders>
              <w:top w:val="single" w:sz="4" w:space="0" w:color="auto"/>
              <w:bottom w:val="single" w:sz="4" w:space="0" w:color="auto"/>
            </w:tcBorders>
            <w:vAlign w:val="center"/>
          </w:tcPr>
          <w:p w:rsidR="00394D88" w:rsidRDefault="00394D88" w:rsidP="00AF3F9E">
            <w:r>
              <w:t>Geluid en trillingen</w:t>
            </w:r>
          </w:p>
        </w:tc>
        <w:tc>
          <w:tcPr>
            <w:tcW w:w="509" w:type="pct"/>
            <w:tcBorders>
              <w:top w:val="single" w:sz="4" w:space="0" w:color="auto"/>
              <w:bottom w:val="single" w:sz="4" w:space="0" w:color="auto"/>
            </w:tcBorders>
            <w:vAlign w:val="center"/>
          </w:tcPr>
          <w:p w:rsidR="00394D88" w:rsidRDefault="00394D88" w:rsidP="00AF3F9E">
            <w:pPr>
              <w:rPr>
                <w:lang w:val="nl-NL"/>
              </w:rPr>
            </w:pPr>
            <w:r>
              <w:rPr>
                <w:lang w:val="nl-NL"/>
              </w:rPr>
              <w:t>Mens</w:t>
            </w:r>
          </w:p>
        </w:tc>
        <w:tc>
          <w:tcPr>
            <w:tcW w:w="509" w:type="pct"/>
            <w:tcBorders>
              <w:top w:val="single" w:sz="4" w:space="0" w:color="auto"/>
              <w:bottom w:val="single" w:sz="4" w:space="0" w:color="auto"/>
              <w:right w:val="dotted" w:sz="4" w:space="0" w:color="auto"/>
            </w:tcBorders>
            <w:vAlign w:val="center"/>
          </w:tcPr>
          <w:p w:rsidR="00394D88" w:rsidRDefault="00394D88" w:rsidP="00AF3F9E">
            <w:pPr>
              <w:rPr>
                <w:lang w:val="fr-FR"/>
              </w:rPr>
            </w:pPr>
            <w:r>
              <w:rPr>
                <w:lang w:val="fr-FR"/>
              </w:rPr>
              <w:t>Flora en fauna</w:t>
            </w:r>
          </w:p>
        </w:tc>
        <w:tc>
          <w:tcPr>
            <w:tcW w:w="587" w:type="pct"/>
            <w:tcBorders>
              <w:top w:val="single" w:sz="4" w:space="0" w:color="auto"/>
              <w:bottom w:val="single" w:sz="4" w:space="0" w:color="auto"/>
              <w:right w:val="single" w:sz="4" w:space="0" w:color="auto"/>
            </w:tcBorders>
          </w:tcPr>
          <w:p w:rsidR="00394D88" w:rsidRPr="00BB6E38" w:rsidRDefault="00394D88" w:rsidP="00AF3F9E">
            <w:r w:rsidRPr="00BB6E38">
              <w:t>Landschap, bouwkundig erfgoed en archeologie</w:t>
            </w:r>
          </w:p>
        </w:tc>
      </w:tr>
      <w:tr w:rsidR="00394D88" w:rsidTr="00394D88">
        <w:trPr>
          <w:cantSplit/>
        </w:trPr>
        <w:tc>
          <w:tcPr>
            <w:tcW w:w="5000" w:type="pct"/>
            <w:gridSpan w:val="8"/>
            <w:tcBorders>
              <w:top w:val="single" w:sz="4" w:space="0" w:color="auto"/>
              <w:left w:val="single" w:sz="4" w:space="0" w:color="auto"/>
              <w:bottom w:val="single" w:sz="4" w:space="0" w:color="auto"/>
              <w:right w:val="single" w:sz="4" w:space="0" w:color="auto"/>
            </w:tcBorders>
          </w:tcPr>
          <w:p w:rsidR="00394D88" w:rsidRDefault="00394D88" w:rsidP="00AF3F9E">
            <w:r>
              <w:t>Oprichting nieuwe tankenparken  en uitbreiding verlaadplaats vrachtwagens</w:t>
            </w:r>
          </w:p>
        </w:tc>
      </w:tr>
      <w:tr w:rsidR="00394D88" w:rsidTr="00394D88">
        <w:trPr>
          <w:cantSplit/>
        </w:trPr>
        <w:tc>
          <w:tcPr>
            <w:tcW w:w="1245" w:type="pct"/>
            <w:tcBorders>
              <w:left w:val="single" w:sz="4" w:space="0" w:color="auto"/>
              <w:bottom w:val="dotted" w:sz="4" w:space="0" w:color="auto"/>
            </w:tcBorders>
          </w:tcPr>
          <w:p w:rsidR="00394D88" w:rsidRDefault="00394D88" w:rsidP="00AF3F9E">
            <w:pPr>
              <w:rPr>
                <w:lang w:val="nl-NL"/>
              </w:rPr>
            </w:pPr>
            <w:r>
              <w:rPr>
                <w:lang w:val="nl-NL"/>
              </w:rPr>
              <w:t>bouwtechnische werkzaamheden</w:t>
            </w:r>
          </w:p>
        </w:tc>
        <w:tc>
          <w:tcPr>
            <w:tcW w:w="535" w:type="pct"/>
            <w:tcBorders>
              <w:bottom w:val="dotted" w:sz="4" w:space="0" w:color="auto"/>
            </w:tcBorders>
            <w:vAlign w:val="center"/>
          </w:tcPr>
          <w:p w:rsidR="00394D88" w:rsidRDefault="00394D88" w:rsidP="00AF3F9E">
            <w:pPr>
              <w:pStyle w:val="normaltabel0"/>
            </w:pPr>
            <w:r>
              <w:t>(+)</w:t>
            </w:r>
          </w:p>
        </w:tc>
        <w:tc>
          <w:tcPr>
            <w:tcW w:w="597" w:type="pct"/>
            <w:tcBorders>
              <w:bottom w:val="dotted" w:sz="4" w:space="0" w:color="auto"/>
            </w:tcBorders>
            <w:vAlign w:val="center"/>
          </w:tcPr>
          <w:p w:rsidR="00394D88" w:rsidRDefault="00394D88" w:rsidP="00AF3F9E">
            <w:r>
              <w:t>x</w:t>
            </w:r>
          </w:p>
        </w:tc>
        <w:tc>
          <w:tcPr>
            <w:tcW w:w="508" w:type="pct"/>
            <w:tcBorders>
              <w:bottom w:val="dotted" w:sz="4" w:space="0" w:color="auto"/>
            </w:tcBorders>
            <w:vAlign w:val="center"/>
          </w:tcPr>
          <w:p w:rsidR="00394D88" w:rsidRDefault="00C265E2" w:rsidP="00AF3F9E">
            <w:r>
              <w:t>X</w:t>
            </w:r>
          </w:p>
        </w:tc>
        <w:tc>
          <w:tcPr>
            <w:tcW w:w="510" w:type="pct"/>
            <w:tcBorders>
              <w:bottom w:val="dotted" w:sz="4" w:space="0" w:color="auto"/>
            </w:tcBorders>
            <w:shd w:val="clear" w:color="auto" w:fill="auto"/>
            <w:vAlign w:val="center"/>
          </w:tcPr>
          <w:p w:rsidR="00394D88" w:rsidRDefault="00394D88" w:rsidP="00AF3F9E">
            <w:r>
              <w:t>x</w:t>
            </w:r>
          </w:p>
        </w:tc>
        <w:tc>
          <w:tcPr>
            <w:tcW w:w="509" w:type="pct"/>
            <w:tcBorders>
              <w:bottom w:val="dotted" w:sz="4" w:space="0" w:color="auto"/>
            </w:tcBorders>
            <w:vAlign w:val="center"/>
          </w:tcPr>
          <w:p w:rsidR="00394D88" w:rsidRDefault="00394D88" w:rsidP="00AF3F9E">
            <w:r>
              <w:t>x</w:t>
            </w:r>
          </w:p>
        </w:tc>
        <w:tc>
          <w:tcPr>
            <w:tcW w:w="509" w:type="pct"/>
            <w:tcBorders>
              <w:bottom w:val="dotted" w:sz="4" w:space="0" w:color="auto"/>
              <w:right w:val="dotted" w:sz="4" w:space="0" w:color="auto"/>
            </w:tcBorders>
            <w:vAlign w:val="center"/>
          </w:tcPr>
          <w:p w:rsidR="00394D88" w:rsidRDefault="00394D88" w:rsidP="00AF3F9E">
            <w:r>
              <w:t>x</w:t>
            </w:r>
          </w:p>
        </w:tc>
        <w:tc>
          <w:tcPr>
            <w:tcW w:w="587" w:type="pct"/>
            <w:tcBorders>
              <w:bottom w:val="dotted" w:sz="4" w:space="0" w:color="auto"/>
              <w:right w:val="single" w:sz="4" w:space="0" w:color="auto"/>
            </w:tcBorders>
            <w:vAlign w:val="center"/>
          </w:tcPr>
          <w:p w:rsidR="00394D88" w:rsidRDefault="00394D88" w:rsidP="00AF3F9E">
            <w:r>
              <w:t>x</w:t>
            </w:r>
          </w:p>
        </w:tc>
      </w:tr>
      <w:tr w:rsidR="00394D88" w:rsidTr="00394D88">
        <w:trPr>
          <w:cantSplit/>
        </w:trPr>
        <w:tc>
          <w:tcPr>
            <w:tcW w:w="1245" w:type="pct"/>
            <w:tcBorders>
              <w:left w:val="single" w:sz="4" w:space="0" w:color="auto"/>
              <w:bottom w:val="dotted" w:sz="4" w:space="0" w:color="auto"/>
            </w:tcBorders>
          </w:tcPr>
          <w:p w:rsidR="00394D88" w:rsidRDefault="00394D88" w:rsidP="00AF3F9E">
            <w:pPr>
              <w:rPr>
                <w:lang w:val="nl-NL"/>
              </w:rPr>
            </w:pPr>
            <w:r>
              <w:rPr>
                <w:lang w:val="nl-NL"/>
              </w:rPr>
              <w:t>Oprichting op- en overslaginfrastructuur</w:t>
            </w:r>
          </w:p>
        </w:tc>
        <w:tc>
          <w:tcPr>
            <w:tcW w:w="535" w:type="pct"/>
            <w:tcBorders>
              <w:bottom w:val="dotted" w:sz="4" w:space="0" w:color="auto"/>
            </w:tcBorders>
            <w:vAlign w:val="center"/>
          </w:tcPr>
          <w:p w:rsidR="00394D88" w:rsidRDefault="00394D88" w:rsidP="00AF3F9E">
            <w:pPr>
              <w:pStyle w:val="normaltabel0"/>
            </w:pPr>
            <w:r>
              <w:t>x</w:t>
            </w:r>
          </w:p>
        </w:tc>
        <w:tc>
          <w:tcPr>
            <w:tcW w:w="597" w:type="pct"/>
            <w:tcBorders>
              <w:bottom w:val="dotted" w:sz="4" w:space="0" w:color="auto"/>
            </w:tcBorders>
            <w:vAlign w:val="center"/>
          </w:tcPr>
          <w:p w:rsidR="00394D88" w:rsidRDefault="00394D88" w:rsidP="00AF3F9E">
            <w:r>
              <w:t>x</w:t>
            </w:r>
          </w:p>
        </w:tc>
        <w:tc>
          <w:tcPr>
            <w:tcW w:w="508" w:type="pct"/>
            <w:tcBorders>
              <w:bottom w:val="dotted" w:sz="4" w:space="0" w:color="auto"/>
            </w:tcBorders>
            <w:vAlign w:val="center"/>
          </w:tcPr>
          <w:p w:rsidR="00394D88" w:rsidRDefault="00C265E2" w:rsidP="00AF3F9E">
            <w:r>
              <w:t>X</w:t>
            </w:r>
          </w:p>
        </w:tc>
        <w:tc>
          <w:tcPr>
            <w:tcW w:w="510" w:type="pct"/>
            <w:tcBorders>
              <w:bottom w:val="dotted" w:sz="4" w:space="0" w:color="auto"/>
            </w:tcBorders>
            <w:shd w:val="clear" w:color="auto" w:fill="auto"/>
            <w:vAlign w:val="center"/>
          </w:tcPr>
          <w:p w:rsidR="00394D88" w:rsidRDefault="00394D88" w:rsidP="00AF3F9E">
            <w:r>
              <w:t>x</w:t>
            </w:r>
          </w:p>
        </w:tc>
        <w:tc>
          <w:tcPr>
            <w:tcW w:w="509" w:type="pct"/>
            <w:tcBorders>
              <w:bottom w:val="dotted" w:sz="4" w:space="0" w:color="auto"/>
            </w:tcBorders>
            <w:vAlign w:val="center"/>
          </w:tcPr>
          <w:p w:rsidR="00394D88" w:rsidRDefault="00394D88" w:rsidP="00AF3F9E">
            <w:r>
              <w:t>x</w:t>
            </w:r>
          </w:p>
        </w:tc>
        <w:tc>
          <w:tcPr>
            <w:tcW w:w="509" w:type="pct"/>
            <w:tcBorders>
              <w:bottom w:val="dotted" w:sz="4" w:space="0" w:color="auto"/>
              <w:right w:val="dotted" w:sz="4" w:space="0" w:color="auto"/>
            </w:tcBorders>
            <w:vAlign w:val="center"/>
          </w:tcPr>
          <w:p w:rsidR="00394D88" w:rsidRDefault="00394D88" w:rsidP="00AF3F9E">
            <w:r>
              <w:t>x</w:t>
            </w:r>
          </w:p>
        </w:tc>
        <w:tc>
          <w:tcPr>
            <w:tcW w:w="587" w:type="pct"/>
            <w:tcBorders>
              <w:bottom w:val="dotted" w:sz="4" w:space="0" w:color="auto"/>
              <w:right w:val="single" w:sz="4" w:space="0" w:color="auto"/>
            </w:tcBorders>
            <w:vAlign w:val="center"/>
          </w:tcPr>
          <w:p w:rsidR="00394D88" w:rsidRDefault="00394D88" w:rsidP="00AF3F9E">
            <w:r>
              <w:t>x</w:t>
            </w:r>
          </w:p>
        </w:tc>
      </w:tr>
      <w:tr w:rsidR="00394D88" w:rsidTr="00394D88">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394D88" w:rsidRDefault="00394D88" w:rsidP="00AF3F9E">
            <w:r>
              <w:t>Exploitatiefase</w:t>
            </w:r>
          </w:p>
        </w:tc>
      </w:tr>
      <w:tr w:rsidR="00394D88" w:rsidTr="00394D88">
        <w:trPr>
          <w:cantSplit/>
        </w:trPr>
        <w:tc>
          <w:tcPr>
            <w:tcW w:w="5000" w:type="pct"/>
            <w:gridSpan w:val="8"/>
            <w:tcBorders>
              <w:top w:val="single" w:sz="4" w:space="0" w:color="auto"/>
              <w:left w:val="single" w:sz="4" w:space="0" w:color="auto"/>
              <w:right w:val="single" w:sz="4" w:space="0" w:color="auto"/>
            </w:tcBorders>
            <w:shd w:val="clear" w:color="auto" w:fill="auto"/>
          </w:tcPr>
          <w:p w:rsidR="00394D88" w:rsidRDefault="00394D88" w:rsidP="00AF3F9E">
            <w:r>
              <w:t>aan- en afvoer vloeistoffen</w:t>
            </w:r>
          </w:p>
        </w:tc>
      </w:tr>
      <w:tr w:rsidR="00394D88" w:rsidTr="00394D88">
        <w:trPr>
          <w:cantSplit/>
        </w:trPr>
        <w:tc>
          <w:tcPr>
            <w:tcW w:w="1245" w:type="pct"/>
            <w:tcBorders>
              <w:left w:val="single" w:sz="4" w:space="0" w:color="auto"/>
              <w:bottom w:val="dotted" w:sz="4" w:space="0" w:color="auto"/>
            </w:tcBorders>
          </w:tcPr>
          <w:p w:rsidR="00394D88" w:rsidRDefault="00394D88" w:rsidP="00AF3F9E">
            <w:pPr>
              <w:rPr>
                <w:lang w:val="nl-NL"/>
              </w:rPr>
            </w:pPr>
            <w:r>
              <w:rPr>
                <w:lang w:val="nl-NL"/>
              </w:rPr>
              <w:t>aan-/afvoer via de weg</w:t>
            </w:r>
          </w:p>
        </w:tc>
        <w:tc>
          <w:tcPr>
            <w:tcW w:w="535" w:type="pct"/>
            <w:tcBorders>
              <w:bottom w:val="dotted" w:sz="4" w:space="0" w:color="auto"/>
            </w:tcBorders>
            <w:vAlign w:val="center"/>
          </w:tcPr>
          <w:p w:rsidR="00394D88" w:rsidRDefault="00394D88" w:rsidP="00AF3F9E">
            <w:r>
              <w:t>x</w:t>
            </w:r>
          </w:p>
        </w:tc>
        <w:tc>
          <w:tcPr>
            <w:tcW w:w="597" w:type="pct"/>
            <w:tcBorders>
              <w:bottom w:val="dotted" w:sz="4" w:space="0" w:color="auto"/>
            </w:tcBorders>
            <w:vAlign w:val="center"/>
          </w:tcPr>
          <w:p w:rsidR="00394D88" w:rsidRDefault="00394D88" w:rsidP="00AF3F9E">
            <w:r>
              <w:t>x</w:t>
            </w:r>
          </w:p>
        </w:tc>
        <w:tc>
          <w:tcPr>
            <w:tcW w:w="508" w:type="pct"/>
            <w:tcBorders>
              <w:bottom w:val="dotted" w:sz="4" w:space="0" w:color="auto"/>
            </w:tcBorders>
            <w:vAlign w:val="center"/>
          </w:tcPr>
          <w:p w:rsidR="00394D88" w:rsidRDefault="00394D88" w:rsidP="00AF3F9E">
            <w:r>
              <w:t>+</w:t>
            </w:r>
          </w:p>
        </w:tc>
        <w:tc>
          <w:tcPr>
            <w:tcW w:w="510" w:type="pct"/>
            <w:tcBorders>
              <w:bottom w:val="dotted" w:sz="4" w:space="0" w:color="auto"/>
            </w:tcBorders>
            <w:shd w:val="clear" w:color="auto" w:fill="auto"/>
            <w:vAlign w:val="center"/>
          </w:tcPr>
          <w:p w:rsidR="00394D88" w:rsidRDefault="00394D88" w:rsidP="00AF3F9E">
            <w:r>
              <w:t>?</w:t>
            </w:r>
          </w:p>
        </w:tc>
        <w:tc>
          <w:tcPr>
            <w:tcW w:w="509" w:type="pct"/>
            <w:tcBorders>
              <w:bottom w:val="dotted" w:sz="4" w:space="0" w:color="auto"/>
            </w:tcBorders>
            <w:vAlign w:val="center"/>
          </w:tcPr>
          <w:p w:rsidR="00394D88" w:rsidRDefault="00394D88" w:rsidP="00AF3F9E">
            <w:r>
              <w:t>+</w:t>
            </w:r>
          </w:p>
        </w:tc>
        <w:tc>
          <w:tcPr>
            <w:tcW w:w="509" w:type="pct"/>
            <w:tcBorders>
              <w:bottom w:val="dotted" w:sz="4" w:space="0" w:color="auto"/>
              <w:right w:val="dotted" w:sz="4" w:space="0" w:color="auto"/>
            </w:tcBorders>
            <w:vAlign w:val="center"/>
          </w:tcPr>
          <w:p w:rsidR="00394D88" w:rsidRDefault="00394D88" w:rsidP="00AF3F9E">
            <w:r>
              <w:t>(-)</w:t>
            </w:r>
          </w:p>
        </w:tc>
        <w:tc>
          <w:tcPr>
            <w:tcW w:w="587" w:type="pct"/>
            <w:tcBorders>
              <w:bottom w:val="dotted" w:sz="4" w:space="0" w:color="auto"/>
              <w:right w:val="single" w:sz="4" w:space="0" w:color="auto"/>
            </w:tcBorders>
            <w:vAlign w:val="center"/>
          </w:tcPr>
          <w:p w:rsidR="00394D88" w:rsidRDefault="00394D88" w:rsidP="00AF3F9E">
            <w:r>
              <w:t>x</w:t>
            </w:r>
          </w:p>
        </w:tc>
      </w:tr>
      <w:tr w:rsidR="00394D88" w:rsidTr="00394D88">
        <w:trPr>
          <w:cantSplit/>
        </w:trPr>
        <w:tc>
          <w:tcPr>
            <w:tcW w:w="1245" w:type="pct"/>
            <w:tcBorders>
              <w:left w:val="single" w:sz="4" w:space="0" w:color="auto"/>
              <w:bottom w:val="dotted" w:sz="4" w:space="0" w:color="auto"/>
            </w:tcBorders>
          </w:tcPr>
          <w:p w:rsidR="00394D88" w:rsidRDefault="00394D88" w:rsidP="00AF3F9E">
            <w:pPr>
              <w:rPr>
                <w:lang w:val="nl-NL"/>
              </w:rPr>
            </w:pPr>
            <w:r>
              <w:rPr>
                <w:lang w:val="nl-NL"/>
              </w:rPr>
              <w:t>aan-/afvoer via het spoor</w:t>
            </w:r>
          </w:p>
        </w:tc>
        <w:tc>
          <w:tcPr>
            <w:tcW w:w="535" w:type="pct"/>
            <w:tcBorders>
              <w:bottom w:val="dotted" w:sz="4" w:space="0" w:color="auto"/>
            </w:tcBorders>
            <w:vAlign w:val="center"/>
          </w:tcPr>
          <w:p w:rsidR="00394D88" w:rsidRDefault="00394D88" w:rsidP="00AF3F9E">
            <w:r>
              <w:t>x</w:t>
            </w:r>
          </w:p>
        </w:tc>
        <w:tc>
          <w:tcPr>
            <w:tcW w:w="597" w:type="pct"/>
            <w:tcBorders>
              <w:bottom w:val="dotted" w:sz="4" w:space="0" w:color="auto"/>
            </w:tcBorders>
            <w:vAlign w:val="center"/>
          </w:tcPr>
          <w:p w:rsidR="00394D88" w:rsidRDefault="00394D88" w:rsidP="00AF3F9E">
            <w:r>
              <w:t>x</w:t>
            </w:r>
          </w:p>
        </w:tc>
        <w:tc>
          <w:tcPr>
            <w:tcW w:w="508" w:type="pct"/>
            <w:tcBorders>
              <w:bottom w:val="dotted" w:sz="4" w:space="0" w:color="auto"/>
            </w:tcBorders>
            <w:vAlign w:val="center"/>
          </w:tcPr>
          <w:p w:rsidR="00394D88" w:rsidRDefault="00394D88" w:rsidP="00AF3F9E">
            <w:r>
              <w:t>+</w:t>
            </w:r>
          </w:p>
        </w:tc>
        <w:tc>
          <w:tcPr>
            <w:tcW w:w="510" w:type="pct"/>
            <w:tcBorders>
              <w:bottom w:val="dotted" w:sz="4" w:space="0" w:color="auto"/>
            </w:tcBorders>
            <w:shd w:val="clear" w:color="auto" w:fill="auto"/>
            <w:vAlign w:val="center"/>
          </w:tcPr>
          <w:p w:rsidR="00394D88" w:rsidRDefault="00394D88" w:rsidP="00AF3F9E">
            <w:r>
              <w:t>?</w:t>
            </w:r>
          </w:p>
        </w:tc>
        <w:tc>
          <w:tcPr>
            <w:tcW w:w="509" w:type="pct"/>
            <w:tcBorders>
              <w:bottom w:val="dotted" w:sz="4" w:space="0" w:color="auto"/>
            </w:tcBorders>
            <w:vAlign w:val="center"/>
          </w:tcPr>
          <w:p w:rsidR="00394D88" w:rsidRDefault="00394D88" w:rsidP="00AF3F9E">
            <w:r>
              <w:t>x</w:t>
            </w:r>
          </w:p>
        </w:tc>
        <w:tc>
          <w:tcPr>
            <w:tcW w:w="509" w:type="pct"/>
            <w:tcBorders>
              <w:bottom w:val="dotted" w:sz="4" w:space="0" w:color="auto"/>
              <w:right w:val="dotted" w:sz="4" w:space="0" w:color="auto"/>
            </w:tcBorders>
            <w:vAlign w:val="center"/>
          </w:tcPr>
          <w:p w:rsidR="00394D88" w:rsidRDefault="00394D88" w:rsidP="00AF3F9E">
            <w:r>
              <w:t>(-)</w:t>
            </w:r>
          </w:p>
        </w:tc>
        <w:tc>
          <w:tcPr>
            <w:tcW w:w="587" w:type="pct"/>
            <w:tcBorders>
              <w:bottom w:val="dotted" w:sz="4" w:space="0" w:color="auto"/>
              <w:right w:val="single" w:sz="4" w:space="0" w:color="auto"/>
            </w:tcBorders>
            <w:vAlign w:val="center"/>
          </w:tcPr>
          <w:p w:rsidR="00394D88" w:rsidRDefault="00394D88" w:rsidP="00AF3F9E">
            <w:r>
              <w:t>x</w:t>
            </w:r>
          </w:p>
        </w:tc>
      </w:tr>
      <w:tr w:rsidR="00394D88" w:rsidTr="00394D88">
        <w:trPr>
          <w:cantSplit/>
        </w:trPr>
        <w:tc>
          <w:tcPr>
            <w:tcW w:w="1245" w:type="pct"/>
            <w:tcBorders>
              <w:left w:val="single" w:sz="4" w:space="0" w:color="auto"/>
              <w:bottom w:val="dotted" w:sz="4" w:space="0" w:color="auto"/>
            </w:tcBorders>
          </w:tcPr>
          <w:p w:rsidR="00394D88" w:rsidRDefault="00394D88" w:rsidP="00AF3F9E">
            <w:pPr>
              <w:rPr>
                <w:lang w:val="nl-NL"/>
              </w:rPr>
            </w:pPr>
            <w:r>
              <w:rPr>
                <w:lang w:val="nl-NL"/>
              </w:rPr>
              <w:t>aan-/afvoer via het schip</w:t>
            </w:r>
          </w:p>
        </w:tc>
        <w:tc>
          <w:tcPr>
            <w:tcW w:w="535" w:type="pct"/>
            <w:tcBorders>
              <w:bottom w:val="dotted" w:sz="4" w:space="0" w:color="auto"/>
            </w:tcBorders>
            <w:vAlign w:val="center"/>
          </w:tcPr>
          <w:p w:rsidR="00394D88" w:rsidRDefault="00394D88" w:rsidP="00AF3F9E">
            <w:r>
              <w:t>x</w:t>
            </w:r>
          </w:p>
        </w:tc>
        <w:tc>
          <w:tcPr>
            <w:tcW w:w="597" w:type="pct"/>
            <w:tcBorders>
              <w:bottom w:val="dotted" w:sz="4" w:space="0" w:color="auto"/>
            </w:tcBorders>
            <w:vAlign w:val="center"/>
          </w:tcPr>
          <w:p w:rsidR="00394D88" w:rsidRDefault="00394D88" w:rsidP="00AF3F9E">
            <w:r>
              <w:t>?</w:t>
            </w:r>
          </w:p>
        </w:tc>
        <w:tc>
          <w:tcPr>
            <w:tcW w:w="508" w:type="pct"/>
            <w:tcBorders>
              <w:bottom w:val="dotted" w:sz="4" w:space="0" w:color="auto"/>
            </w:tcBorders>
            <w:vAlign w:val="center"/>
          </w:tcPr>
          <w:p w:rsidR="00394D88" w:rsidRDefault="00394D88" w:rsidP="00AF3F9E">
            <w:r>
              <w:t>+</w:t>
            </w:r>
          </w:p>
        </w:tc>
        <w:tc>
          <w:tcPr>
            <w:tcW w:w="510" w:type="pct"/>
            <w:tcBorders>
              <w:bottom w:val="dotted" w:sz="4" w:space="0" w:color="auto"/>
            </w:tcBorders>
            <w:shd w:val="clear" w:color="auto" w:fill="auto"/>
            <w:vAlign w:val="center"/>
          </w:tcPr>
          <w:p w:rsidR="00394D88" w:rsidRDefault="00394D88" w:rsidP="00AF3F9E">
            <w:r>
              <w:t>?</w:t>
            </w:r>
          </w:p>
        </w:tc>
        <w:tc>
          <w:tcPr>
            <w:tcW w:w="509" w:type="pct"/>
            <w:tcBorders>
              <w:bottom w:val="dotted" w:sz="4" w:space="0" w:color="auto"/>
            </w:tcBorders>
            <w:vAlign w:val="center"/>
          </w:tcPr>
          <w:p w:rsidR="00394D88" w:rsidRDefault="00394D88" w:rsidP="00AF3F9E">
            <w:r>
              <w:t>x</w:t>
            </w:r>
          </w:p>
        </w:tc>
        <w:tc>
          <w:tcPr>
            <w:tcW w:w="509" w:type="pct"/>
            <w:tcBorders>
              <w:bottom w:val="dotted" w:sz="4" w:space="0" w:color="auto"/>
              <w:right w:val="dotted" w:sz="4" w:space="0" w:color="auto"/>
            </w:tcBorders>
            <w:vAlign w:val="center"/>
          </w:tcPr>
          <w:p w:rsidR="00394D88" w:rsidRDefault="00394D88" w:rsidP="00AF3F9E">
            <w:r>
              <w:t>(-)</w:t>
            </w:r>
          </w:p>
        </w:tc>
        <w:tc>
          <w:tcPr>
            <w:tcW w:w="587" w:type="pct"/>
            <w:tcBorders>
              <w:bottom w:val="dotted" w:sz="4" w:space="0" w:color="auto"/>
              <w:right w:val="single" w:sz="4" w:space="0" w:color="auto"/>
            </w:tcBorders>
            <w:vAlign w:val="center"/>
          </w:tcPr>
          <w:p w:rsidR="00394D88" w:rsidRDefault="00394D88" w:rsidP="00AF3F9E">
            <w:r>
              <w:t>x</w:t>
            </w:r>
          </w:p>
        </w:tc>
      </w:tr>
      <w:tr w:rsidR="00394D88" w:rsidTr="00394D88">
        <w:trPr>
          <w:cantSplit/>
        </w:trPr>
        <w:tc>
          <w:tcPr>
            <w:tcW w:w="5000" w:type="pct"/>
            <w:gridSpan w:val="8"/>
            <w:tcBorders>
              <w:top w:val="dotted" w:sz="4" w:space="0" w:color="auto"/>
              <w:left w:val="single" w:sz="4" w:space="0" w:color="auto"/>
              <w:right w:val="single" w:sz="4" w:space="0" w:color="auto"/>
            </w:tcBorders>
            <w:shd w:val="clear" w:color="auto" w:fill="auto"/>
          </w:tcPr>
          <w:p w:rsidR="00394D88" w:rsidRDefault="00394D88" w:rsidP="00AF3F9E">
            <w:r>
              <w:t>op- en overslag van vloeistoffen</w:t>
            </w:r>
          </w:p>
        </w:tc>
      </w:tr>
      <w:tr w:rsidR="00394D88" w:rsidTr="00394D88">
        <w:trPr>
          <w:cantSplit/>
        </w:trPr>
        <w:tc>
          <w:tcPr>
            <w:tcW w:w="1245" w:type="pct"/>
            <w:tcBorders>
              <w:left w:val="single" w:sz="4" w:space="0" w:color="auto"/>
            </w:tcBorders>
          </w:tcPr>
          <w:p w:rsidR="00394D88" w:rsidRDefault="00394D88" w:rsidP="00AF3F9E">
            <w:r>
              <w:t>opslag in bulk</w:t>
            </w:r>
          </w:p>
        </w:tc>
        <w:tc>
          <w:tcPr>
            <w:tcW w:w="535" w:type="pct"/>
            <w:vAlign w:val="center"/>
          </w:tcPr>
          <w:p w:rsidR="00394D88" w:rsidRDefault="00394D88" w:rsidP="00AF3F9E">
            <w:r>
              <w:t>?</w:t>
            </w:r>
          </w:p>
        </w:tc>
        <w:tc>
          <w:tcPr>
            <w:tcW w:w="597" w:type="pct"/>
            <w:vAlign w:val="center"/>
          </w:tcPr>
          <w:p w:rsidR="00394D88" w:rsidRDefault="00394D88" w:rsidP="00AF3F9E">
            <w:r>
              <w:t>+</w:t>
            </w:r>
          </w:p>
        </w:tc>
        <w:tc>
          <w:tcPr>
            <w:tcW w:w="508" w:type="pct"/>
            <w:vAlign w:val="center"/>
          </w:tcPr>
          <w:p w:rsidR="00394D88" w:rsidRDefault="00394D88" w:rsidP="00AF3F9E">
            <w:r>
              <w:t>+</w:t>
            </w:r>
          </w:p>
        </w:tc>
        <w:tc>
          <w:tcPr>
            <w:tcW w:w="510" w:type="pct"/>
            <w:shd w:val="clear" w:color="auto" w:fill="auto"/>
            <w:vAlign w:val="center"/>
          </w:tcPr>
          <w:p w:rsidR="00394D88" w:rsidRDefault="00394D88" w:rsidP="00AF3F9E">
            <w:r>
              <w:t>?</w:t>
            </w:r>
          </w:p>
        </w:tc>
        <w:tc>
          <w:tcPr>
            <w:tcW w:w="509" w:type="pct"/>
            <w:vAlign w:val="center"/>
          </w:tcPr>
          <w:p w:rsidR="00394D88" w:rsidRDefault="00394D88" w:rsidP="00AF3F9E">
            <w:r>
              <w:t>+</w:t>
            </w:r>
          </w:p>
        </w:tc>
        <w:tc>
          <w:tcPr>
            <w:tcW w:w="509" w:type="pct"/>
            <w:tcBorders>
              <w:right w:val="dotted" w:sz="4" w:space="0" w:color="auto"/>
            </w:tcBorders>
            <w:vAlign w:val="center"/>
          </w:tcPr>
          <w:p w:rsidR="00394D88" w:rsidRDefault="00394D88" w:rsidP="00AF3F9E">
            <w:r>
              <w:t>x</w:t>
            </w:r>
          </w:p>
        </w:tc>
        <w:tc>
          <w:tcPr>
            <w:tcW w:w="587" w:type="pct"/>
            <w:tcBorders>
              <w:right w:val="single" w:sz="4" w:space="0" w:color="auto"/>
            </w:tcBorders>
            <w:vAlign w:val="center"/>
          </w:tcPr>
          <w:p w:rsidR="00394D88" w:rsidRDefault="00394D88" w:rsidP="00AF3F9E">
            <w:pPr>
              <w:pStyle w:val="Header"/>
            </w:pPr>
            <w:r>
              <w:t>x</w:t>
            </w:r>
          </w:p>
        </w:tc>
      </w:tr>
      <w:tr w:rsidR="00394D88" w:rsidRPr="00ED2823" w:rsidTr="00394D88">
        <w:trPr>
          <w:cantSplit/>
        </w:trPr>
        <w:tc>
          <w:tcPr>
            <w:tcW w:w="1245" w:type="pct"/>
            <w:tcBorders>
              <w:left w:val="single" w:sz="4" w:space="0" w:color="auto"/>
            </w:tcBorders>
            <w:vAlign w:val="center"/>
          </w:tcPr>
          <w:p w:rsidR="00394D88" w:rsidRPr="00ED2823" w:rsidRDefault="00394D88" w:rsidP="00AF3F9E">
            <w:r>
              <w:t>bulko</w:t>
            </w:r>
            <w:r w:rsidRPr="00ED2823">
              <w:t>verslag</w:t>
            </w:r>
            <w:r>
              <w:t xml:space="preserve"> </w:t>
            </w:r>
          </w:p>
        </w:tc>
        <w:tc>
          <w:tcPr>
            <w:tcW w:w="535" w:type="pct"/>
            <w:vAlign w:val="center"/>
          </w:tcPr>
          <w:p w:rsidR="00394D88" w:rsidRPr="00ED2823" w:rsidRDefault="00394D88" w:rsidP="00AF3F9E">
            <w:r>
              <w:t>?</w:t>
            </w:r>
          </w:p>
        </w:tc>
        <w:tc>
          <w:tcPr>
            <w:tcW w:w="597" w:type="pct"/>
            <w:vAlign w:val="center"/>
          </w:tcPr>
          <w:p w:rsidR="00394D88" w:rsidRPr="00ED2823" w:rsidRDefault="00394D88" w:rsidP="00AF3F9E">
            <w:r>
              <w:t>+</w:t>
            </w:r>
          </w:p>
        </w:tc>
        <w:tc>
          <w:tcPr>
            <w:tcW w:w="508" w:type="pct"/>
            <w:tcBorders>
              <w:bottom w:val="dotted" w:sz="4" w:space="0" w:color="auto"/>
            </w:tcBorders>
            <w:vAlign w:val="center"/>
          </w:tcPr>
          <w:p w:rsidR="00394D88" w:rsidRPr="00ED2823" w:rsidRDefault="00394D88" w:rsidP="00AF3F9E">
            <w:r>
              <w:t>+</w:t>
            </w:r>
          </w:p>
        </w:tc>
        <w:tc>
          <w:tcPr>
            <w:tcW w:w="510" w:type="pct"/>
            <w:shd w:val="clear" w:color="auto" w:fill="auto"/>
            <w:vAlign w:val="center"/>
          </w:tcPr>
          <w:p w:rsidR="00394D88" w:rsidRPr="00ED2823" w:rsidRDefault="00394D88" w:rsidP="00AF3F9E">
            <w:r>
              <w:t>?</w:t>
            </w:r>
          </w:p>
        </w:tc>
        <w:tc>
          <w:tcPr>
            <w:tcW w:w="509" w:type="pct"/>
            <w:vAlign w:val="center"/>
          </w:tcPr>
          <w:p w:rsidR="00394D88" w:rsidRPr="00ED2823" w:rsidRDefault="00394D88" w:rsidP="00AF3F9E">
            <w:r>
              <w:t>+</w:t>
            </w:r>
          </w:p>
        </w:tc>
        <w:tc>
          <w:tcPr>
            <w:tcW w:w="509" w:type="pct"/>
            <w:tcBorders>
              <w:right w:val="dotted" w:sz="4" w:space="0" w:color="auto"/>
            </w:tcBorders>
            <w:vAlign w:val="center"/>
          </w:tcPr>
          <w:p w:rsidR="00394D88" w:rsidRPr="00ED2823" w:rsidRDefault="00394D88" w:rsidP="00AF3F9E">
            <w:r>
              <w:t>(-)</w:t>
            </w:r>
          </w:p>
        </w:tc>
        <w:tc>
          <w:tcPr>
            <w:tcW w:w="587" w:type="pct"/>
            <w:tcBorders>
              <w:right w:val="single" w:sz="4" w:space="0" w:color="auto"/>
            </w:tcBorders>
            <w:vAlign w:val="center"/>
          </w:tcPr>
          <w:p w:rsidR="00394D88" w:rsidRPr="00ED2823" w:rsidRDefault="00394D88" w:rsidP="00AF3F9E">
            <w:pPr>
              <w:pStyle w:val="Header"/>
            </w:pPr>
            <w:r>
              <w:t>x</w:t>
            </w:r>
          </w:p>
        </w:tc>
      </w:tr>
      <w:tr w:rsidR="00394D88" w:rsidRPr="00ED2823" w:rsidTr="00394D88">
        <w:trPr>
          <w:cantSplit/>
        </w:trPr>
        <w:tc>
          <w:tcPr>
            <w:tcW w:w="1245" w:type="pct"/>
            <w:tcBorders>
              <w:left w:val="single" w:sz="4" w:space="0" w:color="auto"/>
            </w:tcBorders>
            <w:vAlign w:val="center"/>
          </w:tcPr>
          <w:p w:rsidR="00394D88" w:rsidRPr="00ED2823" w:rsidRDefault="00394D88" w:rsidP="00AF3F9E">
            <w:r>
              <w:t xml:space="preserve">opslag in eenheidsverpakkingen </w:t>
            </w:r>
          </w:p>
        </w:tc>
        <w:tc>
          <w:tcPr>
            <w:tcW w:w="535" w:type="pct"/>
            <w:vAlign w:val="center"/>
          </w:tcPr>
          <w:p w:rsidR="00394D88" w:rsidRPr="00ED2823" w:rsidRDefault="00394D88" w:rsidP="00AF3F9E">
            <w:r>
              <w:t>?</w:t>
            </w:r>
          </w:p>
        </w:tc>
        <w:tc>
          <w:tcPr>
            <w:tcW w:w="597" w:type="pct"/>
            <w:vAlign w:val="center"/>
          </w:tcPr>
          <w:p w:rsidR="00394D88" w:rsidRPr="00ED2823" w:rsidRDefault="00394D88" w:rsidP="00AF3F9E">
            <w:r>
              <w:t>?</w:t>
            </w:r>
          </w:p>
        </w:tc>
        <w:tc>
          <w:tcPr>
            <w:tcW w:w="508" w:type="pct"/>
            <w:shd w:val="clear" w:color="auto" w:fill="auto"/>
            <w:vAlign w:val="center"/>
          </w:tcPr>
          <w:p w:rsidR="00394D88" w:rsidRPr="00ED2823" w:rsidRDefault="00394D88" w:rsidP="00AF3F9E">
            <w:r>
              <w:t>-</w:t>
            </w:r>
          </w:p>
        </w:tc>
        <w:tc>
          <w:tcPr>
            <w:tcW w:w="510" w:type="pct"/>
            <w:shd w:val="clear" w:color="auto" w:fill="auto"/>
            <w:vAlign w:val="center"/>
          </w:tcPr>
          <w:p w:rsidR="00394D88" w:rsidRPr="00ED2823" w:rsidRDefault="00394D88" w:rsidP="00AF3F9E">
            <w:r>
              <w:t>?</w:t>
            </w:r>
          </w:p>
        </w:tc>
        <w:tc>
          <w:tcPr>
            <w:tcW w:w="509" w:type="pct"/>
            <w:vAlign w:val="center"/>
          </w:tcPr>
          <w:p w:rsidR="00394D88" w:rsidRPr="00ED2823" w:rsidRDefault="00394D88" w:rsidP="00AF3F9E">
            <w:r>
              <w:t>x</w:t>
            </w:r>
          </w:p>
        </w:tc>
        <w:tc>
          <w:tcPr>
            <w:tcW w:w="509" w:type="pct"/>
            <w:tcBorders>
              <w:right w:val="dotted" w:sz="4" w:space="0" w:color="auto"/>
            </w:tcBorders>
            <w:vAlign w:val="center"/>
          </w:tcPr>
          <w:p w:rsidR="00394D88" w:rsidRPr="00ED2823" w:rsidRDefault="00394D88" w:rsidP="00AF3F9E">
            <w:r>
              <w:t>x</w:t>
            </w:r>
          </w:p>
        </w:tc>
        <w:tc>
          <w:tcPr>
            <w:tcW w:w="587" w:type="pct"/>
            <w:tcBorders>
              <w:right w:val="single" w:sz="4" w:space="0" w:color="auto"/>
            </w:tcBorders>
            <w:vAlign w:val="center"/>
          </w:tcPr>
          <w:p w:rsidR="00394D88" w:rsidRPr="00ED2823" w:rsidRDefault="00394D88" w:rsidP="00AF3F9E">
            <w:pPr>
              <w:pStyle w:val="Header"/>
            </w:pPr>
            <w:r>
              <w:t>x</w:t>
            </w:r>
          </w:p>
        </w:tc>
      </w:tr>
      <w:tr w:rsidR="00394D88" w:rsidRPr="00ED2823" w:rsidTr="00394D88">
        <w:trPr>
          <w:cantSplit/>
        </w:trPr>
        <w:tc>
          <w:tcPr>
            <w:tcW w:w="1245" w:type="pct"/>
            <w:tcBorders>
              <w:left w:val="single" w:sz="4" w:space="0" w:color="auto"/>
            </w:tcBorders>
            <w:vAlign w:val="center"/>
          </w:tcPr>
          <w:p w:rsidR="00394D88" w:rsidRPr="00ED2823" w:rsidRDefault="00394D88" w:rsidP="00AF3F9E">
            <w:r>
              <w:t xml:space="preserve">afvullen in eenheidsverpakkingen </w:t>
            </w:r>
          </w:p>
        </w:tc>
        <w:tc>
          <w:tcPr>
            <w:tcW w:w="535" w:type="pct"/>
            <w:vAlign w:val="center"/>
          </w:tcPr>
          <w:p w:rsidR="00394D88" w:rsidRPr="00ED2823" w:rsidRDefault="00394D88" w:rsidP="00AF3F9E">
            <w:r>
              <w:t>?</w:t>
            </w:r>
          </w:p>
        </w:tc>
        <w:tc>
          <w:tcPr>
            <w:tcW w:w="597" w:type="pct"/>
            <w:vAlign w:val="center"/>
          </w:tcPr>
          <w:p w:rsidR="00394D88" w:rsidRPr="00ED2823" w:rsidRDefault="00394D88" w:rsidP="00AF3F9E">
            <w:r>
              <w:t>?</w:t>
            </w:r>
          </w:p>
        </w:tc>
        <w:tc>
          <w:tcPr>
            <w:tcW w:w="508" w:type="pct"/>
            <w:vAlign w:val="center"/>
          </w:tcPr>
          <w:p w:rsidR="00394D88" w:rsidRPr="00ED2823" w:rsidRDefault="00394D88" w:rsidP="00AF3F9E">
            <w:r>
              <w:t>+</w:t>
            </w:r>
          </w:p>
        </w:tc>
        <w:tc>
          <w:tcPr>
            <w:tcW w:w="510" w:type="pct"/>
            <w:shd w:val="clear" w:color="auto" w:fill="auto"/>
            <w:vAlign w:val="center"/>
          </w:tcPr>
          <w:p w:rsidR="00394D88" w:rsidRPr="00ED2823" w:rsidRDefault="00394D88" w:rsidP="00AF3F9E">
            <w:r>
              <w:t>?</w:t>
            </w:r>
          </w:p>
        </w:tc>
        <w:tc>
          <w:tcPr>
            <w:tcW w:w="509" w:type="pct"/>
            <w:vAlign w:val="center"/>
          </w:tcPr>
          <w:p w:rsidR="00394D88" w:rsidRPr="00ED2823" w:rsidRDefault="00394D88" w:rsidP="00AF3F9E">
            <w:r>
              <w:t>+</w:t>
            </w:r>
          </w:p>
        </w:tc>
        <w:tc>
          <w:tcPr>
            <w:tcW w:w="509" w:type="pct"/>
            <w:tcBorders>
              <w:right w:val="dotted" w:sz="4" w:space="0" w:color="auto"/>
            </w:tcBorders>
            <w:vAlign w:val="center"/>
          </w:tcPr>
          <w:p w:rsidR="00394D88" w:rsidRPr="00ED2823" w:rsidRDefault="00394D88" w:rsidP="00AF3F9E">
            <w:r>
              <w:t>x</w:t>
            </w:r>
          </w:p>
        </w:tc>
        <w:tc>
          <w:tcPr>
            <w:tcW w:w="587" w:type="pct"/>
            <w:tcBorders>
              <w:right w:val="single" w:sz="4" w:space="0" w:color="auto"/>
            </w:tcBorders>
            <w:vAlign w:val="center"/>
          </w:tcPr>
          <w:p w:rsidR="00394D88" w:rsidRPr="00ED2823" w:rsidRDefault="00394D88" w:rsidP="00AF3F9E">
            <w:pPr>
              <w:pStyle w:val="Header"/>
            </w:pPr>
            <w:r>
              <w:t>x</w:t>
            </w:r>
          </w:p>
        </w:tc>
      </w:tr>
      <w:tr w:rsidR="00394D88" w:rsidTr="00394D88">
        <w:trPr>
          <w:cantSplit/>
        </w:trPr>
        <w:tc>
          <w:tcPr>
            <w:tcW w:w="5000" w:type="pct"/>
            <w:gridSpan w:val="8"/>
            <w:tcBorders>
              <w:top w:val="dotted" w:sz="4" w:space="0" w:color="auto"/>
              <w:left w:val="single" w:sz="4" w:space="0" w:color="auto"/>
              <w:bottom w:val="dotted" w:sz="4" w:space="0" w:color="auto"/>
              <w:right w:val="single" w:sz="4" w:space="0" w:color="auto"/>
            </w:tcBorders>
            <w:shd w:val="clear" w:color="auto" w:fill="auto"/>
          </w:tcPr>
          <w:p w:rsidR="00394D88" w:rsidRDefault="00394D88" w:rsidP="00AF3F9E">
            <w:r>
              <w:t>ondersteunende activiteiten</w:t>
            </w:r>
          </w:p>
        </w:tc>
      </w:tr>
      <w:tr w:rsidR="00394D88" w:rsidTr="00394D88">
        <w:trPr>
          <w:cantSplit/>
        </w:trPr>
        <w:tc>
          <w:tcPr>
            <w:tcW w:w="1245" w:type="pct"/>
            <w:tcBorders>
              <w:left w:val="single" w:sz="4" w:space="0" w:color="auto"/>
              <w:bottom w:val="dotted" w:sz="4" w:space="0" w:color="auto"/>
            </w:tcBorders>
          </w:tcPr>
          <w:p w:rsidR="00394D88" w:rsidRDefault="00394D88" w:rsidP="00AF3F9E">
            <w:r>
              <w:t>stoomproductie</w:t>
            </w:r>
          </w:p>
        </w:tc>
        <w:tc>
          <w:tcPr>
            <w:tcW w:w="535" w:type="pct"/>
            <w:tcBorders>
              <w:bottom w:val="dotted" w:sz="4" w:space="0" w:color="auto"/>
            </w:tcBorders>
            <w:vAlign w:val="center"/>
          </w:tcPr>
          <w:p w:rsidR="00394D88" w:rsidRDefault="00394D88" w:rsidP="00AF3F9E">
            <w:r>
              <w:t>x</w:t>
            </w:r>
          </w:p>
        </w:tc>
        <w:tc>
          <w:tcPr>
            <w:tcW w:w="597" w:type="pct"/>
            <w:tcBorders>
              <w:bottom w:val="dotted" w:sz="4" w:space="0" w:color="auto"/>
            </w:tcBorders>
            <w:vAlign w:val="center"/>
          </w:tcPr>
          <w:p w:rsidR="00394D88" w:rsidRDefault="00394D88" w:rsidP="00AF3F9E">
            <w:r>
              <w:t>x</w:t>
            </w:r>
          </w:p>
        </w:tc>
        <w:tc>
          <w:tcPr>
            <w:tcW w:w="508" w:type="pct"/>
            <w:tcBorders>
              <w:bottom w:val="dotted" w:sz="4" w:space="0" w:color="auto"/>
            </w:tcBorders>
            <w:vAlign w:val="center"/>
          </w:tcPr>
          <w:p w:rsidR="00394D88" w:rsidRDefault="00394D88" w:rsidP="00AF3F9E">
            <w:r>
              <w:t>+</w:t>
            </w:r>
          </w:p>
        </w:tc>
        <w:tc>
          <w:tcPr>
            <w:tcW w:w="510" w:type="pct"/>
            <w:tcBorders>
              <w:bottom w:val="dotted" w:sz="4" w:space="0" w:color="auto"/>
            </w:tcBorders>
            <w:shd w:val="clear" w:color="auto" w:fill="auto"/>
            <w:vAlign w:val="center"/>
          </w:tcPr>
          <w:p w:rsidR="00394D88" w:rsidRDefault="00394D88" w:rsidP="00AF3F9E">
            <w:r>
              <w:t>?</w:t>
            </w:r>
          </w:p>
        </w:tc>
        <w:tc>
          <w:tcPr>
            <w:tcW w:w="509" w:type="pct"/>
            <w:tcBorders>
              <w:bottom w:val="dotted" w:sz="4" w:space="0" w:color="auto"/>
            </w:tcBorders>
            <w:vAlign w:val="center"/>
          </w:tcPr>
          <w:p w:rsidR="00394D88" w:rsidRDefault="00394D88" w:rsidP="00AF3F9E">
            <w:r>
              <w:t>x</w:t>
            </w:r>
          </w:p>
        </w:tc>
        <w:tc>
          <w:tcPr>
            <w:tcW w:w="509" w:type="pct"/>
            <w:tcBorders>
              <w:bottom w:val="dotted" w:sz="4" w:space="0" w:color="auto"/>
              <w:right w:val="dotted" w:sz="4" w:space="0" w:color="auto"/>
            </w:tcBorders>
            <w:vAlign w:val="center"/>
          </w:tcPr>
          <w:p w:rsidR="00394D88" w:rsidRDefault="00394D88" w:rsidP="00AF3F9E">
            <w:r>
              <w:t>?</w:t>
            </w:r>
          </w:p>
        </w:tc>
        <w:tc>
          <w:tcPr>
            <w:tcW w:w="587" w:type="pct"/>
            <w:tcBorders>
              <w:bottom w:val="dotted" w:sz="4" w:space="0" w:color="auto"/>
              <w:right w:val="single" w:sz="4" w:space="0" w:color="auto"/>
            </w:tcBorders>
            <w:vAlign w:val="center"/>
          </w:tcPr>
          <w:p w:rsidR="00394D88" w:rsidRDefault="00394D88" w:rsidP="00AF3F9E">
            <w:pPr>
              <w:pStyle w:val="Header"/>
            </w:pPr>
            <w:r>
              <w:t>x</w:t>
            </w:r>
          </w:p>
        </w:tc>
      </w:tr>
      <w:tr w:rsidR="00394D88" w:rsidRPr="00ED2823" w:rsidTr="00394D88">
        <w:trPr>
          <w:cantSplit/>
        </w:trPr>
        <w:tc>
          <w:tcPr>
            <w:tcW w:w="1245" w:type="pct"/>
            <w:tcBorders>
              <w:left w:val="single" w:sz="4" w:space="0" w:color="auto"/>
            </w:tcBorders>
            <w:vAlign w:val="center"/>
          </w:tcPr>
          <w:p w:rsidR="00394D88" w:rsidRPr="00ED2823" w:rsidRDefault="00394D88" w:rsidP="00AF3F9E">
            <w:r>
              <w:t>reiniging van transportmiddelen en tanks</w:t>
            </w:r>
          </w:p>
        </w:tc>
        <w:tc>
          <w:tcPr>
            <w:tcW w:w="535" w:type="pct"/>
            <w:vAlign w:val="center"/>
          </w:tcPr>
          <w:p w:rsidR="00394D88" w:rsidRPr="00ED2823" w:rsidRDefault="00394D88" w:rsidP="00AF3F9E">
            <w:r>
              <w:t>?</w:t>
            </w:r>
          </w:p>
        </w:tc>
        <w:tc>
          <w:tcPr>
            <w:tcW w:w="597" w:type="pct"/>
            <w:vAlign w:val="center"/>
          </w:tcPr>
          <w:p w:rsidR="00394D88" w:rsidRPr="00ED2823" w:rsidRDefault="00394D88" w:rsidP="00AF3F9E">
            <w:r>
              <w:t>+</w:t>
            </w:r>
          </w:p>
        </w:tc>
        <w:tc>
          <w:tcPr>
            <w:tcW w:w="508" w:type="pct"/>
            <w:vAlign w:val="center"/>
          </w:tcPr>
          <w:p w:rsidR="00394D88" w:rsidRPr="00ED2823" w:rsidRDefault="00394D88" w:rsidP="00AF3F9E">
            <w:r>
              <w:t>+</w:t>
            </w:r>
          </w:p>
        </w:tc>
        <w:tc>
          <w:tcPr>
            <w:tcW w:w="510" w:type="pct"/>
            <w:shd w:val="clear" w:color="auto" w:fill="auto"/>
            <w:vAlign w:val="center"/>
          </w:tcPr>
          <w:p w:rsidR="00394D88" w:rsidRPr="00ED2823" w:rsidRDefault="00394D88" w:rsidP="00AF3F9E">
            <w:r>
              <w:t>x</w:t>
            </w:r>
          </w:p>
        </w:tc>
        <w:tc>
          <w:tcPr>
            <w:tcW w:w="509" w:type="pct"/>
            <w:vAlign w:val="center"/>
          </w:tcPr>
          <w:p w:rsidR="00394D88" w:rsidRPr="00ED2823" w:rsidRDefault="00394D88" w:rsidP="00AF3F9E">
            <w:r>
              <w:t>x</w:t>
            </w:r>
          </w:p>
        </w:tc>
        <w:tc>
          <w:tcPr>
            <w:tcW w:w="509" w:type="pct"/>
            <w:tcBorders>
              <w:right w:val="dotted" w:sz="4" w:space="0" w:color="auto"/>
            </w:tcBorders>
            <w:vAlign w:val="center"/>
          </w:tcPr>
          <w:p w:rsidR="00394D88" w:rsidRPr="00ED2823" w:rsidRDefault="00394D88" w:rsidP="00AF3F9E">
            <w:r>
              <w:t>(-)</w:t>
            </w:r>
          </w:p>
        </w:tc>
        <w:tc>
          <w:tcPr>
            <w:tcW w:w="587" w:type="pct"/>
            <w:tcBorders>
              <w:right w:val="single" w:sz="4" w:space="0" w:color="auto"/>
            </w:tcBorders>
            <w:vAlign w:val="center"/>
          </w:tcPr>
          <w:p w:rsidR="00394D88" w:rsidRPr="00ED2823" w:rsidRDefault="00394D88" w:rsidP="00AF3F9E">
            <w:pPr>
              <w:pStyle w:val="Header"/>
            </w:pPr>
            <w:r>
              <w:t>x</w:t>
            </w:r>
          </w:p>
        </w:tc>
      </w:tr>
      <w:tr w:rsidR="00394D88" w:rsidTr="00394D88">
        <w:trPr>
          <w:cantSplit/>
        </w:trPr>
        <w:tc>
          <w:tcPr>
            <w:tcW w:w="1245" w:type="pct"/>
            <w:tcBorders>
              <w:top w:val="dotted" w:sz="4" w:space="0" w:color="auto"/>
              <w:left w:val="single" w:sz="4" w:space="0" w:color="auto"/>
              <w:bottom w:val="dotted" w:sz="4" w:space="0" w:color="auto"/>
            </w:tcBorders>
          </w:tcPr>
          <w:p w:rsidR="00394D88" w:rsidRDefault="00394D88" w:rsidP="00AF3F9E">
            <w:r>
              <w:t>waterzuivering</w:t>
            </w:r>
          </w:p>
        </w:tc>
        <w:tc>
          <w:tcPr>
            <w:tcW w:w="535" w:type="pct"/>
            <w:tcBorders>
              <w:top w:val="dotted" w:sz="4" w:space="0" w:color="auto"/>
              <w:bottom w:val="dotted" w:sz="4" w:space="0" w:color="auto"/>
            </w:tcBorders>
            <w:vAlign w:val="center"/>
          </w:tcPr>
          <w:p w:rsidR="00394D88" w:rsidRDefault="00394D88" w:rsidP="00AF3F9E">
            <w:r>
              <w:t>x</w:t>
            </w:r>
          </w:p>
        </w:tc>
        <w:tc>
          <w:tcPr>
            <w:tcW w:w="597" w:type="pct"/>
            <w:tcBorders>
              <w:top w:val="dotted" w:sz="4" w:space="0" w:color="auto"/>
              <w:bottom w:val="dotted" w:sz="4" w:space="0" w:color="auto"/>
            </w:tcBorders>
            <w:vAlign w:val="center"/>
          </w:tcPr>
          <w:p w:rsidR="00394D88" w:rsidRDefault="00394D88" w:rsidP="00AF3F9E">
            <w:r>
              <w:t>+</w:t>
            </w:r>
          </w:p>
        </w:tc>
        <w:tc>
          <w:tcPr>
            <w:tcW w:w="508" w:type="pct"/>
            <w:tcBorders>
              <w:top w:val="dotted" w:sz="4" w:space="0" w:color="auto"/>
              <w:bottom w:val="dotted" w:sz="4" w:space="0" w:color="auto"/>
            </w:tcBorders>
            <w:vAlign w:val="center"/>
          </w:tcPr>
          <w:p w:rsidR="00394D88" w:rsidRDefault="00394D88" w:rsidP="00AF3F9E">
            <w:r>
              <w:t>+</w:t>
            </w:r>
          </w:p>
        </w:tc>
        <w:tc>
          <w:tcPr>
            <w:tcW w:w="510" w:type="pct"/>
            <w:tcBorders>
              <w:top w:val="dotted" w:sz="4" w:space="0" w:color="auto"/>
              <w:bottom w:val="dotted" w:sz="4" w:space="0" w:color="auto"/>
            </w:tcBorders>
            <w:shd w:val="clear" w:color="auto" w:fill="auto"/>
            <w:vAlign w:val="center"/>
          </w:tcPr>
          <w:p w:rsidR="00394D88" w:rsidRDefault="00394D88" w:rsidP="00AF3F9E">
            <w:r>
              <w:t>x</w:t>
            </w:r>
          </w:p>
        </w:tc>
        <w:tc>
          <w:tcPr>
            <w:tcW w:w="509" w:type="pct"/>
            <w:tcBorders>
              <w:top w:val="dotted" w:sz="4" w:space="0" w:color="auto"/>
              <w:bottom w:val="dotted" w:sz="4" w:space="0" w:color="auto"/>
            </w:tcBorders>
            <w:vAlign w:val="center"/>
          </w:tcPr>
          <w:p w:rsidR="00394D88" w:rsidRDefault="00394D88" w:rsidP="00AF3F9E">
            <w:r>
              <w:t>x</w:t>
            </w:r>
          </w:p>
        </w:tc>
        <w:tc>
          <w:tcPr>
            <w:tcW w:w="509" w:type="pct"/>
            <w:tcBorders>
              <w:top w:val="dotted" w:sz="4" w:space="0" w:color="auto"/>
              <w:bottom w:val="dotted" w:sz="4" w:space="0" w:color="auto"/>
              <w:right w:val="dotted" w:sz="4" w:space="0" w:color="auto"/>
            </w:tcBorders>
            <w:vAlign w:val="center"/>
          </w:tcPr>
          <w:p w:rsidR="00394D88" w:rsidRDefault="00394D88" w:rsidP="00AF3F9E">
            <w:r>
              <w:t>?</w:t>
            </w:r>
          </w:p>
        </w:tc>
        <w:tc>
          <w:tcPr>
            <w:tcW w:w="587" w:type="pct"/>
            <w:tcBorders>
              <w:top w:val="dotted" w:sz="4" w:space="0" w:color="auto"/>
              <w:bottom w:val="dotted" w:sz="4" w:space="0" w:color="auto"/>
              <w:right w:val="single" w:sz="4" w:space="0" w:color="auto"/>
            </w:tcBorders>
            <w:vAlign w:val="center"/>
          </w:tcPr>
          <w:p w:rsidR="00394D88" w:rsidRDefault="00394D88" w:rsidP="00AF3F9E">
            <w:pPr>
              <w:pStyle w:val="Header"/>
            </w:pPr>
            <w:r>
              <w:t>x</w:t>
            </w:r>
          </w:p>
        </w:tc>
      </w:tr>
      <w:tr w:rsidR="00394D88" w:rsidTr="00394D88">
        <w:trPr>
          <w:cantSplit/>
        </w:trPr>
        <w:tc>
          <w:tcPr>
            <w:tcW w:w="1245" w:type="pct"/>
            <w:tcBorders>
              <w:top w:val="dotted" w:sz="4" w:space="0" w:color="auto"/>
              <w:left w:val="single" w:sz="4" w:space="0" w:color="auto"/>
              <w:bottom w:val="single" w:sz="4" w:space="0" w:color="auto"/>
            </w:tcBorders>
          </w:tcPr>
          <w:p w:rsidR="00394D88" w:rsidRDefault="00394D88" w:rsidP="00AF3F9E">
            <w:r>
              <w:t>dampverwerking</w:t>
            </w:r>
          </w:p>
        </w:tc>
        <w:tc>
          <w:tcPr>
            <w:tcW w:w="535" w:type="pct"/>
            <w:tcBorders>
              <w:top w:val="dotted" w:sz="4" w:space="0" w:color="auto"/>
              <w:bottom w:val="single" w:sz="4" w:space="0" w:color="auto"/>
            </w:tcBorders>
            <w:vAlign w:val="center"/>
          </w:tcPr>
          <w:p w:rsidR="00394D88" w:rsidRDefault="00394D88" w:rsidP="00AF3F9E">
            <w:r>
              <w:t>x</w:t>
            </w:r>
          </w:p>
        </w:tc>
        <w:tc>
          <w:tcPr>
            <w:tcW w:w="597" w:type="pct"/>
            <w:tcBorders>
              <w:top w:val="dotted" w:sz="4" w:space="0" w:color="auto"/>
              <w:bottom w:val="single" w:sz="4" w:space="0" w:color="auto"/>
            </w:tcBorders>
            <w:vAlign w:val="center"/>
          </w:tcPr>
          <w:p w:rsidR="00394D88" w:rsidRDefault="00394D88" w:rsidP="00AF3F9E">
            <w:r>
              <w:t>x</w:t>
            </w:r>
          </w:p>
        </w:tc>
        <w:tc>
          <w:tcPr>
            <w:tcW w:w="508" w:type="pct"/>
            <w:tcBorders>
              <w:top w:val="dotted" w:sz="4" w:space="0" w:color="auto"/>
              <w:bottom w:val="single" w:sz="4" w:space="0" w:color="auto"/>
            </w:tcBorders>
            <w:vAlign w:val="center"/>
          </w:tcPr>
          <w:p w:rsidR="00394D88" w:rsidRDefault="00394D88" w:rsidP="00AF3F9E">
            <w:r>
              <w:t>(x)</w:t>
            </w:r>
          </w:p>
        </w:tc>
        <w:tc>
          <w:tcPr>
            <w:tcW w:w="510" w:type="pct"/>
            <w:tcBorders>
              <w:top w:val="dotted" w:sz="4" w:space="0" w:color="auto"/>
              <w:bottom w:val="single" w:sz="4" w:space="0" w:color="auto"/>
            </w:tcBorders>
            <w:shd w:val="clear" w:color="auto" w:fill="auto"/>
            <w:vAlign w:val="center"/>
          </w:tcPr>
          <w:p w:rsidR="00394D88" w:rsidRDefault="00394D88" w:rsidP="00AF3F9E">
            <w:r>
              <w:t>?</w:t>
            </w:r>
          </w:p>
        </w:tc>
        <w:tc>
          <w:tcPr>
            <w:tcW w:w="509" w:type="pct"/>
            <w:tcBorders>
              <w:top w:val="dotted" w:sz="4" w:space="0" w:color="auto"/>
              <w:bottom w:val="single" w:sz="4" w:space="0" w:color="auto"/>
            </w:tcBorders>
            <w:vAlign w:val="center"/>
          </w:tcPr>
          <w:p w:rsidR="00394D88" w:rsidRDefault="00394D88" w:rsidP="00AF3F9E">
            <w:r>
              <w:t>x</w:t>
            </w:r>
          </w:p>
        </w:tc>
        <w:tc>
          <w:tcPr>
            <w:tcW w:w="509" w:type="pct"/>
            <w:tcBorders>
              <w:top w:val="dotted" w:sz="4" w:space="0" w:color="auto"/>
              <w:bottom w:val="single" w:sz="4" w:space="0" w:color="auto"/>
              <w:right w:val="dotted" w:sz="4" w:space="0" w:color="auto"/>
            </w:tcBorders>
            <w:vAlign w:val="center"/>
          </w:tcPr>
          <w:p w:rsidR="00394D88" w:rsidRDefault="00394D88" w:rsidP="00AF3F9E">
            <w:r>
              <w:t>x</w:t>
            </w:r>
          </w:p>
        </w:tc>
        <w:tc>
          <w:tcPr>
            <w:tcW w:w="587" w:type="pct"/>
            <w:tcBorders>
              <w:top w:val="dotted" w:sz="4" w:space="0" w:color="auto"/>
              <w:bottom w:val="single" w:sz="4" w:space="0" w:color="auto"/>
              <w:right w:val="single" w:sz="4" w:space="0" w:color="auto"/>
            </w:tcBorders>
            <w:vAlign w:val="center"/>
          </w:tcPr>
          <w:p w:rsidR="00394D88" w:rsidRDefault="00394D88" w:rsidP="00AF3F9E">
            <w:pPr>
              <w:pStyle w:val="Header"/>
            </w:pPr>
            <w:r>
              <w:t>x</w:t>
            </w:r>
          </w:p>
        </w:tc>
      </w:tr>
    </w:tbl>
    <w:p w:rsidR="00394D88" w:rsidRPr="00394D88" w:rsidRDefault="00394D88" w:rsidP="00AF3F9E">
      <w:pPr>
        <w:rPr>
          <w:lang w:val="nl-NL"/>
        </w:rPr>
      </w:pPr>
    </w:p>
    <w:p w:rsidR="00394D88" w:rsidRDefault="00394D88" w:rsidP="00AF3F9E">
      <w:r>
        <w:t>Codering:</w:t>
      </w:r>
    </w:p>
    <w:p w:rsidR="00394D88" w:rsidRDefault="00394D88" w:rsidP="00AF3F9E">
      <w:r>
        <w:lastRenderedPageBreak/>
        <w:t>+</w:t>
      </w:r>
      <w:r>
        <w:tab/>
        <w:t>er is een direct negatief effect van lange duur, waarschijnlijk minder relevant</w:t>
      </w:r>
    </w:p>
    <w:p w:rsidR="00394D88" w:rsidRDefault="00394D88" w:rsidP="00AF3F9E">
      <w:r>
        <w:t>++</w:t>
      </w:r>
      <w:r>
        <w:tab/>
        <w:t>er is een direct negatief effect van lange duur, waarschijnlijk relevant</w:t>
      </w:r>
    </w:p>
    <w:p w:rsidR="00394D88" w:rsidRDefault="00394D88" w:rsidP="00AF3F9E">
      <w:r>
        <w:t>(+)</w:t>
      </w:r>
      <w:r>
        <w:tab/>
        <w:t>er is een direct negatief effect van korte duur, waarschijnlijk minder relevant</w:t>
      </w:r>
    </w:p>
    <w:p w:rsidR="00394D88" w:rsidRDefault="00394D88" w:rsidP="00AF3F9E">
      <w:r>
        <w:t>(++)</w:t>
      </w:r>
      <w:r>
        <w:tab/>
        <w:t>er is een direct negatief effect van korte duur, waarschijnlijk relevant</w:t>
      </w:r>
    </w:p>
    <w:p w:rsidR="00394D88" w:rsidRDefault="00394D88" w:rsidP="00AF3F9E">
      <w:r>
        <w:t>(-)</w:t>
      </w:r>
      <w:r>
        <w:tab/>
        <w:t>er is een indirect negatief effect</w:t>
      </w:r>
    </w:p>
    <w:p w:rsidR="00394D88" w:rsidRDefault="00394D88" w:rsidP="00AF3F9E">
      <w:r>
        <w:t>?</w:t>
      </w:r>
      <w:r>
        <w:tab/>
        <w:t>er is misschien een negatief effect</w:t>
      </w:r>
    </w:p>
    <w:p w:rsidR="00394D88" w:rsidRDefault="00394D88" w:rsidP="00AF3F9E">
      <w:r>
        <w:t>x</w:t>
      </w:r>
      <w:r>
        <w:tab/>
        <w:t>niet relevant</w:t>
      </w:r>
    </w:p>
    <w:p w:rsidR="00394D88" w:rsidRPr="00394D88" w:rsidRDefault="00394D88" w:rsidP="00AF3F9E">
      <w:pPr>
        <w:rPr>
          <w:lang w:val="nl-NL"/>
        </w:rPr>
      </w:pPr>
      <w:r>
        <w:t xml:space="preserve">(x) </w:t>
      </w:r>
      <w:r>
        <w:tab/>
        <w:t>er is een positief effect</w:t>
      </w:r>
    </w:p>
    <w:p w:rsidR="001D7335" w:rsidRDefault="001D7335" w:rsidP="00AF3F9E">
      <w:pPr>
        <w:rPr>
          <w:lang w:val="nl-NL"/>
        </w:rPr>
      </w:pPr>
    </w:p>
    <w:p w:rsidR="00A2790D" w:rsidRDefault="00A2790D" w:rsidP="00AF3F9E">
      <w:pPr>
        <w:rPr>
          <w:lang w:val="nl-NL"/>
        </w:rPr>
        <w:sectPr w:rsidR="00A2790D" w:rsidSect="00072B8C">
          <w:headerReference w:type="even" r:id="rId59"/>
          <w:headerReference w:type="default" r:id="rId60"/>
          <w:headerReference w:type="first" r:id="rId61"/>
          <w:pgSz w:w="11909" w:h="16834" w:code="9"/>
          <w:pgMar w:top="1240" w:right="1440" w:bottom="1440" w:left="1440" w:header="454" w:footer="709" w:gutter="0"/>
          <w:pgNumType w:start="1" w:chapStyle="1" w:chapSep="period"/>
          <w:cols w:space="708"/>
          <w:docGrid w:linePitch="272"/>
        </w:sectPr>
      </w:pPr>
    </w:p>
    <w:p w:rsidR="00E74C13" w:rsidRPr="00BD6BCF" w:rsidRDefault="00915F6C" w:rsidP="004F40A7">
      <w:pPr>
        <w:pStyle w:val="Heading1"/>
      </w:pPr>
      <w:bookmarkStart w:id="731" w:name="hfdst8"/>
      <w:bookmarkStart w:id="732" w:name="_Toc279480206"/>
      <w:bookmarkStart w:id="733" w:name="_Toc282505715"/>
      <w:bookmarkStart w:id="734" w:name="_Toc295920150"/>
      <w:bookmarkStart w:id="735" w:name="_Toc295923381"/>
      <w:bookmarkStart w:id="736" w:name="_Toc295923693"/>
      <w:r>
        <w:lastRenderedPageBreak/>
        <w:t xml:space="preserve"> </w:t>
      </w:r>
      <w:bookmarkStart w:id="737" w:name="_Toc295995291"/>
      <w:bookmarkStart w:id="738" w:name="_Toc296004873"/>
      <w:bookmarkStart w:id="739" w:name="_Toc296085824"/>
      <w:bookmarkStart w:id="740" w:name="_Toc296330731"/>
      <w:bookmarkStart w:id="741" w:name="_Toc296419447"/>
      <w:bookmarkStart w:id="742" w:name="_Toc297286193"/>
      <w:bookmarkStart w:id="743" w:name="_Toc297542493"/>
      <w:bookmarkStart w:id="744" w:name="_Toc297546632"/>
      <w:bookmarkStart w:id="745" w:name="_Toc297546797"/>
      <w:bookmarkStart w:id="746" w:name="_Toc297546962"/>
      <w:bookmarkStart w:id="747" w:name="_Toc297547127"/>
      <w:bookmarkStart w:id="748" w:name="_Toc297553628"/>
      <w:bookmarkStart w:id="749" w:name="_Toc297649794"/>
      <w:bookmarkStart w:id="750" w:name="_Toc297722594"/>
      <w:bookmarkStart w:id="751" w:name="_Toc297725612"/>
      <w:bookmarkStart w:id="752" w:name="_Toc298161731"/>
      <w:bookmarkStart w:id="753" w:name="_Toc299981078"/>
      <w:bookmarkStart w:id="754" w:name="_Toc299981261"/>
      <w:bookmarkStart w:id="755" w:name="_Toc299981444"/>
      <w:bookmarkStart w:id="756" w:name="_Toc299982659"/>
      <w:bookmarkStart w:id="757" w:name="_Toc299982842"/>
      <w:bookmarkStart w:id="758" w:name="_Toc299985131"/>
      <w:bookmarkStart w:id="759" w:name="_Toc299986230"/>
      <w:bookmarkStart w:id="760" w:name="_Toc299986413"/>
      <w:bookmarkStart w:id="761" w:name="_Toc300045619"/>
      <w:bookmarkStart w:id="762" w:name="_Toc300232308"/>
      <w:bookmarkStart w:id="763" w:name="_Toc300303672"/>
      <w:bookmarkStart w:id="764" w:name="_Toc300559596"/>
      <w:bookmarkStart w:id="765" w:name="_Toc300561004"/>
      <w:bookmarkStart w:id="766" w:name="_Toc300561620"/>
      <w:bookmarkStart w:id="767" w:name="_Toc300561803"/>
      <w:bookmarkStart w:id="768" w:name="_Toc300562750"/>
      <w:bookmarkStart w:id="769" w:name="_Toc311109251"/>
      <w:bookmarkStart w:id="770" w:name="_Toc311212616"/>
      <w:bookmarkStart w:id="771" w:name="_Toc311451883"/>
      <w:bookmarkStart w:id="772" w:name="_Toc312069244"/>
      <w:r w:rsidR="007D2979">
        <w:t>Effectvoorspelling en -beoordeling</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E74C13" w:rsidRDefault="00E74C13" w:rsidP="00AF3F9E">
      <w:pPr>
        <w:rPr>
          <w:lang w:val="nl"/>
        </w:rPr>
      </w:pPr>
    </w:p>
    <w:p w:rsidR="00E74C13" w:rsidRDefault="00E74C13" w:rsidP="00AF3F9E">
      <w:pPr>
        <w:rPr>
          <w:lang w:val="nl"/>
        </w:rPr>
        <w:sectPr w:rsidR="00E74C13" w:rsidSect="00C54545">
          <w:headerReference w:type="even" r:id="rId62"/>
          <w:headerReference w:type="default" r:id="rId63"/>
          <w:headerReference w:type="first" r:id="rId64"/>
          <w:pgSz w:w="11909" w:h="16834" w:code="9"/>
          <w:pgMar w:top="1240" w:right="1440" w:bottom="1440" w:left="1440" w:header="454" w:footer="709" w:gutter="0"/>
          <w:pgNumType w:start="1" w:chapStyle="1" w:chapSep="period"/>
          <w:cols w:space="708"/>
        </w:sectPr>
      </w:pPr>
    </w:p>
    <w:p w:rsidR="004560FE" w:rsidRPr="003D1563" w:rsidRDefault="004560FE" w:rsidP="004F40A7">
      <w:pPr>
        <w:pStyle w:val="Heading2"/>
      </w:pPr>
      <w:bookmarkStart w:id="773" w:name="_Ref290969263"/>
      <w:bookmarkStart w:id="774" w:name="_Toc312069245"/>
      <w:r>
        <w:lastRenderedPageBreak/>
        <w:t>Oppervlaktewater</w:t>
      </w:r>
      <w:bookmarkEnd w:id="773"/>
      <w:bookmarkEnd w:id="774"/>
    </w:p>
    <w:p w:rsidR="004560FE" w:rsidRDefault="004560FE" w:rsidP="004F40A7">
      <w:pPr>
        <w:pStyle w:val="Heading3"/>
      </w:pPr>
      <w:bookmarkStart w:id="775" w:name="_Toc312069246"/>
      <w:r>
        <w:t>Inleidend gedeelte</w:t>
      </w:r>
      <w:bookmarkEnd w:id="775"/>
    </w:p>
    <w:p w:rsidR="004560FE" w:rsidRPr="003D1563" w:rsidRDefault="004560FE" w:rsidP="004F40A7">
      <w:pPr>
        <w:pStyle w:val="Heading4"/>
      </w:pPr>
      <w:bookmarkStart w:id="776" w:name="_Toc312069247"/>
      <w:r w:rsidRPr="003D1563">
        <w:t>Te onderscheiden stappen bij de uitwerking van de discipline</w:t>
      </w:r>
      <w:bookmarkEnd w:id="776"/>
    </w:p>
    <w:p w:rsidR="004560FE" w:rsidRDefault="004560FE" w:rsidP="00AF3F9E">
      <w:pPr>
        <w:rPr>
          <w:lang w:val="nl-NL"/>
        </w:rPr>
      </w:pPr>
      <w:r w:rsidRPr="003D1563">
        <w:rPr>
          <w:lang w:val="nl-NL"/>
        </w:rPr>
        <w:t>Bij de uitwerking van de</w:t>
      </w:r>
      <w:r>
        <w:rPr>
          <w:lang w:val="nl-NL"/>
        </w:rPr>
        <w:t xml:space="preserve"> discipline oppervlaktewater, kunnen volgende stappen worden onderscheiden:</w:t>
      </w:r>
    </w:p>
    <w:p w:rsidR="00617415" w:rsidRDefault="00CB3B91">
      <w:pPr>
        <w:pStyle w:val="ListParagraph"/>
        <w:numPr>
          <w:ilvl w:val="0"/>
          <w:numId w:val="108"/>
        </w:numPr>
        <w:rPr>
          <w:lang w:val="nl-NL"/>
        </w:rPr>
      </w:pPr>
      <w:r w:rsidRPr="00162FBB">
        <w:rPr>
          <w:lang w:val="nl-NL"/>
        </w:rPr>
        <w:t>afbakening van het studiegebied</w:t>
      </w:r>
      <w:r w:rsidRPr="00CB3B91">
        <w:rPr>
          <w:lang w:val="nl-NL"/>
        </w:rPr>
        <w:t xml:space="preserve"> (in functie van de te onderzoeken elementen);</w:t>
      </w:r>
    </w:p>
    <w:p w:rsidR="00617415" w:rsidRDefault="00CB3B91">
      <w:pPr>
        <w:pStyle w:val="ListParagraph"/>
        <w:numPr>
          <w:ilvl w:val="0"/>
          <w:numId w:val="108"/>
        </w:numPr>
        <w:rPr>
          <w:lang w:val="nl-NL"/>
        </w:rPr>
      </w:pPr>
      <w:r w:rsidRPr="00CB3B91">
        <w:rPr>
          <w:lang w:val="nl-NL"/>
        </w:rPr>
        <w:t>bespreking referentiesituatie:</w:t>
      </w:r>
    </w:p>
    <w:p w:rsidR="004560FE" w:rsidRDefault="004560FE" w:rsidP="00AF3F9E">
      <w:pPr>
        <w:rPr>
          <w:lang w:val="nl-NL"/>
        </w:rPr>
      </w:pPr>
      <w:r>
        <w:rPr>
          <w:lang w:val="nl-NL"/>
        </w:rPr>
        <w:t>Het bespreken van de referentiesituatie omvat het in kaart brengen van de huidige fysico-chemische waterkwaliteit van de afvalwaterontvangende oppervlaktewaters aan de hand van beschikbare meetresulaten.</w:t>
      </w:r>
    </w:p>
    <w:p w:rsidR="004560FE" w:rsidRPr="009C2BFD" w:rsidRDefault="004560FE" w:rsidP="00AF3F9E">
      <w:pPr>
        <w:rPr>
          <w:lang w:val="nl-NL"/>
        </w:rPr>
      </w:pPr>
      <w:r w:rsidRPr="009C2BFD">
        <w:rPr>
          <w:lang w:val="nl-NL"/>
        </w:rPr>
        <w:t>Dit laatste heeft o.m. tot doel om</w:t>
      </w:r>
      <w:r w:rsidR="00246AB9">
        <w:rPr>
          <w:lang w:val="nl-NL"/>
        </w:rPr>
        <w:t>:</w:t>
      </w:r>
    </w:p>
    <w:p w:rsidR="00617415" w:rsidRDefault="004560FE">
      <w:pPr>
        <w:pStyle w:val="ListParagraph"/>
        <w:numPr>
          <w:ilvl w:val="0"/>
          <w:numId w:val="20"/>
        </w:numPr>
        <w:rPr>
          <w:lang w:val="nl-NL"/>
        </w:rPr>
      </w:pPr>
      <w:r w:rsidRPr="00246AB9">
        <w:rPr>
          <w:lang w:val="nl-NL"/>
        </w:rPr>
        <w:t xml:space="preserve">informatie aan te leveren m.b.t. de reeds bestaande </w:t>
      </w:r>
      <w:r w:rsidR="00CB3B91" w:rsidRPr="00CB3B91">
        <w:rPr>
          <w:lang w:val="nl-NL"/>
        </w:rPr>
        <w:t>belasting van het watersysteem, hetgeen een element is waarmee rekening gehouden wordt bij de effectvoorspelling en –beoordeling;</w:t>
      </w:r>
    </w:p>
    <w:p w:rsidR="00617415" w:rsidRDefault="00CB3B91">
      <w:pPr>
        <w:pStyle w:val="ListParagraph"/>
        <w:numPr>
          <w:ilvl w:val="0"/>
          <w:numId w:val="20"/>
        </w:numPr>
        <w:rPr>
          <w:lang w:val="nl-NL"/>
        </w:rPr>
      </w:pPr>
      <w:r w:rsidRPr="00CB3B91">
        <w:rPr>
          <w:lang w:val="nl-NL"/>
        </w:rPr>
        <w:t>een kader te vormen waartegen resultaten van modelmatige effectvoorspellingen kunnen afgewogen worden.</w:t>
      </w:r>
    </w:p>
    <w:p w:rsidR="004560FE" w:rsidRDefault="004560FE" w:rsidP="00AF3F9E">
      <w:r>
        <w:t xml:space="preserve">Voor de beschrijving van de huidige toestand wordt beroep gedaan op informatie die beschikbaar is via het meetnet oppervlaktewater van de Vlaamse Milieumaatschappij (VMM). De huidige kwaliteit van de waterlopen binnen het studiegebied wordt getoetst aan de vigerende kwaliteitsnormen. </w:t>
      </w:r>
    </w:p>
    <w:p w:rsidR="004560FE" w:rsidRPr="00C2790F" w:rsidRDefault="004560FE" w:rsidP="00AF3F9E">
      <w:r>
        <w:t>Naast een omvangrijke beschrijving van de fysico-chemische kwaliteit van de waterlopen binnen het studiegebied wordt er eveneens informatie opgenomen aangaande de hydrografische situering van de waterlopen alsook van de hydraulische kenmerken van de waterlopen.</w:t>
      </w:r>
    </w:p>
    <w:p w:rsidR="00617415" w:rsidRDefault="004560FE">
      <w:pPr>
        <w:pStyle w:val="Heading4"/>
      </w:pPr>
      <w:bookmarkStart w:id="777" w:name="_Toc312069248"/>
      <w:r>
        <w:t>effectvoorspelling en -beoordeling:</w:t>
      </w:r>
      <w:bookmarkEnd w:id="777"/>
    </w:p>
    <w:p w:rsidR="004560FE" w:rsidRDefault="004560FE" w:rsidP="00AF3F9E">
      <w:pPr>
        <w:rPr>
          <w:lang w:val="nl-NL"/>
        </w:rPr>
      </w:pPr>
      <w:r>
        <w:rPr>
          <w:lang w:val="nl-NL"/>
        </w:rPr>
        <w:t xml:space="preserve">Dit onderdeel omvat het modelmatig begroten van de bijdragen van de vooropgestelde lozingen en wateronttrekkingen. Hierbij wordt een onderscheid gemaakt tussen enerzijds een ogenblikkelijke, tijdelijke impact die zich enkel zal manifesteren bij uitzonderlijke omstandigheden en een jaargemiddelde impact die een beeld geeft van de structurele impact van de lozingen op het </w:t>
      </w:r>
      <w:r w:rsidR="00162FBB">
        <w:rPr>
          <w:lang w:val="nl-NL"/>
        </w:rPr>
        <w:t>dok</w:t>
      </w:r>
      <w:r>
        <w:rPr>
          <w:lang w:val="nl-NL"/>
        </w:rPr>
        <w:t>.</w:t>
      </w:r>
    </w:p>
    <w:p w:rsidR="004560FE" w:rsidRDefault="004560FE" w:rsidP="00AF3F9E">
      <w:pPr>
        <w:rPr>
          <w:lang w:val="nl-NL"/>
        </w:rPr>
      </w:pPr>
      <w:r>
        <w:rPr>
          <w:lang w:val="nl-NL"/>
        </w:rPr>
        <w:t>De verkregen resultaten worden afgewogen t.a.v. een toetsingskader en vervolgens beoordeeld naar graad van significantie.</w:t>
      </w:r>
    </w:p>
    <w:p w:rsidR="004560FE" w:rsidRPr="00C2790F" w:rsidRDefault="004560FE" w:rsidP="00AF3F9E">
      <w:pPr>
        <w:rPr>
          <w:lang w:val="nl-NL"/>
        </w:rPr>
      </w:pPr>
      <w:r>
        <w:t>Voorts zal ook bekeken worden of het geplande project een invloed heeft op het lozen van hemelwater en het capteren van oppervlaktewater en wat hiervan de mogelijke gevolgen zijn voor de hydraulische aspecten van de dokken.</w:t>
      </w:r>
    </w:p>
    <w:p w:rsidR="002C5D44" w:rsidRDefault="004560FE">
      <w:pPr>
        <w:pStyle w:val="Heading4"/>
      </w:pPr>
      <w:bookmarkStart w:id="778" w:name="_Toc312069249"/>
      <w:r w:rsidRPr="0081485C">
        <w:t>milderende maatregelen</w:t>
      </w:r>
      <w:r>
        <w:t>:</w:t>
      </w:r>
      <w:bookmarkEnd w:id="778"/>
    </w:p>
    <w:p w:rsidR="004560FE" w:rsidRDefault="004560FE" w:rsidP="00AF3F9E">
      <w:pPr>
        <w:rPr>
          <w:lang w:val="nl-NL"/>
        </w:rPr>
      </w:pPr>
      <w:r>
        <w:rPr>
          <w:lang w:val="nl-NL"/>
        </w:rPr>
        <w:t>Afhankelijk van de resultaten van de effectvoorspelling en –beoordeling wordt geoordeeld of het al dan niet voorstellen van milderende maatregelen aangewezen is om de omvang van potentiële effecten terug te dringen.</w:t>
      </w:r>
    </w:p>
    <w:p w:rsidR="00617415" w:rsidRDefault="004560FE">
      <w:pPr>
        <w:pStyle w:val="Heading3"/>
        <w:widowControl/>
      </w:pPr>
      <w:bookmarkStart w:id="779" w:name="_Ref237147862"/>
      <w:bookmarkStart w:id="780" w:name="_Toc312069250"/>
      <w:r w:rsidRPr="003D1563">
        <w:lastRenderedPageBreak/>
        <w:t>Afbakening en beschrijving studiegebied</w:t>
      </w:r>
      <w:bookmarkEnd w:id="779"/>
      <w:bookmarkEnd w:id="780"/>
    </w:p>
    <w:p w:rsidR="00617415" w:rsidRDefault="00004E87">
      <w:pPr>
        <w:keepNext/>
        <w:rPr>
          <w:lang w:val="nl-NL"/>
        </w:rPr>
      </w:pPr>
      <w:r>
        <w:rPr>
          <w:lang w:val="nl-NL"/>
        </w:rPr>
        <w:t>Door VTE worden verschillende waterstromen</w:t>
      </w:r>
      <w:r w:rsidR="004560FE">
        <w:rPr>
          <w:lang w:val="nl-NL"/>
        </w:rPr>
        <w:t xml:space="preserve"> geloosd in het Industriedok hetgeen een onderdeel vormt van de havendokken op Rechteroever</w:t>
      </w:r>
      <w:r>
        <w:rPr>
          <w:lang w:val="nl-NL"/>
        </w:rPr>
        <w:t xml:space="preserve"> (oppervlaktewaterlichaam Antwerpse havendokken + Schelde-Rijn</w:t>
      </w:r>
      <w:r>
        <w:rPr>
          <w:lang w:val="nl-NL"/>
        </w:rPr>
        <w:softHyphen/>
        <w:t>verbinding – VL05_187)</w:t>
      </w:r>
      <w:r w:rsidR="004560FE">
        <w:rPr>
          <w:lang w:val="nl-NL"/>
        </w:rPr>
        <w:t xml:space="preserve">. </w:t>
      </w:r>
    </w:p>
    <w:p w:rsidR="00617415" w:rsidRDefault="002C5438">
      <w:pPr>
        <w:keepNext/>
        <w:rPr>
          <w:lang w:val="nl-NL"/>
        </w:rPr>
      </w:pPr>
      <w:r>
        <w:t>De havendokken zijn gesitueerd in het bekken ‘Benedenschelde’ en maakt deel uit van het stroom</w:t>
      </w:r>
      <w:r>
        <w:softHyphen/>
        <w:t>gebiedsdistrict van de Schelde. Conform het stroomgebiedsbeheersplan van de Schelde worden de Antwerpse Havendokken beschouwd als een zeer licht brak meer.</w:t>
      </w:r>
    </w:p>
    <w:p w:rsidR="00617415" w:rsidRDefault="004560FE">
      <w:pPr>
        <w:keepNext/>
        <w:rPr>
          <w:lang w:val="nl-NL"/>
        </w:rPr>
      </w:pPr>
      <w:r>
        <w:rPr>
          <w:lang w:val="nl-NL"/>
        </w:rPr>
        <w:t>De verschillende havendokken staan rechtstreeks of via geulen met elkaar in verbinding.</w:t>
      </w:r>
      <w:r w:rsidRPr="00032B0D">
        <w:rPr>
          <w:lang w:val="nl-NL"/>
        </w:rPr>
        <w:t xml:space="preserve"> </w:t>
      </w:r>
      <w:r>
        <w:rPr>
          <w:lang w:val="nl-NL"/>
        </w:rPr>
        <w:t xml:space="preserve">In feite betekent dit dat men de havendokken als één groot reservoir kan beschouwen dat via sluiscomplexen interageert met de </w:t>
      </w:r>
      <w:r w:rsidR="00004E87">
        <w:rPr>
          <w:lang w:val="nl-NL"/>
        </w:rPr>
        <w:t>Schelde, het Albertkanaal en het Schelde-Rijnkanaal</w:t>
      </w:r>
      <w:r>
        <w:rPr>
          <w:lang w:val="nl-NL"/>
        </w:rPr>
        <w:t>.</w:t>
      </w:r>
    </w:p>
    <w:p w:rsidR="00617415" w:rsidRDefault="004560FE">
      <w:pPr>
        <w:keepNext/>
        <w:rPr>
          <w:lang w:val="nl-NL"/>
        </w:rPr>
      </w:pPr>
      <w:r>
        <w:rPr>
          <w:lang w:val="nl-NL"/>
        </w:rPr>
        <w:t>Hiermee rekening houdend is het dan ook niet mogelijk om het studiegebied enkel te beperken tot het Industriedok, wat immers zou impliceren dat het Industriedok een geïsoleerd geheel vormt binnen de havendokken op Rechteroever.</w:t>
      </w:r>
      <w:r w:rsidRPr="00424B41">
        <w:t xml:space="preserve"> </w:t>
      </w:r>
      <w:r>
        <w:rPr>
          <w:lang w:val="nl-NL"/>
        </w:rPr>
        <w:t>Het studiegebied omvat dan ook een groot deel van</w:t>
      </w:r>
      <w:r w:rsidR="00004E87">
        <w:rPr>
          <w:lang w:val="nl-NL"/>
        </w:rPr>
        <w:t xml:space="preserve"> de havendokken op Rechteroever</w:t>
      </w:r>
      <w:r>
        <w:rPr>
          <w:lang w:val="nl-NL"/>
        </w:rPr>
        <w:t>.</w:t>
      </w:r>
    </w:p>
    <w:p w:rsidR="004560FE" w:rsidRDefault="004560FE" w:rsidP="004F40A7">
      <w:pPr>
        <w:pStyle w:val="Heading4"/>
      </w:pPr>
      <w:bookmarkStart w:id="781" w:name="_Toc312069251"/>
      <w:r>
        <w:t>Hydraulische kenmerken kanaaldokken</w:t>
      </w:r>
      <w:bookmarkEnd w:id="781"/>
    </w:p>
    <w:p w:rsidR="004560FE" w:rsidRDefault="004560FE" w:rsidP="00AF3F9E">
      <w:pPr>
        <w:rPr>
          <w:lang w:val="nl-NL"/>
        </w:rPr>
      </w:pPr>
      <w:r>
        <w:rPr>
          <w:lang w:val="nl-NL"/>
        </w:rPr>
        <w:t>De havendokken vormen vanuit hydraulisch standpunt een complex en specifiek gegeven. Alhoewel men de havendokken dikwijls als een stilstaand water beschouwd, is dit in praktijk niet zo.</w:t>
      </w:r>
    </w:p>
    <w:p w:rsidR="004560FE" w:rsidRDefault="004560FE" w:rsidP="00AF3F9E">
      <w:pPr>
        <w:rPr>
          <w:lang w:val="nl-NL"/>
        </w:rPr>
      </w:pPr>
      <w:r>
        <w:rPr>
          <w:lang w:val="nl-NL"/>
        </w:rPr>
        <w:t>De havendokken op Rechteroever worden</w:t>
      </w:r>
      <w:r w:rsidR="002C5438">
        <w:rPr>
          <w:lang w:val="nl-NL"/>
        </w:rPr>
        <w:t xml:space="preserve"> voornamelijk</w:t>
      </w:r>
      <w:r>
        <w:rPr>
          <w:lang w:val="nl-NL"/>
        </w:rPr>
        <w:t xml:space="preserve"> – via de Wijnegemsluis – gevoed vanuit het Albertkanaal</w:t>
      </w:r>
      <w:r w:rsidR="002C5438">
        <w:rPr>
          <w:lang w:val="nl-NL"/>
        </w:rPr>
        <w:t xml:space="preserve">. </w:t>
      </w:r>
      <w:r>
        <w:rPr>
          <w:lang w:val="nl-NL"/>
        </w:rPr>
        <w:t>Daarnaast is er ook input aan water t.g.v. neerslag en lozingen (afvalwater, koelwater en hem</w:t>
      </w:r>
      <w:r w:rsidR="00876E33">
        <w:rPr>
          <w:lang w:val="nl-NL"/>
        </w:rPr>
        <w:t>elwater), via de sluiswerking,</w:t>
      </w:r>
      <w:r>
        <w:rPr>
          <w:lang w:val="nl-NL"/>
        </w:rPr>
        <w:t xml:space="preserve"> via het pompstation Verlegde Schijn</w:t>
      </w:r>
      <w:r w:rsidR="00876E33">
        <w:rPr>
          <w:lang w:val="nl-NL"/>
        </w:rPr>
        <w:t>, …</w:t>
      </w:r>
      <w:r>
        <w:rPr>
          <w:lang w:val="nl-NL"/>
        </w:rPr>
        <w:t xml:space="preserve">. Anderzijds is er ook afvoer van water via de sluiswerking (hoofdzakelijk via de Berendrecht- en Zandvlietsluis) en captaties van oppervlaktewater. </w:t>
      </w:r>
    </w:p>
    <w:p w:rsidR="002C5438" w:rsidRDefault="004560FE" w:rsidP="00AF3F9E">
      <w:pPr>
        <w:rPr>
          <w:lang w:val="nl-NL"/>
        </w:rPr>
      </w:pPr>
      <w:r>
        <w:rPr>
          <w:lang w:val="nl-NL"/>
        </w:rPr>
        <w:t xml:space="preserve">Gedetailleerde gegevens m.b.t. alle bovenstaande factoren zijn niet gekend. </w:t>
      </w:r>
      <w:r w:rsidR="002C5438">
        <w:rPr>
          <w:lang w:val="nl-NL"/>
        </w:rPr>
        <w:t>Door het Gemeentelijk Havenbedrijf Antwerpen</w:t>
      </w:r>
      <w:r w:rsidR="00876E33">
        <w:rPr>
          <w:rStyle w:val="EndnoteReference"/>
          <w:lang w:val="nl-NL"/>
        </w:rPr>
        <w:endnoteReference w:id="1"/>
      </w:r>
      <w:r w:rsidR="002C5438">
        <w:rPr>
          <w:lang w:val="nl-NL"/>
        </w:rPr>
        <w:t xml:space="preserve"> is er wel een inschatting gemaakt van </w:t>
      </w:r>
      <w:r w:rsidR="00876E33">
        <w:rPr>
          <w:lang w:val="nl-NL"/>
        </w:rPr>
        <w:t>de waterhuishouding m.b.t.</w:t>
      </w:r>
      <w:r w:rsidR="002C5438">
        <w:rPr>
          <w:lang w:val="nl-NL"/>
        </w:rPr>
        <w:t xml:space="preserve"> de dokken op Rechteroever, rekening houdend met </w:t>
      </w:r>
    </w:p>
    <w:p w:rsidR="002C5438" w:rsidRDefault="002C5438" w:rsidP="00E52C07">
      <w:pPr>
        <w:pStyle w:val="ListParagraph"/>
        <w:numPr>
          <w:ilvl w:val="0"/>
          <w:numId w:val="92"/>
        </w:numPr>
        <w:rPr>
          <w:lang w:val="nl-NL"/>
        </w:rPr>
      </w:pPr>
      <w:r w:rsidRPr="002C5438">
        <w:rPr>
          <w:lang w:val="nl-NL"/>
        </w:rPr>
        <w:t>input aan water via het Albertkanaal, de lozingen van de RWZI’s van Merksem en Schijnpoort</w:t>
      </w:r>
      <w:r>
        <w:rPr>
          <w:lang w:val="nl-NL"/>
        </w:rPr>
        <w:t>, het pompstation ‘Verlegde Schijn’, het pompstation ‘Noordland’ en de verschillende sluizen</w:t>
      </w:r>
      <w:r w:rsidRPr="002C5438">
        <w:rPr>
          <w:lang w:val="nl-NL"/>
        </w:rPr>
        <w:t xml:space="preserve"> </w:t>
      </w:r>
    </w:p>
    <w:p w:rsidR="002C5438" w:rsidRDefault="002C5438" w:rsidP="00E52C07">
      <w:pPr>
        <w:pStyle w:val="ListParagraph"/>
        <w:numPr>
          <w:ilvl w:val="0"/>
          <w:numId w:val="92"/>
        </w:numPr>
        <w:rPr>
          <w:lang w:val="nl-NL"/>
        </w:rPr>
      </w:pPr>
      <w:r w:rsidRPr="002C5438">
        <w:rPr>
          <w:lang w:val="nl-NL"/>
        </w:rPr>
        <w:t>afvoer van water door captatie van de industrie en de versluisingen naar de Schelde.</w:t>
      </w:r>
    </w:p>
    <w:p w:rsidR="00876E33" w:rsidRDefault="00876E33" w:rsidP="00AF3F9E">
      <w:pPr>
        <w:rPr>
          <w:lang w:val="nl-NL"/>
        </w:rPr>
      </w:pPr>
      <w:r>
        <w:rPr>
          <w:lang w:val="nl-NL"/>
        </w:rPr>
        <w:t>Op basis van de verschillende gegevens blijkt dat er gemiddeld op jaarbasis er binnen de dokken water van zuid naar noord stroomt</w:t>
      </w:r>
      <w:r w:rsidR="0048006C">
        <w:rPr>
          <w:lang w:val="nl-NL"/>
        </w:rPr>
        <w:t xml:space="preserve"> en werden ook doorstroomdebieten t.h.v. verschillende dokken ingeschat (zie ook </w:t>
      </w:r>
      <w:r w:rsidR="0048006C" w:rsidRPr="008707D7">
        <w:rPr>
          <w:lang w:val="nl-NL"/>
        </w:rPr>
        <w:t xml:space="preserve">figuur </w:t>
      </w:r>
      <w:fldSimple w:instr=" REF f_water_Qdokken \h  \* MERGEFORMAT ">
        <w:r w:rsidR="008102D8">
          <w:t>VIII.1.1</w:t>
        </w:r>
      </w:fldSimple>
      <w:r w:rsidR="0048006C">
        <w:rPr>
          <w:lang w:val="nl-NL"/>
        </w:rPr>
        <w:t>).</w:t>
      </w:r>
    </w:p>
    <w:p w:rsidR="00876E33" w:rsidRPr="00876E33" w:rsidRDefault="00876E33" w:rsidP="00AF3F9E">
      <w:pPr>
        <w:rPr>
          <w:lang w:val="nl-NL"/>
        </w:rPr>
      </w:pPr>
      <w:r>
        <w:rPr>
          <w:lang w:val="nl-NL"/>
        </w:rPr>
        <w:t xml:space="preserve">Belangrijk is </w:t>
      </w:r>
      <w:r w:rsidR="0048006C">
        <w:rPr>
          <w:lang w:val="nl-NL"/>
        </w:rPr>
        <w:t xml:space="preserve">wel </w:t>
      </w:r>
      <w:r>
        <w:rPr>
          <w:lang w:val="nl-NL"/>
        </w:rPr>
        <w:t xml:space="preserve">dat </w:t>
      </w:r>
      <w:r w:rsidR="0048006C">
        <w:rPr>
          <w:lang w:val="nl-NL"/>
        </w:rPr>
        <w:t>ingeschatte debieten</w:t>
      </w:r>
      <w:r>
        <w:rPr>
          <w:lang w:val="nl-NL"/>
        </w:rPr>
        <w:t xml:space="preserve"> zijn bepaald op basis van een vereenvoudigde weergave van de complexe realiteit. De</w:t>
      </w:r>
      <w:r w:rsidRPr="00876E33">
        <w:rPr>
          <w:lang w:val="nl-NL"/>
        </w:rPr>
        <w:t xml:space="preserve"> </w:t>
      </w:r>
      <w:r w:rsidR="002F68F1">
        <w:rPr>
          <w:lang w:val="nl-NL"/>
        </w:rPr>
        <w:t xml:space="preserve">ogenblikkelijke </w:t>
      </w:r>
      <w:r>
        <w:rPr>
          <w:lang w:val="nl-NL"/>
        </w:rPr>
        <w:t>doorstroom</w:t>
      </w:r>
      <w:r w:rsidRPr="00876E33">
        <w:rPr>
          <w:lang w:val="nl-NL"/>
        </w:rPr>
        <w:t>debiet</w:t>
      </w:r>
      <w:r>
        <w:rPr>
          <w:lang w:val="nl-NL"/>
        </w:rPr>
        <w:t>en</w:t>
      </w:r>
      <w:r w:rsidRPr="00876E33">
        <w:rPr>
          <w:lang w:val="nl-NL"/>
        </w:rPr>
        <w:t xml:space="preserve"> variëren zeer sterk rond bovenvermeld</w:t>
      </w:r>
      <w:r w:rsidR="0048006C">
        <w:rPr>
          <w:lang w:val="nl-NL"/>
        </w:rPr>
        <w:t>e</w:t>
      </w:r>
      <w:r w:rsidRPr="00876E33">
        <w:rPr>
          <w:lang w:val="nl-NL"/>
        </w:rPr>
        <w:t xml:space="preserve"> gemiddelde</w:t>
      </w:r>
      <w:r w:rsidR="0048006C">
        <w:rPr>
          <w:lang w:val="nl-NL"/>
        </w:rPr>
        <w:t>n.</w:t>
      </w:r>
      <w:r w:rsidRPr="00876E33">
        <w:rPr>
          <w:lang w:val="nl-NL"/>
        </w:rPr>
        <w:t xml:space="preserve"> </w:t>
      </w:r>
      <w:r w:rsidR="0048006C">
        <w:rPr>
          <w:lang w:val="nl-NL"/>
        </w:rPr>
        <w:t>Ook het reële stromingspatroon is zeer sterk variabel en o.m. in functie van variaties in het waterpeil in de dokken</w:t>
      </w:r>
      <w:r w:rsidR="0048006C">
        <w:rPr>
          <w:rStyle w:val="FootnoteReference"/>
          <w:lang w:val="nl-NL"/>
        </w:rPr>
        <w:footnoteReference w:id="41"/>
      </w:r>
      <w:r w:rsidR="0048006C">
        <w:rPr>
          <w:lang w:val="nl-NL"/>
        </w:rPr>
        <w:t>.</w:t>
      </w:r>
    </w:p>
    <w:p w:rsidR="004560FE" w:rsidRDefault="004560FE" w:rsidP="00AF3F9E">
      <w:pPr>
        <w:rPr>
          <w:lang w:val="nl-NL"/>
        </w:rPr>
      </w:pPr>
      <w:r>
        <w:rPr>
          <w:lang w:val="nl-NL"/>
        </w:rPr>
        <w:lastRenderedPageBreak/>
        <w:t xml:space="preserve">In het kader van de effectvoorspelling </w:t>
      </w:r>
      <w:r w:rsidR="0048006C">
        <w:rPr>
          <w:lang w:val="nl-NL"/>
        </w:rPr>
        <w:t>en –beoordeling is het dan ook enkel mogelijk</w:t>
      </w:r>
      <w:r>
        <w:rPr>
          <w:lang w:val="nl-NL"/>
        </w:rPr>
        <w:t xml:space="preserve"> om een evaluatie uit te vo</w:t>
      </w:r>
      <w:r w:rsidR="0048006C">
        <w:rPr>
          <w:lang w:val="nl-NL"/>
        </w:rPr>
        <w:t>eren over een periode</w:t>
      </w:r>
      <w:r w:rsidR="002F68F1">
        <w:rPr>
          <w:lang w:val="nl-NL"/>
        </w:rPr>
        <w:t xml:space="preserve"> van 1 jaar</w:t>
      </w:r>
      <w:r>
        <w:rPr>
          <w:lang w:val="nl-NL"/>
        </w:rPr>
        <w:t>.</w:t>
      </w:r>
    </w:p>
    <w:p w:rsidR="004560FE" w:rsidRDefault="004560FE" w:rsidP="004F40A7">
      <w:pPr>
        <w:pStyle w:val="Heading4"/>
      </w:pPr>
      <w:bookmarkStart w:id="782" w:name="_Toc312069252"/>
      <w:r>
        <w:t>Kwaliteit van de havendokken</w:t>
      </w:r>
      <w:bookmarkEnd w:id="782"/>
    </w:p>
    <w:p w:rsidR="004560FE" w:rsidRDefault="004560FE" w:rsidP="004F40A7">
      <w:pPr>
        <w:pStyle w:val="Heading5"/>
      </w:pPr>
      <w:bookmarkStart w:id="783" w:name="_Toc312069253"/>
      <w:r>
        <w:t>Fysico-chemische kwaliteit</w:t>
      </w:r>
      <w:bookmarkEnd w:id="783"/>
    </w:p>
    <w:p w:rsidR="004560FE" w:rsidRDefault="004560FE" w:rsidP="00AF3F9E">
      <w:pPr>
        <w:rPr>
          <w:lang w:val="nl-NL"/>
        </w:rPr>
      </w:pPr>
      <w:r>
        <w:rPr>
          <w:lang w:val="nl-NL"/>
        </w:rPr>
        <w:t>De fysico-chemische kwaliteit van de Antwerpse havendokken wordt beschreven aan de hand van metingen uitgevoerd door de VMM in 2010 (meetpunten 805000</w:t>
      </w:r>
      <w:bookmarkStart w:id="784" w:name="_Ref282078057"/>
      <w:r>
        <w:rPr>
          <w:rStyle w:val="FootnoteReference"/>
          <w:lang w:val="nl-NL"/>
        </w:rPr>
        <w:footnoteReference w:id="42"/>
      </w:r>
      <w:bookmarkEnd w:id="784"/>
      <w:r w:rsidR="00E95099">
        <w:rPr>
          <w:lang w:val="nl-NL"/>
        </w:rPr>
        <w:t xml:space="preserve"> en</w:t>
      </w:r>
      <w:r>
        <w:rPr>
          <w:lang w:val="nl-NL"/>
        </w:rPr>
        <w:t xml:space="preserve"> 804000</w:t>
      </w:r>
      <w:fldSimple w:instr=" NOTEREF _Ref282078057 \h  \* MERGEFORMAT ">
        <w:r w:rsidR="00F077DA" w:rsidRPr="00F077DA">
          <w:rPr>
            <w:vertAlign w:val="superscript"/>
            <w:lang w:val="nl-NL"/>
          </w:rPr>
          <w:t>42</w:t>
        </w:r>
      </w:fldSimple>
      <w:r w:rsidR="00C8437A">
        <w:rPr>
          <w:lang w:val="nl-NL"/>
        </w:rPr>
        <w:t>) en door het Gemeentelijk Havenbedrijf in 2009</w:t>
      </w:r>
      <w:r w:rsidR="00CC44FF">
        <w:rPr>
          <w:lang w:val="nl-NL"/>
        </w:rPr>
        <w:t xml:space="preserve"> (meetpunten R1 t.e.m. R11)</w:t>
      </w:r>
      <w:r w:rsidR="00C8437A">
        <w:rPr>
          <w:lang w:val="nl-NL"/>
        </w:rPr>
        <w:t>.</w:t>
      </w:r>
      <w:r>
        <w:rPr>
          <w:lang w:val="nl-NL"/>
        </w:rPr>
        <w:t xml:space="preserve">  </w:t>
      </w:r>
      <w:r w:rsidR="00CC44FF">
        <w:rPr>
          <w:lang w:val="nl-NL"/>
        </w:rPr>
        <w:tab/>
      </w:r>
      <w:r w:rsidR="00CC44FF">
        <w:rPr>
          <w:lang w:val="nl-NL"/>
        </w:rPr>
        <w:br/>
      </w:r>
      <w:r>
        <w:rPr>
          <w:lang w:val="nl-NL"/>
        </w:rPr>
        <w:t xml:space="preserve">De gebruikte meetpunten zijn weergegeven op figuur </w:t>
      </w:r>
      <w:r w:rsidR="00C325A0">
        <w:rPr>
          <w:lang w:val="nl-NL"/>
        </w:rPr>
        <w:fldChar w:fldCharType="begin"/>
      </w:r>
      <w:r>
        <w:rPr>
          <w:lang w:val="nl-NL"/>
        </w:rPr>
        <w:instrText xml:space="preserve"> REF f_water_meetpunten \h </w:instrText>
      </w:r>
      <w:r w:rsidR="00C325A0">
        <w:rPr>
          <w:lang w:val="nl-NL"/>
        </w:rPr>
      </w:r>
      <w:r w:rsidR="00C325A0">
        <w:rPr>
          <w:lang w:val="nl-NL"/>
        </w:rPr>
        <w:fldChar w:fldCharType="separate"/>
      </w:r>
      <w:r w:rsidR="008102D8">
        <w:t>VIII.1.</w:t>
      </w:r>
      <w:r w:rsidR="008102D8">
        <w:rPr>
          <w:noProof/>
        </w:rPr>
        <w:t>2</w:t>
      </w:r>
      <w:r w:rsidR="00C325A0">
        <w:rPr>
          <w:lang w:val="nl-NL"/>
        </w:rPr>
        <w:fldChar w:fldCharType="end"/>
      </w:r>
      <w:r>
        <w:rPr>
          <w:lang w:val="nl-NL"/>
        </w:rPr>
        <w:t xml:space="preserve">, de </w:t>
      </w:r>
      <w:r w:rsidR="000C2C46">
        <w:rPr>
          <w:lang w:val="nl-NL"/>
        </w:rPr>
        <w:t>(</w:t>
      </w:r>
      <w:r>
        <w:rPr>
          <w:lang w:val="nl-NL"/>
        </w:rPr>
        <w:t>gemiddelde</w:t>
      </w:r>
      <w:r w:rsidR="000C2C46">
        <w:rPr>
          <w:lang w:val="nl-NL"/>
        </w:rPr>
        <w:t>)</w:t>
      </w:r>
      <w:r>
        <w:rPr>
          <w:lang w:val="nl-NL"/>
        </w:rPr>
        <w:t xml:space="preserve"> meetresultaten zijn opgenomen in</w:t>
      </w:r>
      <w:r w:rsidR="00E95099">
        <w:rPr>
          <w:lang w:val="nl-NL"/>
        </w:rPr>
        <w:t xml:space="preserve"> bijlage </w:t>
      </w:r>
      <w:r w:rsidR="00C325A0">
        <w:rPr>
          <w:lang w:val="nl-NL"/>
        </w:rPr>
        <w:fldChar w:fldCharType="begin"/>
      </w:r>
      <w:r w:rsidR="00E95099">
        <w:rPr>
          <w:lang w:val="nl-NL"/>
        </w:rPr>
        <w:instrText xml:space="preserve"> REF b_immkwaliteit_dokken \h </w:instrText>
      </w:r>
      <w:r w:rsidR="008102D8">
        <w:instrText>2</w:instrText>
      </w:r>
      <w:r w:rsidR="00C325A0">
        <w:rPr>
          <w:lang w:val="nl-NL"/>
        </w:rPr>
      </w:r>
      <w:r w:rsidR="00C325A0">
        <w:rPr>
          <w:lang w:val="nl-NL"/>
        </w:rPr>
        <w:fldChar w:fldCharType="end"/>
      </w:r>
      <w:r>
        <w:rPr>
          <w:lang w:val="nl-NL"/>
        </w:rPr>
        <w:t xml:space="preserve">. </w:t>
      </w:r>
      <w:r w:rsidR="00E95099">
        <w:rPr>
          <w:lang w:val="nl-NL"/>
        </w:rPr>
        <w:t>Deze meetresultaten zijn geëvalueerd tav</w:t>
      </w:r>
      <w:r>
        <w:rPr>
          <w:lang w:val="nl-NL"/>
        </w:rPr>
        <w:t xml:space="preserve"> enerzijds de </w:t>
      </w:r>
      <w:r w:rsidR="00230C32">
        <w:rPr>
          <w:lang w:val="nl-NL"/>
        </w:rPr>
        <w:t xml:space="preserve">basismilieukwaliteitsnormen </w:t>
      </w:r>
      <w:r w:rsidR="00B85192">
        <w:rPr>
          <w:lang w:val="nl-NL"/>
        </w:rPr>
        <w:t>(bijlage 2.3.1</w:t>
      </w:r>
      <w:r w:rsidR="00652AAF">
        <w:rPr>
          <w:lang w:val="nl-NL"/>
        </w:rPr>
        <w:t>.Art2.</w:t>
      </w:r>
      <w:r w:rsidR="00B85192">
        <w:rPr>
          <w:lang w:val="nl-NL"/>
        </w:rPr>
        <w:t>20° - Vlarem II</w:t>
      </w:r>
      <w:r w:rsidR="003801B8">
        <w:rPr>
          <w:lang w:val="nl-NL"/>
        </w:rPr>
        <w:t xml:space="preserve"> voor fysicochemische parameters enerzijds en bijlage 2.3.1.Art3- Vlarem II voor gevaarlijke stoffen anderzijds</w:t>
      </w:r>
      <w:r w:rsidR="00B85192">
        <w:rPr>
          <w:lang w:val="nl-NL"/>
        </w:rPr>
        <w:t xml:space="preserve">) </w:t>
      </w:r>
      <w:r>
        <w:t>en anderzijds de milieukwaliteitsdoelstellingen die specifiek gelden</w:t>
      </w:r>
      <w:r w:rsidRPr="00352DEB">
        <w:rPr>
          <w:lang w:val="nl-NL"/>
        </w:rPr>
        <w:t xml:space="preserve"> </w:t>
      </w:r>
      <w:r>
        <w:rPr>
          <w:lang w:val="nl-NL"/>
        </w:rPr>
        <w:t>voor oppervlaktewateren met als bestemming viswater (voor zover aanvullend of strenger)</w:t>
      </w:r>
      <w:r w:rsidR="00B85192">
        <w:rPr>
          <w:lang w:val="nl-NL"/>
        </w:rPr>
        <w:t xml:space="preserve"> (bijlage 2.3.4 – Vlarem II)</w:t>
      </w:r>
      <w:r>
        <w:rPr>
          <w:lang w:val="nl-NL"/>
        </w:rPr>
        <w:t>.</w:t>
      </w:r>
    </w:p>
    <w:p w:rsidR="004560FE" w:rsidRDefault="004560FE" w:rsidP="00AF3F9E">
      <w:pPr>
        <w:rPr>
          <w:lang w:val="nl-NL"/>
        </w:rPr>
      </w:pPr>
      <w:r w:rsidRPr="00965878">
        <w:t xml:space="preserve">Uit </w:t>
      </w:r>
      <w:r w:rsidR="00E95099">
        <w:rPr>
          <w:lang w:val="nl-NL"/>
        </w:rPr>
        <w:t xml:space="preserve">bijlage </w:t>
      </w:r>
      <w:r w:rsidR="00C325A0">
        <w:rPr>
          <w:lang w:val="nl-NL"/>
        </w:rPr>
        <w:fldChar w:fldCharType="begin"/>
      </w:r>
      <w:r w:rsidR="00E95099">
        <w:rPr>
          <w:lang w:val="nl-NL"/>
        </w:rPr>
        <w:instrText xml:space="preserve"> REF b_immkwaliteit_dokken \h </w:instrText>
      </w:r>
      <w:r w:rsidR="008102D8">
        <w:instrText>2</w:instrText>
      </w:r>
      <w:r w:rsidR="00C325A0">
        <w:rPr>
          <w:lang w:val="nl-NL"/>
        </w:rPr>
      </w:r>
      <w:r w:rsidR="00C325A0">
        <w:rPr>
          <w:lang w:val="nl-NL"/>
        </w:rPr>
        <w:fldChar w:fldCharType="end"/>
      </w:r>
      <w:r w:rsidRPr="00965878">
        <w:t xml:space="preserve"> </w:t>
      </w:r>
      <w:r>
        <w:rPr>
          <w:lang w:val="nl-NL"/>
        </w:rPr>
        <w:t>blijkt dat:</w:t>
      </w:r>
    </w:p>
    <w:p w:rsidR="004560FE" w:rsidRDefault="004560FE" w:rsidP="00AF3F9E">
      <w:pPr>
        <w:pStyle w:val="ListParagraph"/>
        <w:rPr>
          <w:lang w:val="nl-NL"/>
        </w:rPr>
      </w:pPr>
      <w:r>
        <w:rPr>
          <w:lang w:val="nl-NL"/>
        </w:rPr>
        <w:t>Wat betreft de parameter CZV er zich een probleem stelt t.a.v. het respecteren van de kwaliteits</w:t>
      </w:r>
      <w:r>
        <w:rPr>
          <w:lang w:val="nl-NL"/>
        </w:rPr>
        <w:softHyphen/>
        <w:t>doelstelling. Vooral ter hoogte van meetpunt 805000 worden regelmatig concentraties gemeten die hoger zijn dan de doelstelling en worden ook piekconcentraties gemeten tot het dubbele van de doelstelling.</w:t>
      </w:r>
      <w:r>
        <w:rPr>
          <w:lang w:val="nl-NL"/>
        </w:rPr>
        <w:tab/>
      </w:r>
      <w:r>
        <w:rPr>
          <w:lang w:val="nl-NL"/>
        </w:rPr>
        <w:br/>
        <w:t>Langs de andere kant wordt voor de parameter BZV de kwaliteitsdoelstelling ruimschoots gerespecteerd.</w:t>
      </w:r>
    </w:p>
    <w:p w:rsidR="004560FE" w:rsidRDefault="004560FE" w:rsidP="00AF3F9E">
      <w:pPr>
        <w:pStyle w:val="ListParagraph"/>
        <w:rPr>
          <w:lang w:val="nl-NL"/>
        </w:rPr>
      </w:pPr>
      <w:r>
        <w:rPr>
          <w:lang w:val="nl-NL"/>
        </w:rPr>
        <w:t>Inzake stikstofverbindigen wordt de doelstelling voor totaal-stikstof niet gerespecteerd, hetgeen verband houdt met het nitraatgehalte in de dokken. Het nitriet-gehalte voldoet wel aan de algemene kwaliteitsdoelstelling van 0,2 mg/l, maar niet aan deze die specifiek geldt voor oppervlaktewateren met als bestemming viswater (0,009 mg/l).</w:t>
      </w:r>
    </w:p>
    <w:p w:rsidR="004560FE" w:rsidRDefault="004560FE" w:rsidP="00AF3F9E">
      <w:pPr>
        <w:pStyle w:val="ListParagraph"/>
        <w:rPr>
          <w:lang w:val="nl-NL"/>
        </w:rPr>
      </w:pPr>
      <w:r>
        <w:rPr>
          <w:lang w:val="nl-NL"/>
        </w:rPr>
        <w:t>Het gehalte aan totaal-fosfor beantwoordt evenmin aan de kwaliteitsdoelstelling van 0,11 mg/l als zomer</w:t>
      </w:r>
      <w:r>
        <w:rPr>
          <w:lang w:val="nl-NL"/>
        </w:rPr>
        <w:softHyphen/>
        <w:t>halfjaargemiddelde (de gehaltes aan totaal-fosfor zijn relatief constant in de tijd en het zomerhalf</w:t>
      </w:r>
      <w:r>
        <w:rPr>
          <w:lang w:val="nl-NL"/>
        </w:rPr>
        <w:softHyphen/>
        <w:t>jaargemiddelde is qua grootteorde dan ook vergelijkbaar met het weergegeven jaargemiddelde).</w:t>
      </w:r>
    </w:p>
    <w:p w:rsidR="004560FE" w:rsidRDefault="004560FE" w:rsidP="00AF3F9E">
      <w:pPr>
        <w:pStyle w:val="ListParagraph"/>
        <w:rPr>
          <w:lang w:val="nl-NL"/>
        </w:rPr>
      </w:pPr>
      <w:r>
        <w:rPr>
          <w:lang w:val="nl-NL"/>
        </w:rPr>
        <w:t>De gehaltes aan metalen allen voldoen aan de kwaliteitsdoelstellingen.</w:t>
      </w:r>
    </w:p>
    <w:p w:rsidR="004560FE" w:rsidRDefault="004560FE" w:rsidP="00AF3F9E">
      <w:pPr>
        <w:pStyle w:val="ListParagraph"/>
        <w:rPr>
          <w:lang w:val="nl-NL"/>
        </w:rPr>
      </w:pPr>
      <w:r>
        <w:rPr>
          <w:lang w:val="nl-NL"/>
        </w:rPr>
        <w:t>Het zoutgehalte (sulfaten en chloriden) ruimschoots voldoen aan de doelstellingen.</w:t>
      </w:r>
    </w:p>
    <w:p w:rsidR="004560FE" w:rsidRPr="004272AC" w:rsidRDefault="004560FE" w:rsidP="00AF3F9E">
      <w:pPr>
        <w:pStyle w:val="ListParagraph"/>
      </w:pPr>
      <w:r w:rsidRPr="00576138">
        <w:rPr>
          <w:lang w:val="nl-NL"/>
        </w:rPr>
        <w:t>Inzake PAK</w:t>
      </w:r>
      <w:r>
        <w:rPr>
          <w:lang w:val="nl-NL"/>
        </w:rPr>
        <w:t>’</w:t>
      </w:r>
      <w:r w:rsidRPr="00576138">
        <w:rPr>
          <w:lang w:val="nl-NL"/>
        </w:rPr>
        <w:t xml:space="preserve">s </w:t>
      </w:r>
      <w:r>
        <w:rPr>
          <w:lang w:val="nl-NL"/>
        </w:rPr>
        <w:t xml:space="preserve">blijkt dat de gehaltes aan </w:t>
      </w:r>
      <w:r>
        <w:t>b</w:t>
      </w:r>
      <w:r w:rsidRPr="003C6347">
        <w:t>enzo[g,h,i]peryleen</w:t>
      </w:r>
      <w:r>
        <w:t xml:space="preserve"> + </w:t>
      </w:r>
      <w:r w:rsidRPr="003C6347">
        <w:t>indeno[1,2,3-cd]peryleen</w:t>
      </w:r>
      <w:r>
        <w:t xml:space="preserve"> structureel hoger zijn dan de gecombineerde (zeer lage) milieukwaliteitsdoelstelling. Voor de overige PAK’s worden de kwaliteitsdoe</w:t>
      </w:r>
      <w:r w:rsidR="0089032B">
        <w:t>lstellingen wel gerespecteerd.</w:t>
      </w:r>
      <w:r w:rsidR="0089032B">
        <w:tab/>
      </w:r>
    </w:p>
    <w:p w:rsidR="004560FE" w:rsidRPr="00F9154F" w:rsidRDefault="004560FE" w:rsidP="00AF3F9E">
      <w:pPr>
        <w:pStyle w:val="ListParagraph"/>
        <w:rPr>
          <w:lang w:val="nl-NL"/>
        </w:rPr>
      </w:pPr>
      <w:r>
        <w:t>De gehaltes aan overige organische micro-verontreinigingen in het dokwater niet aantoonbaar zijn of zeer laag zijn (grootteorde nanogrammen per liter).</w:t>
      </w:r>
      <w:r w:rsidR="0045128E">
        <w:t xml:space="preserve"> Dit neemt niet weg dat voor de stof alachloor, in 2009 op 2 plaatsen (meetpunt R4 en R5) een waarde werd gemeten die op zich hoger is dan de basismilieu</w:t>
      </w:r>
      <w:r w:rsidR="0045128E">
        <w:softHyphen/>
        <w:t>kwaliteitsdoelstelling. Gezien er voor deze parameter evenwel slechts 2 metingen ter beschikking zijn, kan wel niet geoordeeld worden of de jaargemiddelde doelstelling al dan niet bereikt wordt.</w:t>
      </w:r>
    </w:p>
    <w:p w:rsidR="004560FE" w:rsidRDefault="004560FE" w:rsidP="004F40A7">
      <w:pPr>
        <w:pStyle w:val="Heading5"/>
      </w:pPr>
      <w:bookmarkStart w:id="785" w:name="_Toc312069254"/>
      <w:r>
        <w:lastRenderedPageBreak/>
        <w:t>Ecologisch potentieel / toestand</w:t>
      </w:r>
      <w:bookmarkEnd w:id="785"/>
    </w:p>
    <w:p w:rsidR="004560FE" w:rsidRPr="00F9154F" w:rsidRDefault="004560FE" w:rsidP="00AF3F9E">
      <w:pPr>
        <w:rPr>
          <w:lang w:val="nl-NL"/>
        </w:rPr>
      </w:pPr>
      <w:r>
        <w:rPr>
          <w:lang w:val="nl-NL"/>
        </w:rPr>
        <w:t>Het ecologisch potentieel en de ecologische toestand van de haven dokken wordt als slecht beoordeeld, omwille van de slechte beoordeling van macro-invertebraten</w:t>
      </w:r>
      <w:r>
        <w:rPr>
          <w:rStyle w:val="FootnoteReference"/>
          <w:lang w:val="nl-NL"/>
        </w:rPr>
        <w:footnoteReference w:id="43"/>
      </w:r>
      <w:r>
        <w:rPr>
          <w:lang w:val="nl-NL"/>
        </w:rPr>
        <w:t>.</w:t>
      </w:r>
    </w:p>
    <w:p w:rsidR="004560FE" w:rsidRDefault="004560FE" w:rsidP="004F40A7">
      <w:pPr>
        <w:pStyle w:val="Heading3"/>
      </w:pPr>
      <w:bookmarkStart w:id="786" w:name="_Toc312069255"/>
      <w:r>
        <w:t>Referentiesituatie</w:t>
      </w:r>
      <w:bookmarkEnd w:id="786"/>
    </w:p>
    <w:p w:rsidR="004560FE" w:rsidRDefault="004560FE" w:rsidP="004F40A7">
      <w:pPr>
        <w:pStyle w:val="Heading4"/>
      </w:pPr>
      <w:bookmarkStart w:id="787" w:name="_Toc312069256"/>
      <w:r>
        <w:t>Lozen van bedrijfsafvalwater</w:t>
      </w:r>
      <w:bookmarkEnd w:id="787"/>
    </w:p>
    <w:p w:rsidR="004560FE" w:rsidRDefault="004560FE" w:rsidP="004F40A7">
      <w:pPr>
        <w:pStyle w:val="Heading5"/>
      </w:pPr>
      <w:bookmarkStart w:id="788" w:name="_Toc312069257"/>
      <w:r>
        <w:t>Karakteristieken van het geloosde bedrijfsavalwater</w:t>
      </w:r>
      <w:bookmarkEnd w:id="788"/>
    </w:p>
    <w:p w:rsidR="004560FE" w:rsidRDefault="004560FE" w:rsidP="00AF3F9E">
      <w:r>
        <w:t xml:space="preserve">In onderstaande tabel wordt een overzicht gegeven van de karakteristieken van het geloosde water. </w:t>
      </w:r>
      <w:r>
        <w:rPr>
          <w:lang w:val="nl-NL"/>
        </w:rPr>
        <w:t>De vermelde concentraties zijn voor wat betreft CZV, zwevende stoffen, stikstofverbindingen en fosforverindingen gebaseerd op metingen verricht door het bedrijf en een extern labo. Voor de overige parameters werden de concentraties bepaald aan de hand van metingen uitgevoerd door een extern labo.</w:t>
      </w:r>
      <w:r>
        <w:t xml:space="preserve"> </w:t>
      </w:r>
      <w:r w:rsidR="00300BB5">
        <w:br/>
        <w:t>De verwerkte meetresultaten hebben betrekking op het jaar 2010, met uitzondering van organische micro-verontreinigingen. Voor organische micro-verontreinigingen werden de meetresultaten van de afgelopen 3 jaar gehanteerd.</w:t>
      </w:r>
    </w:p>
    <w:p w:rsidR="004560FE" w:rsidRDefault="004560FE" w:rsidP="00AF3F9E">
      <w:r>
        <w:t xml:space="preserve">Wat betreft organische microverontreinigingen </w:t>
      </w:r>
      <w:r w:rsidR="00300BB5">
        <w:t>wordt verder opgemerkt dat</w:t>
      </w:r>
      <w:r>
        <w:t xml:space="preserve"> enkel die individuele com</w:t>
      </w:r>
      <w:r w:rsidR="00300BB5">
        <w:softHyphen/>
      </w:r>
      <w:r>
        <w:t xml:space="preserve">ponenten weergegeven </w:t>
      </w:r>
      <w:r w:rsidR="00300BB5">
        <w:t xml:space="preserve">worden </w:t>
      </w:r>
      <w:r>
        <w:t xml:space="preserve">welke </w:t>
      </w:r>
      <w:r w:rsidR="00300BB5">
        <w:t xml:space="preserve">de afgelopen 3 jaar </w:t>
      </w:r>
      <w:r>
        <w:t xml:space="preserve">minstens éénmaal in aantoonbare concentraties aanwezig waren in het geloosde afvalwater. Indien dus m.a.w. binnen een bepaalde groep van organische micro-verontreinigingen geen enkele individuele component in aantoonbare concentraties werd gemeten, wordt enkel de ‘groepsnaam’ weergegeven (dit </w:t>
      </w:r>
      <w:r w:rsidR="00300BB5">
        <w:t xml:space="preserve">is </w:t>
      </w:r>
      <w:r>
        <w:t>bvb. het geval voor a</w:t>
      </w:r>
      <w:r w:rsidR="00300BB5">
        <w:t>n</w:t>
      </w:r>
      <w:r>
        <w:t>ilines).</w:t>
      </w:r>
    </w:p>
    <w:p w:rsidR="004560FE" w:rsidRDefault="004560FE" w:rsidP="00AF3F9E">
      <w:r>
        <w:t>De vermelde concentraties worden tevens vergeleken met:</w:t>
      </w:r>
    </w:p>
    <w:p w:rsidR="004560FE" w:rsidRDefault="004560FE" w:rsidP="00E52C07">
      <w:pPr>
        <w:pStyle w:val="ListParagraph"/>
        <w:numPr>
          <w:ilvl w:val="0"/>
          <w:numId w:val="94"/>
        </w:numPr>
      </w:pPr>
      <w:r>
        <w:t>Algemene lozingsnormen (zie art. 4.2.2.1.1 Vlarem II);</w:t>
      </w:r>
    </w:p>
    <w:p w:rsidR="00BD332B" w:rsidRDefault="00BD332B" w:rsidP="00E52C07">
      <w:pPr>
        <w:pStyle w:val="ListParagraph"/>
        <w:numPr>
          <w:ilvl w:val="0"/>
          <w:numId w:val="94"/>
        </w:numPr>
      </w:pPr>
      <w:r>
        <w:t>Sectorale lozingsnormen (zie °53 bijlage 5.3.2 van Vlarem II);</w:t>
      </w:r>
    </w:p>
    <w:p w:rsidR="004560FE" w:rsidRDefault="004560FE" w:rsidP="00E52C07">
      <w:pPr>
        <w:pStyle w:val="ListParagraph"/>
        <w:numPr>
          <w:ilvl w:val="0"/>
          <w:numId w:val="94"/>
        </w:numPr>
      </w:pPr>
      <w:r>
        <w:t>Bijzonder lozingnormen (zoals opgenomen in de milieuvergunning van 11 mei 1995)</w:t>
      </w:r>
      <w:r>
        <w:rPr>
          <w:rStyle w:val="FootnoteReference"/>
        </w:rPr>
        <w:footnoteReference w:id="44"/>
      </w:r>
      <w:r>
        <w:t>;</w:t>
      </w:r>
    </w:p>
    <w:p w:rsidR="004560FE" w:rsidRDefault="004560FE" w:rsidP="00E52C07">
      <w:pPr>
        <w:pStyle w:val="ListParagraph"/>
        <w:numPr>
          <w:ilvl w:val="0"/>
          <w:numId w:val="94"/>
        </w:numPr>
      </w:pPr>
      <w:r>
        <w:t>Het indelingscriterium ‘GS’ voor de gevaarlijke stoffen die geloosd worden in aantoonbare concentraties en waarvoor in de lopende vergunningen geen bijzondere lozingsnorm is vastgesteld</w:t>
      </w:r>
      <w:r>
        <w:rPr>
          <w:rStyle w:val="FootnoteReference"/>
        </w:rPr>
        <w:footnoteReference w:id="45"/>
      </w:r>
      <w:r>
        <w:t>.</w:t>
      </w:r>
    </w:p>
    <w:p w:rsidR="00BD332B" w:rsidRDefault="00BD332B">
      <w:pPr>
        <w:keepLines w:val="0"/>
        <w:spacing w:before="0" w:after="0" w:line="240" w:lineRule="auto"/>
        <w:jc w:val="left"/>
        <w:rPr>
          <w:b/>
          <w:sz w:val="18"/>
          <w:szCs w:val="18"/>
          <w:lang w:val="nl-NL"/>
        </w:rPr>
      </w:pPr>
      <w:r>
        <w:br w:type="page"/>
      </w:r>
    </w:p>
    <w:p w:rsidR="002F7FCE" w:rsidRDefault="002F7FCE" w:rsidP="00AF3F9E">
      <w:pPr>
        <w:pStyle w:val="tabel0"/>
      </w:pPr>
      <w:r>
        <w:lastRenderedPageBreak/>
        <w:t xml:space="preserve">Tabel </w:t>
      </w:r>
      <w:r w:rsidR="00C325A0">
        <w:fldChar w:fldCharType="begin"/>
      </w:r>
      <w:r>
        <w:instrText xml:space="preserve"> REF t_water_samenstelling_BA \h </w:instrText>
      </w:r>
      <w:r w:rsidR="00C325A0">
        <w:fldChar w:fldCharType="separate"/>
      </w:r>
      <w:r w:rsidR="008102D8">
        <w:t>VIII.1.</w:t>
      </w:r>
      <w:r w:rsidR="008102D8">
        <w:rPr>
          <w:noProof/>
        </w:rPr>
        <w:t>1</w:t>
      </w:r>
      <w:r w:rsidR="00C325A0">
        <w:fldChar w:fldCharType="end"/>
      </w:r>
      <w:r>
        <w:tab/>
        <w:t>Samenstelling bedrijfsafvalwater</w:t>
      </w:r>
    </w:p>
    <w:tbl>
      <w:tblPr>
        <w:tblW w:w="8959" w:type="dxa"/>
        <w:tblInd w:w="70" w:type="dxa"/>
        <w:tblCellMar>
          <w:left w:w="70" w:type="dxa"/>
          <w:right w:w="70" w:type="dxa"/>
        </w:tblCellMar>
        <w:tblLook w:val="04A0"/>
      </w:tblPr>
      <w:tblGrid>
        <w:gridCol w:w="3236"/>
        <w:gridCol w:w="800"/>
        <w:gridCol w:w="1019"/>
        <w:gridCol w:w="976"/>
        <w:gridCol w:w="976"/>
        <w:gridCol w:w="976"/>
        <w:gridCol w:w="976"/>
      </w:tblGrid>
      <w:tr w:rsidR="00246AB9" w:rsidRPr="005272D2" w:rsidTr="00246AB9">
        <w:trPr>
          <w:trHeight w:val="225"/>
          <w:tblHeader/>
        </w:trPr>
        <w:tc>
          <w:tcPr>
            <w:tcW w:w="3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AF3F9E">
            <w:r>
              <w:t>Paramater</w:t>
            </w:r>
          </w:p>
        </w:tc>
        <w:tc>
          <w:tcPr>
            <w:tcW w:w="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AF3F9E">
            <w:r w:rsidRPr="005272D2">
              <w:t>eenheid</w:t>
            </w:r>
          </w:p>
        </w:tc>
        <w:tc>
          <w:tcPr>
            <w:tcW w:w="1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AF3F9E">
            <w:r w:rsidRPr="005272D2">
              <w:t>Norm</w:t>
            </w:r>
          </w:p>
        </w:tc>
        <w:tc>
          <w:tcPr>
            <w:tcW w:w="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46AB9" w:rsidRPr="005272D2" w:rsidRDefault="00246AB9" w:rsidP="00AF3F9E">
            <w:r>
              <w:t>Type</w:t>
            </w:r>
          </w:p>
        </w:tc>
        <w:tc>
          <w:tcPr>
            <w:tcW w:w="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AF3F9E">
            <w:r w:rsidRPr="005272D2">
              <w:t>Min</w:t>
            </w:r>
          </w:p>
        </w:tc>
        <w:tc>
          <w:tcPr>
            <w:tcW w:w="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162FBB">
            <w:r w:rsidRPr="005272D2">
              <w:t>Gem</w:t>
            </w:r>
          </w:p>
        </w:tc>
        <w:tc>
          <w:tcPr>
            <w:tcW w:w="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AF3F9E">
            <w:r w:rsidRPr="005272D2">
              <w:t>Max</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debiet</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m³/d</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1000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C14C1" w:rsidP="00AF3F9E">
            <w:r>
              <w:t>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107</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247</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387</w:t>
            </w:r>
          </w:p>
        </w:tc>
      </w:tr>
      <w:tr w:rsidR="00246AB9" w:rsidRPr="005272D2" w:rsidTr="00246AB9">
        <w:trPr>
          <w:trHeight w:val="225"/>
        </w:trPr>
        <w:tc>
          <w:tcPr>
            <w:tcW w:w="3236"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246AB9" w:rsidRPr="005272D2" w:rsidRDefault="00246AB9" w:rsidP="00AF3F9E">
            <w:r w:rsidRPr="005272D2">
              <w:t>algemeen verontreinigende parameters</w:t>
            </w:r>
          </w:p>
        </w:tc>
        <w:tc>
          <w:tcPr>
            <w:tcW w:w="800"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1019"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AF3F9E"/>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ZS</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120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BV</w:t>
            </w:r>
            <w:r w:rsidR="00F24268">
              <w:t>/SV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0,02</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25</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71</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BS</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0,5</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3</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BZV</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A23FC" w:rsidP="00AF3F9E">
            <w:r>
              <w:t>30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9</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25</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CZV</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200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FE3629" w:rsidP="00AF3F9E">
            <w:r>
              <w:t>B</w:t>
            </w:r>
            <w:r w:rsidR="00246AB9">
              <w:t>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24</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76</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182</w:t>
            </w:r>
          </w:p>
        </w:tc>
      </w:tr>
      <w:tr w:rsidR="00246AB9" w:rsidRPr="005272D2" w:rsidTr="00FE3629">
        <w:trPr>
          <w:trHeight w:val="225"/>
        </w:trPr>
        <w:tc>
          <w:tcPr>
            <w:tcW w:w="3236" w:type="dxa"/>
            <w:tcBorders>
              <w:top w:val="single" w:sz="4" w:space="0" w:color="auto"/>
              <w:left w:val="single" w:sz="4" w:space="0" w:color="auto"/>
              <w:bottom w:val="single" w:sz="4" w:space="0" w:color="auto"/>
              <w:right w:val="nil"/>
            </w:tcBorders>
            <w:shd w:val="clear" w:color="auto" w:fill="A6A6A6" w:themeFill="background1" w:themeFillShade="A6"/>
            <w:noWrap/>
            <w:vAlign w:val="bottom"/>
            <w:hideMark/>
          </w:tcPr>
          <w:p w:rsidR="00246AB9" w:rsidRPr="005272D2" w:rsidRDefault="00246AB9" w:rsidP="00AF3F9E">
            <w:r w:rsidRPr="005272D2">
              <w:t>nutriënten</w:t>
            </w:r>
          </w:p>
        </w:tc>
        <w:tc>
          <w:tcPr>
            <w:tcW w:w="800" w:type="dxa"/>
            <w:tcBorders>
              <w:top w:val="single" w:sz="4" w:space="0" w:color="auto"/>
              <w:left w:val="nil"/>
              <w:bottom w:val="single" w:sz="4" w:space="0" w:color="auto"/>
              <w:right w:val="nil"/>
            </w:tcBorders>
            <w:shd w:val="clear" w:color="auto" w:fill="A6A6A6" w:themeFill="background1" w:themeFillShade="A6"/>
            <w:noWrap/>
            <w:vAlign w:val="bottom"/>
            <w:hideMark/>
          </w:tcPr>
          <w:p w:rsidR="00246AB9" w:rsidRPr="005272D2" w:rsidRDefault="00246AB9" w:rsidP="00AF3F9E"/>
        </w:tc>
        <w:tc>
          <w:tcPr>
            <w:tcW w:w="1019" w:type="dxa"/>
            <w:tcBorders>
              <w:top w:val="single" w:sz="4" w:space="0" w:color="auto"/>
              <w:left w:val="nil"/>
              <w:bottom w:val="single" w:sz="4" w:space="0" w:color="auto"/>
              <w:right w:val="nil"/>
            </w:tcBorders>
            <w:shd w:val="clear" w:color="auto" w:fill="A6A6A6" w:themeFill="background1" w:themeFillShade="A6"/>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A6A6A6" w:themeFill="background1" w:themeFillShade="A6"/>
          </w:tcPr>
          <w:p w:rsidR="00246AB9" w:rsidRPr="005272D2" w:rsidRDefault="00246AB9" w:rsidP="00AF3F9E"/>
        </w:tc>
        <w:tc>
          <w:tcPr>
            <w:tcW w:w="976" w:type="dxa"/>
            <w:tcBorders>
              <w:top w:val="single" w:sz="4" w:space="0" w:color="auto"/>
              <w:left w:val="nil"/>
              <w:bottom w:val="single" w:sz="4" w:space="0" w:color="auto"/>
              <w:right w:val="nil"/>
            </w:tcBorders>
            <w:shd w:val="clear" w:color="auto" w:fill="A6A6A6" w:themeFill="background1" w:themeFillShade="A6"/>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A6A6A6" w:themeFill="background1" w:themeFillShade="A6"/>
            <w:noWrap/>
            <w:vAlign w:val="bottom"/>
            <w:hideMark/>
          </w:tcPr>
          <w:p w:rsidR="00246AB9" w:rsidRPr="005272D2" w:rsidRDefault="00246AB9" w:rsidP="00AF3F9E"/>
        </w:tc>
        <w:tc>
          <w:tcPr>
            <w:tcW w:w="976"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246AB9" w:rsidRPr="005272D2" w:rsidRDefault="00246AB9" w:rsidP="00AF3F9E"/>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nitriet-N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0,2</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0,001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0,02</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0,1</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nitraat-N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39</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ammonium-N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0,6</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5,7</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kjeldahl-N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5,1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8</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totaal 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60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0,6</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13</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42</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ortho-P</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0,6</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totaal P</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EE4D97"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0,7</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1,2</w:t>
            </w:r>
          </w:p>
        </w:tc>
      </w:tr>
      <w:tr w:rsidR="00246AB9" w:rsidRPr="005272D2" w:rsidTr="00246AB9">
        <w:trPr>
          <w:trHeight w:val="225"/>
        </w:trPr>
        <w:tc>
          <w:tcPr>
            <w:tcW w:w="3236"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246AB9" w:rsidRPr="005272D2" w:rsidRDefault="00246AB9" w:rsidP="00AF3F9E">
            <w:r w:rsidRPr="005272D2">
              <w:t>metalen</w:t>
            </w:r>
          </w:p>
        </w:tc>
        <w:tc>
          <w:tcPr>
            <w:tcW w:w="800"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1019"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AF3F9E"/>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kwik</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0,3</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arseen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5</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barium</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70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24</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cadmium</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0,8</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246AB9">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AB9" w:rsidRPr="005272D2" w:rsidRDefault="00246AB9" w:rsidP="00AF3F9E">
            <w:r w:rsidRPr="005272D2">
              <w:t>aluminium</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AB9" w:rsidRPr="005272D2" w:rsidRDefault="00246AB9" w:rsidP="00AF3F9E">
            <w:r>
              <w:t>--</w:t>
            </w:r>
          </w:p>
        </w:tc>
        <w:tc>
          <w:tcPr>
            <w:tcW w:w="976" w:type="dxa"/>
            <w:tcBorders>
              <w:top w:val="single" w:sz="4" w:space="0" w:color="auto"/>
              <w:left w:val="single" w:sz="4" w:space="0" w:color="auto"/>
              <w:bottom w:val="single" w:sz="4" w:space="0" w:color="auto"/>
              <w:right w:val="single" w:sz="4" w:space="0" w:color="auto"/>
            </w:tcBorders>
          </w:tcPr>
          <w:p w:rsidR="00246AB9" w:rsidRPr="005272D2" w:rsidRDefault="00F8441B"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AB9" w:rsidRPr="005272D2" w:rsidRDefault="00246AB9" w:rsidP="00AF3F9E">
            <w:r w:rsidRPr="005272D2">
              <w:t>46</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AB9" w:rsidRPr="005272D2" w:rsidRDefault="00246AB9" w:rsidP="00AF3F9E">
            <w:r w:rsidRPr="005272D2">
              <w:t>100</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chroom</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500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756EE8"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5,3</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chroom 6+</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koper</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50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EE4D97"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lood</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500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mangaan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200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F8441B" w:rsidP="00AF3F9E">
            <w:r>
              <w:t>BMK</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18</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nikkel</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500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seleen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3</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lastRenderedPageBreak/>
              <w:t>zink</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2000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46</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161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330</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zilver</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0,4</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MAK's</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30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246AB9"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246AB9">
        <w:trPr>
          <w:trHeight w:val="225"/>
        </w:trPr>
        <w:tc>
          <w:tcPr>
            <w:tcW w:w="3236"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246AB9" w:rsidRPr="005272D2" w:rsidRDefault="00246AB9" w:rsidP="00AF3F9E">
            <w:r w:rsidRPr="005272D2">
              <w:t>PAK's</w:t>
            </w:r>
          </w:p>
        </w:tc>
        <w:tc>
          <w:tcPr>
            <w:tcW w:w="800"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1019"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AF3F9E"/>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naftaleen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0,04</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0,35</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acenaftyleen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4</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0,01</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acenafteen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0,06</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0,09</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fluoreen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0,11</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fenanthreen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0,03</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0,32</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anthraceen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0,06</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fluorantheen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0,12</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pyreen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0,04</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0,08</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benzo(a)antrhaceen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0,3</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0,02</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chryseen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0,03</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benzo(b)fuorantheen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0,03</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n.a.</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n.a.</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0,03</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benzo(k)fluorantheen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c>
          <w:tcPr>
            <w:tcW w:w="9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c>
          <w:tcPr>
            <w:tcW w:w="9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benzo(a)pyreen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0,05</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0,03</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dibenzo(ah)anthraceen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0,5</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benzo(ghi)peryleen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0,002</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indeno-(1,2,3-c,d)pyreen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246AB9" w:rsidRDefault="00CB3B91" w:rsidP="00AF3F9E">
            <w:pPr>
              <w:rPr>
                <w:b/>
              </w:rPr>
            </w:pPr>
            <w:r w:rsidRPr="00CB3B91">
              <w:rPr>
                <w:b/>
              </w:rP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paks tot 10 (vrom)</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F24268"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PAKS tot 16 (epa)</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756EE8"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0,12</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1,19</w:t>
            </w:r>
          </w:p>
        </w:tc>
      </w:tr>
      <w:tr w:rsidR="00246AB9" w:rsidRPr="005272D2" w:rsidTr="00246AB9">
        <w:trPr>
          <w:trHeight w:val="225"/>
        </w:trPr>
        <w:tc>
          <w:tcPr>
            <w:tcW w:w="3236"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246AB9" w:rsidRPr="005272D2" w:rsidRDefault="00246AB9" w:rsidP="00AF3F9E">
            <w:r w:rsidRPr="005272D2">
              <w:t>fenolen</w:t>
            </w:r>
          </w:p>
        </w:tc>
        <w:tc>
          <w:tcPr>
            <w:tcW w:w="800"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1019"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AF3F9E"/>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totaal fenolen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400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756EE8"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0,43</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fenol</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40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F24268" w:rsidP="00AF3F9E">
            <w:r>
              <w:t>BMK</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0,43</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gechloreerde fenolen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0,5</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756EE8"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246AB9">
        <w:trPr>
          <w:trHeight w:val="225"/>
        </w:trPr>
        <w:tc>
          <w:tcPr>
            <w:tcW w:w="3236"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246AB9" w:rsidRPr="005272D2" w:rsidRDefault="00246AB9" w:rsidP="00AF3F9E">
            <w:r w:rsidRPr="005272D2">
              <w:t>chloorbenzenen</w:t>
            </w:r>
          </w:p>
        </w:tc>
        <w:tc>
          <w:tcPr>
            <w:tcW w:w="800"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1019"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AF3F9E"/>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1,2-dichloorbenzeen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20</w:t>
            </w:r>
          </w:p>
        </w:tc>
        <w:tc>
          <w:tcPr>
            <w:tcW w:w="976" w:type="dxa"/>
            <w:vMerge w:val="restart"/>
            <w:tcBorders>
              <w:top w:val="single" w:sz="4" w:space="0" w:color="auto"/>
              <w:left w:val="single" w:sz="4" w:space="0" w:color="auto"/>
              <w:right w:val="single" w:sz="4" w:space="0" w:color="auto"/>
            </w:tcBorders>
            <w:shd w:val="clear" w:color="auto" w:fill="FFFFFF" w:themeFill="background1"/>
            <w:vAlign w:val="center"/>
          </w:tcPr>
          <w:p w:rsidR="00617415" w:rsidRDefault="00246AB9">
            <w:pPr>
              <w:jc w:val="left"/>
            </w:pPr>
            <w:r>
              <w:t>GS</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n.a.</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1</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20</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lastRenderedPageBreak/>
              <w:t>1,3-dichloorbenzeen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c>
          <w:tcPr>
            <w:tcW w:w="976" w:type="dxa"/>
            <w:vMerge/>
            <w:tcBorders>
              <w:left w:val="single" w:sz="4" w:space="0" w:color="auto"/>
              <w:right w:val="single" w:sz="4" w:space="0" w:color="auto"/>
            </w:tcBorders>
            <w:shd w:val="clear" w:color="auto" w:fill="FFFFFF" w:themeFill="background1"/>
          </w:tcPr>
          <w:p w:rsidR="00246AB9" w:rsidRPr="005272D2" w:rsidRDefault="00246AB9" w:rsidP="00AF3F9E"/>
        </w:tc>
        <w:tc>
          <w:tcPr>
            <w:tcW w:w="9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c>
          <w:tcPr>
            <w:tcW w:w="9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c>
          <w:tcPr>
            <w:tcW w:w="9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1,4-dichloorbenzeen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c>
          <w:tcPr>
            <w:tcW w:w="976" w:type="dxa"/>
            <w:vMerge/>
            <w:tcBorders>
              <w:left w:val="single" w:sz="4" w:space="0" w:color="auto"/>
              <w:bottom w:val="single" w:sz="4" w:space="0" w:color="auto"/>
              <w:right w:val="single" w:sz="4" w:space="0" w:color="auto"/>
            </w:tcBorders>
            <w:shd w:val="clear" w:color="auto" w:fill="FFFFFF" w:themeFill="background1"/>
          </w:tcPr>
          <w:p w:rsidR="00246AB9" w:rsidRPr="005272D2" w:rsidRDefault="00246AB9" w:rsidP="00AF3F9E"/>
        </w:tc>
        <w:tc>
          <w:tcPr>
            <w:tcW w:w="9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c>
          <w:tcPr>
            <w:tcW w:w="9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c>
          <w:tcPr>
            <w:tcW w:w="9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6AB9" w:rsidRPr="005272D2" w:rsidRDefault="00246AB9" w:rsidP="00AF3F9E"/>
        </w:tc>
      </w:tr>
      <w:tr w:rsidR="00246AB9" w:rsidRPr="005272D2" w:rsidTr="009F48A5">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1,2,3-trichloorbenzeen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0,4</w:t>
            </w:r>
          </w:p>
        </w:tc>
        <w:tc>
          <w:tcPr>
            <w:tcW w:w="976" w:type="dxa"/>
            <w:vMerge w:val="restart"/>
            <w:tcBorders>
              <w:top w:val="single" w:sz="4" w:space="0" w:color="auto"/>
              <w:left w:val="single" w:sz="4" w:space="0" w:color="auto"/>
              <w:right w:val="single" w:sz="4" w:space="0" w:color="auto"/>
            </w:tcBorders>
            <w:shd w:val="clear" w:color="auto" w:fill="FFFFFF" w:themeFill="background1"/>
            <w:vAlign w:val="center"/>
          </w:tcPr>
          <w:p w:rsidR="00246AB9" w:rsidRPr="005272D2" w:rsidRDefault="00246AB9" w:rsidP="009F48A5">
            <w:pPr>
              <w:jc w:val="left"/>
            </w:pPr>
            <w:r>
              <w:t>GS</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n.a.</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n.a.</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46AB9" w:rsidRPr="005272D2" w:rsidRDefault="00246AB9" w:rsidP="00AF3F9E">
            <w:r w:rsidRPr="005272D2">
              <w:t>0,5</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1,2,4-trichloorbenzeen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AB9" w:rsidRPr="005272D2" w:rsidRDefault="00246AB9" w:rsidP="00AF3F9E"/>
        </w:tc>
        <w:tc>
          <w:tcPr>
            <w:tcW w:w="976" w:type="dxa"/>
            <w:vMerge/>
            <w:tcBorders>
              <w:left w:val="single" w:sz="4" w:space="0" w:color="auto"/>
              <w:bottom w:val="single" w:sz="4" w:space="0" w:color="auto"/>
              <w:right w:val="single" w:sz="4" w:space="0" w:color="auto"/>
            </w:tcBorders>
          </w:tcPr>
          <w:p w:rsidR="00246AB9" w:rsidRPr="005272D2" w:rsidRDefault="00246AB9" w:rsidP="00AF3F9E"/>
        </w:tc>
        <w:tc>
          <w:tcPr>
            <w:tcW w:w="976" w:type="dxa"/>
            <w:vMerge/>
            <w:tcBorders>
              <w:top w:val="single" w:sz="4" w:space="0" w:color="auto"/>
              <w:left w:val="single" w:sz="4" w:space="0" w:color="auto"/>
              <w:bottom w:val="single" w:sz="4" w:space="0" w:color="auto"/>
              <w:right w:val="single" w:sz="4" w:space="0" w:color="auto"/>
            </w:tcBorders>
            <w:vAlign w:val="center"/>
            <w:hideMark/>
          </w:tcPr>
          <w:p w:rsidR="00246AB9" w:rsidRPr="005272D2" w:rsidRDefault="00246AB9" w:rsidP="00AF3F9E"/>
        </w:tc>
        <w:tc>
          <w:tcPr>
            <w:tcW w:w="976" w:type="dxa"/>
            <w:vMerge/>
            <w:tcBorders>
              <w:top w:val="single" w:sz="4" w:space="0" w:color="auto"/>
              <w:left w:val="single" w:sz="4" w:space="0" w:color="auto"/>
              <w:bottom w:val="single" w:sz="4" w:space="0" w:color="auto"/>
              <w:right w:val="single" w:sz="4" w:space="0" w:color="auto"/>
            </w:tcBorders>
            <w:vAlign w:val="center"/>
            <w:hideMark/>
          </w:tcPr>
          <w:p w:rsidR="00246AB9" w:rsidRPr="005272D2" w:rsidRDefault="00246AB9" w:rsidP="00AF3F9E"/>
        </w:tc>
        <w:tc>
          <w:tcPr>
            <w:tcW w:w="976" w:type="dxa"/>
            <w:vMerge/>
            <w:tcBorders>
              <w:top w:val="single" w:sz="4" w:space="0" w:color="auto"/>
              <w:left w:val="single" w:sz="4" w:space="0" w:color="auto"/>
              <w:bottom w:val="single" w:sz="4" w:space="0" w:color="auto"/>
              <w:right w:val="single" w:sz="4" w:space="0" w:color="auto"/>
            </w:tcBorders>
            <w:vAlign w:val="center"/>
            <w:hideMark/>
          </w:tcPr>
          <w:p w:rsidR="00246AB9" w:rsidRPr="005272D2" w:rsidRDefault="00246AB9" w:rsidP="00AF3F9E"/>
        </w:tc>
      </w:tr>
      <w:tr w:rsidR="00246AB9" w:rsidRPr="005272D2" w:rsidTr="00756EE8">
        <w:trPr>
          <w:trHeight w:val="225"/>
        </w:trPr>
        <w:tc>
          <w:tcPr>
            <w:tcW w:w="3236"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246AB9" w:rsidRPr="005272D2" w:rsidRDefault="00246AB9" w:rsidP="00AF3F9E">
            <w:r w:rsidRPr="005272D2">
              <w:t>vluchtige gechloreerde verbindingen</w:t>
            </w:r>
          </w:p>
        </w:tc>
        <w:tc>
          <w:tcPr>
            <w:tcW w:w="800"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1019"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AF3F9E"/>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dichloormethaan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756EE8"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3,8</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20</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trichloormethaan (chlororform)</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2,5</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756EE8"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2,1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12,2</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cis-1,2-dichlooretheen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192692"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1,7</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10</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trichlooretheen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F8441B"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0,7</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tetrachlooretheen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192692"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0,8</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vinylchloride</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100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192692"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0,9</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organo-chloorpesticiden</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0,2</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756EE8"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246AB9">
        <w:trPr>
          <w:trHeight w:val="225"/>
        </w:trPr>
        <w:tc>
          <w:tcPr>
            <w:tcW w:w="3236"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246AB9" w:rsidRPr="005272D2" w:rsidRDefault="00246AB9" w:rsidP="00AF3F9E">
            <w:r w:rsidRPr="005272D2">
              <w:t>ftalaten</w:t>
            </w:r>
          </w:p>
        </w:tc>
        <w:tc>
          <w:tcPr>
            <w:tcW w:w="800"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1019"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nil"/>
            </w:tcBorders>
            <w:shd w:val="clear" w:color="auto" w:fill="BFBFBF" w:themeFill="background1" w:themeFillShade="BF"/>
            <w:noWrap/>
            <w:vAlign w:val="bottom"/>
            <w:hideMark/>
          </w:tcPr>
          <w:p w:rsidR="00246AB9" w:rsidRPr="005272D2" w:rsidRDefault="00246AB9" w:rsidP="00AF3F9E"/>
        </w:tc>
        <w:tc>
          <w:tcPr>
            <w:tcW w:w="9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46AB9" w:rsidRPr="005272D2" w:rsidRDefault="00246AB9" w:rsidP="00AF3F9E"/>
        </w:tc>
      </w:tr>
      <w:tr w:rsidR="00F24268"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dimehylphtalaat</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24268" w:rsidRPr="005272D2" w:rsidRDefault="00F24268"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0,1</w:t>
            </w:r>
          </w:p>
        </w:tc>
      </w:tr>
      <w:tr w:rsidR="00F24268"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dietlylphatalaat</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24268" w:rsidRPr="005272D2" w:rsidRDefault="00F24268"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0,05</w:t>
            </w:r>
          </w:p>
        </w:tc>
      </w:tr>
      <w:tr w:rsidR="00F24268"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diisobutylphatlaat</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24268" w:rsidRPr="005272D2" w:rsidRDefault="00F24268"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0,02</w:t>
            </w:r>
          </w:p>
        </w:tc>
      </w:tr>
      <w:tr w:rsidR="00F24268"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dibutyphatlaat</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24268" w:rsidRPr="005272D2" w:rsidRDefault="00F24268"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0,02</w:t>
            </w:r>
          </w:p>
        </w:tc>
      </w:tr>
      <w:tr w:rsidR="00F24268"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benzylbutylphatalaat</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24268" w:rsidRPr="005272D2" w:rsidRDefault="00F24268" w:rsidP="00AF3F9E">
            <w: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24268" w:rsidRPr="005272D2" w:rsidRDefault="00F24268" w:rsidP="00AF3F9E">
            <w:r w:rsidRPr="005272D2">
              <w:t>n.a.</w:t>
            </w:r>
          </w:p>
        </w:tc>
      </w:tr>
      <w:tr w:rsidR="00246AB9" w:rsidRPr="005272D2" w:rsidTr="00096A35">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bis(2-ethylhexyl)phtalaat</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702783" w:rsidP="00AF3F9E">
            <w:r>
              <w:t>GS</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0,01</w:t>
            </w:r>
          </w:p>
        </w:tc>
      </w:tr>
      <w:tr w:rsidR="00096A35" w:rsidRPr="005272D2" w:rsidTr="00096A35">
        <w:trPr>
          <w:trHeight w:val="225"/>
        </w:trPr>
        <w:tc>
          <w:tcPr>
            <w:tcW w:w="3236" w:type="dxa"/>
            <w:tcBorders>
              <w:top w:val="single" w:sz="4" w:space="0" w:color="auto"/>
              <w:left w:val="single" w:sz="4" w:space="0" w:color="auto"/>
              <w:bottom w:val="single" w:sz="4" w:space="0" w:color="auto"/>
            </w:tcBorders>
            <w:shd w:val="clear" w:color="auto" w:fill="BFBFBF" w:themeFill="background1" w:themeFillShade="BF"/>
            <w:noWrap/>
            <w:vAlign w:val="bottom"/>
            <w:hideMark/>
          </w:tcPr>
          <w:p w:rsidR="00096A35" w:rsidRPr="005272D2" w:rsidRDefault="00096A35" w:rsidP="00821B2F">
            <w:r>
              <w:t>varia</w:t>
            </w:r>
          </w:p>
        </w:tc>
        <w:tc>
          <w:tcPr>
            <w:tcW w:w="800" w:type="dxa"/>
            <w:tcBorders>
              <w:top w:val="single" w:sz="4" w:space="0" w:color="auto"/>
              <w:bottom w:val="single" w:sz="4" w:space="0" w:color="auto"/>
            </w:tcBorders>
            <w:shd w:val="clear" w:color="auto" w:fill="BFBFBF" w:themeFill="background1" w:themeFillShade="BF"/>
            <w:noWrap/>
            <w:vAlign w:val="bottom"/>
            <w:hideMark/>
          </w:tcPr>
          <w:p w:rsidR="00096A35" w:rsidRPr="005272D2" w:rsidRDefault="00096A35" w:rsidP="00821B2F"/>
        </w:tc>
        <w:tc>
          <w:tcPr>
            <w:tcW w:w="1019" w:type="dxa"/>
            <w:tcBorders>
              <w:top w:val="single" w:sz="4" w:space="0" w:color="auto"/>
              <w:bottom w:val="single" w:sz="4" w:space="0" w:color="auto"/>
            </w:tcBorders>
            <w:shd w:val="clear" w:color="auto" w:fill="BFBFBF" w:themeFill="background1" w:themeFillShade="BF"/>
            <w:noWrap/>
            <w:vAlign w:val="bottom"/>
            <w:hideMark/>
          </w:tcPr>
          <w:p w:rsidR="00096A35" w:rsidRPr="005272D2" w:rsidRDefault="00096A35" w:rsidP="00821B2F"/>
        </w:tc>
        <w:tc>
          <w:tcPr>
            <w:tcW w:w="976" w:type="dxa"/>
            <w:tcBorders>
              <w:top w:val="single" w:sz="4" w:space="0" w:color="auto"/>
              <w:bottom w:val="single" w:sz="4" w:space="0" w:color="auto"/>
            </w:tcBorders>
            <w:shd w:val="clear" w:color="auto" w:fill="BFBFBF" w:themeFill="background1" w:themeFillShade="BF"/>
          </w:tcPr>
          <w:p w:rsidR="00096A35" w:rsidRPr="005272D2" w:rsidRDefault="00096A35" w:rsidP="00821B2F"/>
        </w:tc>
        <w:tc>
          <w:tcPr>
            <w:tcW w:w="976" w:type="dxa"/>
            <w:tcBorders>
              <w:top w:val="single" w:sz="4" w:space="0" w:color="auto"/>
              <w:bottom w:val="single" w:sz="4" w:space="0" w:color="auto"/>
            </w:tcBorders>
            <w:shd w:val="clear" w:color="auto" w:fill="BFBFBF" w:themeFill="background1" w:themeFillShade="BF"/>
            <w:noWrap/>
            <w:vAlign w:val="bottom"/>
            <w:hideMark/>
          </w:tcPr>
          <w:p w:rsidR="00096A35" w:rsidRPr="005272D2" w:rsidRDefault="00096A35" w:rsidP="00821B2F"/>
        </w:tc>
        <w:tc>
          <w:tcPr>
            <w:tcW w:w="976" w:type="dxa"/>
            <w:tcBorders>
              <w:top w:val="single" w:sz="4" w:space="0" w:color="auto"/>
              <w:bottom w:val="single" w:sz="4" w:space="0" w:color="auto"/>
            </w:tcBorders>
            <w:shd w:val="clear" w:color="auto" w:fill="BFBFBF" w:themeFill="background1" w:themeFillShade="BF"/>
            <w:noWrap/>
            <w:vAlign w:val="bottom"/>
            <w:hideMark/>
          </w:tcPr>
          <w:p w:rsidR="00096A35" w:rsidRPr="005272D2" w:rsidRDefault="00096A35" w:rsidP="00821B2F"/>
        </w:tc>
        <w:tc>
          <w:tcPr>
            <w:tcW w:w="976" w:type="dxa"/>
            <w:tcBorders>
              <w:top w:val="single" w:sz="4" w:space="0" w:color="auto"/>
              <w:bottom w:val="single" w:sz="4" w:space="0" w:color="auto"/>
              <w:right w:val="single" w:sz="4" w:space="0" w:color="auto"/>
            </w:tcBorders>
            <w:shd w:val="clear" w:color="auto" w:fill="BFBFBF" w:themeFill="background1" w:themeFillShade="BF"/>
            <w:noWrap/>
            <w:vAlign w:val="bottom"/>
            <w:hideMark/>
          </w:tcPr>
          <w:p w:rsidR="00096A35" w:rsidRPr="005272D2" w:rsidRDefault="00096A35" w:rsidP="00821B2F"/>
        </w:tc>
      </w:tr>
      <w:tr w:rsidR="00246AB9" w:rsidRPr="005272D2" w:rsidTr="00096A35">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anilines</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10</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246AB9" w:rsidRPr="005272D2" w:rsidRDefault="00F8441B"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r w:rsidR="00246AB9" w:rsidRPr="005272D2" w:rsidTr="006E338B">
        <w:trPr>
          <w:trHeight w:val="225"/>
        </w:trPr>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PCB's</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µg/l</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0,07</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rsidR="00EE4D97" w:rsidRPr="005272D2" w:rsidRDefault="00F8441B" w:rsidP="00AF3F9E">
            <w:r>
              <w:t>BV</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6AB9" w:rsidRPr="005272D2" w:rsidRDefault="00246AB9" w:rsidP="00AF3F9E">
            <w:r w:rsidRPr="005272D2">
              <w:t>n.a.</w:t>
            </w:r>
          </w:p>
        </w:tc>
      </w:tr>
    </w:tbl>
    <w:p w:rsidR="00F24268" w:rsidRDefault="0036479D" w:rsidP="00F24268">
      <w:pPr>
        <w:pStyle w:val="voetnoottabel"/>
        <w:spacing w:line="240" w:lineRule="auto"/>
        <w:contextualSpacing/>
        <w:rPr>
          <w:sz w:val="18"/>
        </w:rPr>
      </w:pPr>
      <w:r w:rsidRPr="00F24268">
        <w:rPr>
          <w:sz w:val="18"/>
        </w:rPr>
        <w:t xml:space="preserve">AV : </w:t>
      </w:r>
      <w:r w:rsidRPr="00F24268">
        <w:rPr>
          <w:sz w:val="18"/>
        </w:rPr>
        <w:tab/>
        <w:t>algemene lozingsnorm</w:t>
      </w:r>
    </w:p>
    <w:p w:rsidR="00F24268" w:rsidRDefault="00F24268" w:rsidP="00F24268">
      <w:pPr>
        <w:pStyle w:val="voetnoottabel"/>
        <w:spacing w:line="240" w:lineRule="auto"/>
        <w:contextualSpacing/>
        <w:rPr>
          <w:sz w:val="18"/>
        </w:rPr>
      </w:pPr>
      <w:r>
        <w:rPr>
          <w:sz w:val="18"/>
        </w:rPr>
        <w:t>BV :</w:t>
      </w:r>
      <w:r>
        <w:rPr>
          <w:sz w:val="18"/>
        </w:rPr>
        <w:tab/>
        <w:t>bijzondere vergunningsvoorwaarde</w:t>
      </w:r>
    </w:p>
    <w:p w:rsidR="00F24268" w:rsidRDefault="00F24268" w:rsidP="00F24268">
      <w:pPr>
        <w:pStyle w:val="voetnoottabel"/>
        <w:spacing w:line="240" w:lineRule="auto"/>
        <w:contextualSpacing/>
        <w:rPr>
          <w:sz w:val="18"/>
        </w:rPr>
      </w:pPr>
      <w:r>
        <w:rPr>
          <w:sz w:val="18"/>
        </w:rPr>
        <w:t xml:space="preserve">GS : </w:t>
      </w:r>
      <w:r>
        <w:rPr>
          <w:sz w:val="18"/>
        </w:rPr>
        <w:tab/>
        <w:t>indelingscriterium gevaarlijke stoffen</w:t>
      </w:r>
    </w:p>
    <w:p w:rsidR="00F24268" w:rsidRDefault="00F24268" w:rsidP="00F24268">
      <w:pPr>
        <w:pStyle w:val="voetnoottabel"/>
        <w:spacing w:line="240" w:lineRule="auto"/>
        <w:contextualSpacing/>
        <w:rPr>
          <w:sz w:val="18"/>
        </w:rPr>
      </w:pPr>
      <w:r>
        <w:rPr>
          <w:sz w:val="18"/>
        </w:rPr>
        <w:t>V :</w:t>
      </w:r>
      <w:r>
        <w:rPr>
          <w:sz w:val="18"/>
        </w:rPr>
        <w:tab/>
      </w:r>
      <w:r>
        <w:rPr>
          <w:sz w:val="18"/>
        </w:rPr>
        <w:tab/>
        <w:t>vergunningsvoorwaarde</w:t>
      </w:r>
    </w:p>
    <w:p w:rsidR="00F24268" w:rsidRDefault="00F24268" w:rsidP="00F24268">
      <w:pPr>
        <w:pStyle w:val="voetnoottabel"/>
        <w:spacing w:line="240" w:lineRule="auto"/>
        <w:contextualSpacing/>
        <w:rPr>
          <w:sz w:val="18"/>
        </w:rPr>
      </w:pPr>
      <w:r>
        <w:rPr>
          <w:sz w:val="18"/>
        </w:rPr>
        <w:t>SV :</w:t>
      </w:r>
      <w:r>
        <w:rPr>
          <w:sz w:val="18"/>
        </w:rPr>
        <w:tab/>
        <w:t>sectorale voorwaarde</w:t>
      </w:r>
    </w:p>
    <w:p w:rsidR="00F24268" w:rsidRDefault="00F24268" w:rsidP="00F24268">
      <w:pPr>
        <w:pStyle w:val="voetnoottabel"/>
        <w:spacing w:line="240" w:lineRule="auto"/>
        <w:contextualSpacing/>
        <w:rPr>
          <w:sz w:val="18"/>
        </w:rPr>
      </w:pPr>
      <w:r>
        <w:rPr>
          <w:sz w:val="18"/>
        </w:rPr>
        <w:t xml:space="preserve">BMK : </w:t>
      </w:r>
      <w:r>
        <w:rPr>
          <w:sz w:val="18"/>
        </w:rPr>
        <w:tab/>
        <w:t>basismilieukwaliteitsnorm</w:t>
      </w:r>
    </w:p>
    <w:p w:rsidR="002C14C1" w:rsidRPr="00F24268" w:rsidRDefault="00F24268" w:rsidP="00F24268">
      <w:pPr>
        <w:pStyle w:val="voetnoottabel"/>
        <w:spacing w:line="240" w:lineRule="auto"/>
        <w:contextualSpacing/>
        <w:rPr>
          <w:sz w:val="18"/>
        </w:rPr>
      </w:pPr>
      <w:r>
        <w:rPr>
          <w:sz w:val="18"/>
        </w:rPr>
        <w:t>n.a. :</w:t>
      </w:r>
      <w:r>
        <w:rPr>
          <w:sz w:val="18"/>
        </w:rPr>
        <w:tab/>
        <w:t>waarde kleiner dan aantoonbaarheidsgrens</w:t>
      </w:r>
      <w:r w:rsidR="0036479D" w:rsidRPr="00F24268">
        <w:rPr>
          <w:sz w:val="18"/>
        </w:rPr>
        <w:t xml:space="preserve"> </w:t>
      </w:r>
    </w:p>
    <w:p w:rsidR="004560FE" w:rsidRDefault="004560FE" w:rsidP="00AF3F9E"/>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7938"/>
      </w:tblGrid>
      <w:tr w:rsidR="004560FE" w:rsidTr="00702783">
        <w:tc>
          <w:tcPr>
            <w:tcW w:w="1134" w:type="dxa"/>
          </w:tcPr>
          <w:p w:rsidR="004560FE" w:rsidRPr="00157C08" w:rsidRDefault="004560FE" w:rsidP="00AF3F9E">
            <w:pPr>
              <w:pStyle w:val="zijtekst"/>
            </w:pPr>
            <w:r>
              <w:lastRenderedPageBreak/>
              <w:t>debiet</w:t>
            </w:r>
          </w:p>
        </w:tc>
        <w:tc>
          <w:tcPr>
            <w:tcW w:w="7938" w:type="dxa"/>
          </w:tcPr>
          <w:p w:rsidR="004560FE" w:rsidRDefault="004560FE" w:rsidP="00AF3F9E">
            <w:r>
              <w:t>Het geloosde dagdebiet voldoet ruimschoots aan de lozingsvoorwaarde. Ook het geloosde jaardebiet (</w:t>
            </w:r>
            <w:r w:rsidR="00CC44FF">
              <w:t>97.037</w:t>
            </w:r>
            <w:r>
              <w:t xml:space="preserve"> m³</w:t>
            </w:r>
            <w:r w:rsidR="00CC44FF">
              <w:t xml:space="preserve"> in 2010</w:t>
            </w:r>
            <w:r>
              <w:t>) is ruimschoots lager dan het vergunde jaardebiet (130.000 m³).</w:t>
            </w:r>
          </w:p>
        </w:tc>
      </w:tr>
      <w:tr w:rsidR="004560FE" w:rsidTr="00702783">
        <w:tc>
          <w:tcPr>
            <w:tcW w:w="1134" w:type="dxa"/>
          </w:tcPr>
          <w:p w:rsidR="004560FE" w:rsidRDefault="004560FE" w:rsidP="00AF3F9E">
            <w:pPr>
              <w:pStyle w:val="zijtekst"/>
            </w:pPr>
            <w:r>
              <w:t>BS</w:t>
            </w:r>
          </w:p>
        </w:tc>
        <w:tc>
          <w:tcPr>
            <w:tcW w:w="7938" w:type="dxa"/>
          </w:tcPr>
          <w:p w:rsidR="00DD1863" w:rsidRDefault="004560FE">
            <w:r>
              <w:t>De norm van bezinkbare stoffen werd eenmaal overschreden hetgeen aansluit bij het feit dat op het ogenblik van de meting de slibafscheiding onvoldoende was.</w:t>
            </w:r>
            <w:r w:rsidR="00702783">
              <w:t xml:space="preserve"> De norm voor zwevende stoffen werd niet overschreden.</w:t>
            </w:r>
          </w:p>
        </w:tc>
      </w:tr>
      <w:tr w:rsidR="004560FE" w:rsidTr="00702783">
        <w:tc>
          <w:tcPr>
            <w:tcW w:w="1134" w:type="dxa"/>
          </w:tcPr>
          <w:p w:rsidR="004560FE" w:rsidRDefault="004560FE" w:rsidP="00AF3F9E">
            <w:pPr>
              <w:pStyle w:val="zijtekst"/>
            </w:pPr>
            <w:r>
              <w:t>totaal P</w:t>
            </w:r>
          </w:p>
        </w:tc>
        <w:tc>
          <w:tcPr>
            <w:tcW w:w="7938" w:type="dxa"/>
          </w:tcPr>
          <w:p w:rsidR="004D2AC0" w:rsidRDefault="004560FE" w:rsidP="00AF3F9E">
            <w:bookmarkStart w:id="789" w:name="uitleg_fosfor"/>
            <w:r>
              <w:t>Uit metingen blijkt dat het continu respecteren van de norm voor de parameter totaal fosfor een knelpunt is. Bij ca. 10% van de metingen wordt de norm beperkt overschreden. De huidige waterzuivering is niet specifiek gericht op fosforverwijdering omdat de fosforgehaltes in het influent reeds zeer laag zijn (gemiddeld 0,3 mg/l). Indien het fosforgehalte in het influent hoger is dan de lozingsnorm, resulteert dat veelal dan ook in het effluentgehalte van meer dan 1 mg/l. Gezien de zeer lage influentgehaltes lijkt het dan ook eerder aangewezen om een beperkte verhoging van de norm aan te vragen dan een specifieke fosforverwijdering te voorzien.</w:t>
            </w:r>
            <w:r w:rsidR="004D2AC0">
              <w:t xml:space="preserve"> Een hoeveelheid aan ortho-fosfaat (fosfor) is ook nodig voor de goede biologische werking en een efficiënte verwijdering van CZV/BZV en stikfof.</w:t>
            </w:r>
            <w:bookmarkEnd w:id="789"/>
          </w:p>
        </w:tc>
      </w:tr>
      <w:tr w:rsidR="004560FE" w:rsidTr="00702783">
        <w:trPr>
          <w:trHeight w:val="12468"/>
        </w:trPr>
        <w:tc>
          <w:tcPr>
            <w:tcW w:w="1134" w:type="dxa"/>
          </w:tcPr>
          <w:p w:rsidR="004560FE" w:rsidRDefault="004560FE" w:rsidP="00AF3F9E">
            <w:pPr>
              <w:pStyle w:val="zijtekst"/>
            </w:pPr>
            <w:r>
              <w:lastRenderedPageBreak/>
              <w:t>organische micro</w:t>
            </w:r>
            <w:r>
              <w:softHyphen/>
              <w:t>verontreiniging-en</w:t>
            </w:r>
          </w:p>
        </w:tc>
        <w:tc>
          <w:tcPr>
            <w:tcW w:w="7938" w:type="dxa"/>
          </w:tcPr>
          <w:p w:rsidR="00662947" w:rsidRPr="00662947" w:rsidRDefault="00662947" w:rsidP="0090667C">
            <w:pPr>
              <w:pStyle w:val="ListParagraph"/>
              <w:numPr>
                <w:ilvl w:val="0"/>
                <w:numId w:val="95"/>
              </w:numPr>
            </w:pPr>
            <w:r w:rsidRPr="00662947">
              <w:t>PAK’s</w:t>
            </w:r>
          </w:p>
          <w:p w:rsidR="00662947" w:rsidRDefault="00300BB5" w:rsidP="00AF3F9E">
            <w:r>
              <w:t>Naftaleen, acenafteen en fenantreen zijn de enig PAK’s die de afgelopen 3 jaar meer dan 1 keer gemeten werden in aantoonbare concentraties. Enkel voor deze PAK’s is dan ook een gemiddelde waarde berekend. De overige PAK’s waarvoor enkel een maximale waarde is vermeld, zijn slechts éénmalig gemeten bij eenzelfde analyse in 2008. Bij deze meting werd ook een beperkte overschrijding van de huidige lozingsnorm voor PAK-totaal gemeten.</w:t>
            </w:r>
            <w:r>
              <w:tab/>
            </w:r>
            <w:r>
              <w:br/>
              <w:t>Op basis van de maximale waarden zoals gemeten de afgelopen 3 jaar blijkt wel dat bepaalde PAK’s kunnen voorkomen in concentraties hoger dan het corresponderende indelingscriterium GS.</w:t>
            </w:r>
            <w:r w:rsidR="009F48A5">
              <w:t xml:space="preserve"> Het betreft hierbij wel geen zgn. prioritair gevaarlijjke stoffen (PSG).</w:t>
            </w:r>
          </w:p>
          <w:p w:rsidR="00577885" w:rsidRPr="00662947" w:rsidRDefault="00577885" w:rsidP="0090667C">
            <w:pPr>
              <w:pStyle w:val="ListParagraph"/>
              <w:numPr>
                <w:ilvl w:val="0"/>
                <w:numId w:val="95"/>
              </w:numPr>
            </w:pPr>
            <w:r>
              <w:t>Vluchtige gechloreerde verbindingen</w:t>
            </w:r>
          </w:p>
          <w:p w:rsidR="00577885" w:rsidRDefault="00577885" w:rsidP="00AF3F9E">
            <w:r>
              <w:t>Dichloormethaan, trichloormetaan en cis-1,2-dichlooretheen worden regelmatig gemeten in aantoonbare concentraties. Wel is het zo dat enkel voor trichloormethaan het indelingscriterium GS wordt overschreden. Overige vluchtige gechloreerde verbindingen werden niet of slechts eenmalig gemeten in aantoonbare concentraties. Maar in dit laatste geval waren de gemeten concentraties beduidend lager dan het indelingscriterium GS.</w:t>
            </w:r>
          </w:p>
          <w:p w:rsidR="00577885" w:rsidRPr="00662947" w:rsidRDefault="00577885" w:rsidP="0090667C">
            <w:pPr>
              <w:pStyle w:val="ListParagraph"/>
              <w:numPr>
                <w:ilvl w:val="0"/>
                <w:numId w:val="95"/>
              </w:numPr>
            </w:pPr>
            <w:r>
              <w:t>chloorbenzenen</w:t>
            </w:r>
          </w:p>
          <w:p w:rsidR="004560FE" w:rsidRDefault="00577885" w:rsidP="00AF3F9E">
            <w:r>
              <w:t>De gehaltes aan di- en trichloorbenzenen is slechts sporadisch aantoonbaar, maar indien aantoonbaar kan het gehalte wel hoger zijn dan de corresponderende indelingscriteria GS.</w:t>
            </w:r>
            <w:r w:rsidR="009F48A5">
              <w:t xml:space="preserve"> Het betreft hierbij wel geen zgn. PSG.</w:t>
            </w:r>
          </w:p>
          <w:p w:rsidR="00A20D23" w:rsidRPr="00662947" w:rsidRDefault="00A20D23" w:rsidP="0090667C">
            <w:pPr>
              <w:pStyle w:val="ListParagraph"/>
              <w:numPr>
                <w:ilvl w:val="0"/>
                <w:numId w:val="95"/>
              </w:numPr>
            </w:pPr>
            <w:r>
              <w:t>ftalaten</w:t>
            </w:r>
          </w:p>
          <w:p w:rsidR="005272D2" w:rsidRDefault="00A20D23" w:rsidP="00AF3F9E">
            <w:r>
              <w:t>Eenmalig werden in</w:t>
            </w:r>
            <w:r w:rsidR="004560FE">
              <w:t xml:space="preserve"> het afvalwater zeer lage concentraties aan diverse ftalaten </w:t>
            </w:r>
            <w:r>
              <w:t>gemeten</w:t>
            </w:r>
            <w:r w:rsidR="004560FE">
              <w:t xml:space="preserve">. Het gemeten gehalte bis(2-ethylhexyl)ftalaat voldoet ruimschoots </w:t>
            </w:r>
            <w:r w:rsidR="009F48A5">
              <w:t xml:space="preserve">aan </w:t>
            </w:r>
            <w:r w:rsidR="004560FE">
              <w:t xml:space="preserve">het indelingscriterium GS. Voor de overige gemeten ftalaten is er geen indelingscriterium GS bepaald. </w:t>
            </w:r>
          </w:p>
          <w:p w:rsidR="004560FE" w:rsidRDefault="004560FE" w:rsidP="00AF3F9E">
            <w:r>
              <w:t>Om toch enigszins een idee te hebben van de relevantie van de gemeten gehaltes, kunnen deze vergeleken met de Nederlandse MTR-waarden / milieukwaliteitsnormen:</w:t>
            </w:r>
          </w:p>
          <w:tbl>
            <w:tblPr>
              <w:tblW w:w="50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52"/>
              <w:gridCol w:w="1628"/>
              <w:gridCol w:w="1984"/>
            </w:tblGrid>
            <w:tr w:rsidR="004560FE" w:rsidRPr="008E6F62" w:rsidTr="005272D2">
              <w:trPr>
                <w:trHeight w:val="225"/>
              </w:trPr>
              <w:tc>
                <w:tcPr>
                  <w:tcW w:w="1452" w:type="dxa"/>
                  <w:shd w:val="clear" w:color="auto" w:fill="auto"/>
                  <w:noWrap/>
                  <w:vAlign w:val="center"/>
                  <w:hideMark/>
                </w:tcPr>
                <w:p w:rsidR="004560FE" w:rsidRPr="00702783" w:rsidRDefault="004560FE" w:rsidP="00AF3F9E">
                  <w:pPr>
                    <w:rPr>
                      <w:sz w:val="16"/>
                      <w:szCs w:val="16"/>
                    </w:rPr>
                  </w:pPr>
                </w:p>
              </w:tc>
              <w:tc>
                <w:tcPr>
                  <w:tcW w:w="1628" w:type="dxa"/>
                  <w:shd w:val="clear" w:color="auto" w:fill="auto"/>
                  <w:noWrap/>
                  <w:vAlign w:val="center"/>
                  <w:hideMark/>
                </w:tcPr>
                <w:p w:rsidR="004560FE" w:rsidRPr="00702783" w:rsidRDefault="00CB3B91" w:rsidP="00AF3F9E">
                  <w:pPr>
                    <w:rPr>
                      <w:sz w:val="16"/>
                      <w:szCs w:val="16"/>
                    </w:rPr>
                  </w:pPr>
                  <w:r w:rsidRPr="00CB3B91">
                    <w:rPr>
                      <w:sz w:val="16"/>
                      <w:szCs w:val="16"/>
                    </w:rPr>
                    <w:t>Nederlandse toetsingswaarde</w:t>
                  </w:r>
                  <w:r w:rsidRPr="00CB3B91">
                    <w:rPr>
                      <w:sz w:val="16"/>
                      <w:szCs w:val="16"/>
                    </w:rPr>
                    <w:br/>
                    <w:t>(µg/l)</w:t>
                  </w:r>
                </w:p>
              </w:tc>
              <w:tc>
                <w:tcPr>
                  <w:tcW w:w="1984" w:type="dxa"/>
                  <w:shd w:val="clear" w:color="auto" w:fill="auto"/>
                  <w:noWrap/>
                  <w:vAlign w:val="center"/>
                  <w:hideMark/>
                </w:tcPr>
                <w:p w:rsidR="004560FE" w:rsidRPr="00702783" w:rsidRDefault="00CB3B91" w:rsidP="00AF3F9E">
                  <w:pPr>
                    <w:rPr>
                      <w:sz w:val="16"/>
                      <w:szCs w:val="16"/>
                    </w:rPr>
                  </w:pPr>
                  <w:r w:rsidRPr="00CB3B91">
                    <w:rPr>
                      <w:sz w:val="16"/>
                      <w:szCs w:val="16"/>
                    </w:rPr>
                    <w:t>Effluentconcentratie</w:t>
                  </w:r>
                  <w:r w:rsidRPr="00CB3B91">
                    <w:rPr>
                      <w:sz w:val="16"/>
                      <w:szCs w:val="16"/>
                    </w:rPr>
                    <w:br/>
                    <w:t>(µg/l)</w:t>
                  </w:r>
                </w:p>
              </w:tc>
            </w:tr>
            <w:tr w:rsidR="004560FE" w:rsidRPr="008E6F62" w:rsidTr="005272D2">
              <w:trPr>
                <w:trHeight w:val="225"/>
              </w:trPr>
              <w:tc>
                <w:tcPr>
                  <w:tcW w:w="1452" w:type="dxa"/>
                  <w:shd w:val="clear" w:color="auto" w:fill="auto"/>
                  <w:noWrap/>
                  <w:vAlign w:val="center"/>
                  <w:hideMark/>
                </w:tcPr>
                <w:p w:rsidR="004560FE" w:rsidRPr="00702783" w:rsidRDefault="00CB3B91" w:rsidP="00AF3F9E">
                  <w:pPr>
                    <w:rPr>
                      <w:sz w:val="16"/>
                      <w:szCs w:val="16"/>
                    </w:rPr>
                  </w:pPr>
                  <w:r w:rsidRPr="00CB3B91">
                    <w:rPr>
                      <w:sz w:val="16"/>
                      <w:szCs w:val="16"/>
                    </w:rPr>
                    <w:t>dimehylphtalaat</w:t>
                  </w:r>
                </w:p>
              </w:tc>
              <w:tc>
                <w:tcPr>
                  <w:tcW w:w="1628" w:type="dxa"/>
                  <w:shd w:val="clear" w:color="auto" w:fill="auto"/>
                  <w:noWrap/>
                  <w:vAlign w:val="center"/>
                  <w:hideMark/>
                </w:tcPr>
                <w:p w:rsidR="004560FE" w:rsidRPr="00702783" w:rsidRDefault="00CB3B91" w:rsidP="00AF3F9E">
                  <w:pPr>
                    <w:rPr>
                      <w:sz w:val="16"/>
                      <w:szCs w:val="16"/>
                    </w:rPr>
                  </w:pPr>
                  <w:r w:rsidRPr="00CB3B91">
                    <w:rPr>
                      <w:sz w:val="16"/>
                      <w:szCs w:val="16"/>
                    </w:rPr>
                    <w:t>0,9</w:t>
                  </w:r>
                </w:p>
              </w:tc>
              <w:tc>
                <w:tcPr>
                  <w:tcW w:w="1984" w:type="dxa"/>
                  <w:shd w:val="clear" w:color="auto" w:fill="auto"/>
                  <w:noWrap/>
                  <w:vAlign w:val="center"/>
                  <w:hideMark/>
                </w:tcPr>
                <w:p w:rsidR="004560FE" w:rsidRPr="00702783" w:rsidRDefault="00CB3B91" w:rsidP="00AF3F9E">
                  <w:pPr>
                    <w:rPr>
                      <w:sz w:val="16"/>
                      <w:szCs w:val="16"/>
                    </w:rPr>
                  </w:pPr>
                  <w:r w:rsidRPr="00CB3B91">
                    <w:rPr>
                      <w:sz w:val="16"/>
                      <w:szCs w:val="16"/>
                    </w:rPr>
                    <w:t>0,1</w:t>
                  </w:r>
                </w:p>
              </w:tc>
            </w:tr>
            <w:tr w:rsidR="004560FE" w:rsidRPr="008E6F62" w:rsidTr="005272D2">
              <w:trPr>
                <w:trHeight w:val="225"/>
              </w:trPr>
              <w:tc>
                <w:tcPr>
                  <w:tcW w:w="1452" w:type="dxa"/>
                  <w:shd w:val="clear" w:color="auto" w:fill="auto"/>
                  <w:noWrap/>
                  <w:vAlign w:val="center"/>
                  <w:hideMark/>
                </w:tcPr>
                <w:p w:rsidR="004560FE" w:rsidRPr="00702783" w:rsidRDefault="00CB3B91" w:rsidP="00AF3F9E">
                  <w:pPr>
                    <w:rPr>
                      <w:sz w:val="16"/>
                      <w:szCs w:val="16"/>
                    </w:rPr>
                  </w:pPr>
                  <w:r w:rsidRPr="00CB3B91">
                    <w:rPr>
                      <w:sz w:val="16"/>
                      <w:szCs w:val="16"/>
                    </w:rPr>
                    <w:t>dietlylphatalaat</w:t>
                  </w:r>
                </w:p>
              </w:tc>
              <w:tc>
                <w:tcPr>
                  <w:tcW w:w="1628" w:type="dxa"/>
                  <w:shd w:val="clear" w:color="auto" w:fill="auto"/>
                  <w:noWrap/>
                  <w:vAlign w:val="center"/>
                  <w:hideMark/>
                </w:tcPr>
                <w:p w:rsidR="004560FE" w:rsidRPr="00702783" w:rsidRDefault="00CB3B91" w:rsidP="00AF3F9E">
                  <w:pPr>
                    <w:rPr>
                      <w:sz w:val="16"/>
                      <w:szCs w:val="16"/>
                    </w:rPr>
                  </w:pPr>
                  <w:r w:rsidRPr="00CB3B91">
                    <w:rPr>
                      <w:sz w:val="16"/>
                      <w:szCs w:val="16"/>
                    </w:rPr>
                    <w:t>10</w:t>
                  </w:r>
                </w:p>
              </w:tc>
              <w:tc>
                <w:tcPr>
                  <w:tcW w:w="1984" w:type="dxa"/>
                  <w:shd w:val="clear" w:color="auto" w:fill="auto"/>
                  <w:noWrap/>
                  <w:vAlign w:val="center"/>
                  <w:hideMark/>
                </w:tcPr>
                <w:p w:rsidR="004560FE" w:rsidRPr="00702783" w:rsidRDefault="00CB3B91" w:rsidP="00AF3F9E">
                  <w:pPr>
                    <w:rPr>
                      <w:sz w:val="16"/>
                      <w:szCs w:val="16"/>
                    </w:rPr>
                  </w:pPr>
                  <w:r w:rsidRPr="00CB3B91">
                    <w:rPr>
                      <w:sz w:val="16"/>
                      <w:szCs w:val="16"/>
                    </w:rPr>
                    <w:t>0,05</w:t>
                  </w:r>
                </w:p>
              </w:tc>
            </w:tr>
            <w:tr w:rsidR="004560FE" w:rsidRPr="008E6F62" w:rsidTr="005272D2">
              <w:trPr>
                <w:trHeight w:val="225"/>
              </w:trPr>
              <w:tc>
                <w:tcPr>
                  <w:tcW w:w="1452" w:type="dxa"/>
                  <w:shd w:val="clear" w:color="auto" w:fill="auto"/>
                  <w:noWrap/>
                  <w:vAlign w:val="center"/>
                  <w:hideMark/>
                </w:tcPr>
                <w:p w:rsidR="004560FE" w:rsidRPr="00702783" w:rsidRDefault="00CB3B91" w:rsidP="00AF3F9E">
                  <w:pPr>
                    <w:rPr>
                      <w:sz w:val="16"/>
                      <w:szCs w:val="16"/>
                    </w:rPr>
                  </w:pPr>
                  <w:r w:rsidRPr="00CB3B91">
                    <w:rPr>
                      <w:sz w:val="16"/>
                      <w:szCs w:val="16"/>
                    </w:rPr>
                    <w:t>Diisobutylphatlaat</w:t>
                  </w:r>
                </w:p>
              </w:tc>
              <w:tc>
                <w:tcPr>
                  <w:tcW w:w="1628" w:type="dxa"/>
                  <w:shd w:val="clear" w:color="auto" w:fill="auto"/>
                  <w:noWrap/>
                  <w:vAlign w:val="center"/>
                  <w:hideMark/>
                </w:tcPr>
                <w:p w:rsidR="004560FE" w:rsidRPr="00702783" w:rsidRDefault="00CB3B91" w:rsidP="00AF3F9E">
                  <w:pPr>
                    <w:rPr>
                      <w:sz w:val="16"/>
                      <w:szCs w:val="16"/>
                    </w:rPr>
                  </w:pPr>
                  <w:r w:rsidRPr="00CB3B91">
                    <w:rPr>
                      <w:sz w:val="16"/>
                      <w:szCs w:val="16"/>
                    </w:rPr>
                    <w:t>7,5</w:t>
                  </w:r>
                </w:p>
              </w:tc>
              <w:tc>
                <w:tcPr>
                  <w:tcW w:w="1984" w:type="dxa"/>
                  <w:shd w:val="clear" w:color="auto" w:fill="auto"/>
                  <w:noWrap/>
                  <w:vAlign w:val="center"/>
                  <w:hideMark/>
                </w:tcPr>
                <w:p w:rsidR="004560FE" w:rsidRPr="00702783" w:rsidRDefault="00CB3B91" w:rsidP="00AF3F9E">
                  <w:pPr>
                    <w:rPr>
                      <w:sz w:val="16"/>
                      <w:szCs w:val="16"/>
                    </w:rPr>
                  </w:pPr>
                  <w:r w:rsidRPr="00CB3B91">
                    <w:rPr>
                      <w:sz w:val="16"/>
                      <w:szCs w:val="16"/>
                    </w:rPr>
                    <w:t>0,02</w:t>
                  </w:r>
                </w:p>
              </w:tc>
            </w:tr>
            <w:tr w:rsidR="004560FE" w:rsidRPr="008E6F62" w:rsidTr="005272D2">
              <w:trPr>
                <w:trHeight w:val="225"/>
              </w:trPr>
              <w:tc>
                <w:tcPr>
                  <w:tcW w:w="1452" w:type="dxa"/>
                  <w:shd w:val="clear" w:color="auto" w:fill="auto"/>
                  <w:noWrap/>
                  <w:vAlign w:val="center"/>
                  <w:hideMark/>
                </w:tcPr>
                <w:p w:rsidR="004560FE" w:rsidRPr="00702783" w:rsidRDefault="00CB3B91" w:rsidP="00AF3F9E">
                  <w:pPr>
                    <w:rPr>
                      <w:sz w:val="16"/>
                      <w:szCs w:val="16"/>
                    </w:rPr>
                  </w:pPr>
                  <w:r w:rsidRPr="00CB3B91">
                    <w:rPr>
                      <w:sz w:val="16"/>
                      <w:szCs w:val="16"/>
                    </w:rPr>
                    <w:t>dibutyphatlaat</w:t>
                  </w:r>
                </w:p>
              </w:tc>
              <w:tc>
                <w:tcPr>
                  <w:tcW w:w="1628" w:type="dxa"/>
                  <w:shd w:val="clear" w:color="auto" w:fill="auto"/>
                  <w:noWrap/>
                  <w:vAlign w:val="center"/>
                  <w:hideMark/>
                </w:tcPr>
                <w:p w:rsidR="004560FE" w:rsidRPr="00702783" w:rsidRDefault="00CB3B91" w:rsidP="00AF3F9E">
                  <w:pPr>
                    <w:rPr>
                      <w:sz w:val="16"/>
                      <w:szCs w:val="16"/>
                    </w:rPr>
                  </w:pPr>
                  <w:r w:rsidRPr="00CB3B91">
                    <w:rPr>
                      <w:sz w:val="16"/>
                      <w:szCs w:val="16"/>
                    </w:rPr>
                    <w:t>1</w:t>
                  </w:r>
                </w:p>
              </w:tc>
              <w:tc>
                <w:tcPr>
                  <w:tcW w:w="1984" w:type="dxa"/>
                  <w:shd w:val="clear" w:color="auto" w:fill="auto"/>
                  <w:noWrap/>
                  <w:vAlign w:val="center"/>
                  <w:hideMark/>
                </w:tcPr>
                <w:p w:rsidR="004560FE" w:rsidRPr="00702783" w:rsidRDefault="00CB3B91" w:rsidP="00AF3F9E">
                  <w:pPr>
                    <w:rPr>
                      <w:sz w:val="16"/>
                      <w:szCs w:val="16"/>
                    </w:rPr>
                  </w:pPr>
                  <w:r w:rsidRPr="00CB3B91">
                    <w:rPr>
                      <w:sz w:val="16"/>
                      <w:szCs w:val="16"/>
                    </w:rPr>
                    <w:t>0,02</w:t>
                  </w:r>
                </w:p>
              </w:tc>
            </w:tr>
          </w:tbl>
          <w:p w:rsidR="004560FE" w:rsidRDefault="004560FE" w:rsidP="00AF3F9E">
            <w:r>
              <w:t xml:space="preserve">Hieruit blijkt dat de gemeten gehaltes beduidend lager zijn dan de Nederlandse normen. </w:t>
            </w:r>
            <w:r w:rsidR="00AE626A">
              <w:t xml:space="preserve"> </w:t>
            </w:r>
          </w:p>
          <w:p w:rsidR="004560FE" w:rsidRDefault="004560FE" w:rsidP="00AF3F9E">
            <w:r>
              <w:t>Verder wordt ook algemeen opgemerkt dat voor diverse groepen van organische stoffen zoals PAK’s, MAK’s, … momenteel lozingsnormen zijn opgenomen die betrekking hebben op het totale gehalte van deze types aan verbindingen. Deze lozingsnormen zijn gebaseerd op de vroegere kwaliteits</w:t>
            </w:r>
            <w:r>
              <w:softHyphen/>
              <w:t xml:space="preserve">doelstellingen die eveneens betrekking hebben op het totale gehalte aan PAK’s, MAK’s, ... </w:t>
            </w:r>
            <w:r>
              <w:tab/>
              <w:t>Op basis van de nieuwe kwaliteitsdoelstellingen voor gevaarlijke stoffen – waarbij rekening wordt gehouden met de individuele ecotoxiciteit van een stof – kan gesteld worden dat de vroegere kwaliteitsdoelstellingen en bijgevolg ook de lozingsnormen, deels achterhaald zijn</w:t>
            </w:r>
            <w:r>
              <w:rPr>
                <w:rStyle w:val="FootnoteReference"/>
              </w:rPr>
              <w:footnoteReference w:id="46"/>
            </w:r>
            <w:r>
              <w:t>. Aangepaste lozingsnormen die afgestemd zijn op de nieuwe kwaliteitsdoelstellingen lijken dan ook aangewezen.</w:t>
            </w:r>
          </w:p>
        </w:tc>
      </w:tr>
    </w:tbl>
    <w:p w:rsidR="004560FE" w:rsidRDefault="004560FE" w:rsidP="00AF3F9E">
      <w:pPr>
        <w:pStyle w:val="Heading5"/>
      </w:pPr>
      <w:bookmarkStart w:id="790" w:name="_Toc312069258"/>
      <w:r>
        <w:lastRenderedPageBreak/>
        <w:t>Beïnvloeding kwaliteit dokken</w:t>
      </w:r>
      <w:bookmarkEnd w:id="790"/>
    </w:p>
    <w:p w:rsidR="004560FE" w:rsidRDefault="004560FE" w:rsidP="00AF3F9E">
      <w:pPr>
        <w:rPr>
          <w:lang w:val="nl-NL"/>
        </w:rPr>
      </w:pPr>
      <w:r>
        <w:rPr>
          <w:lang w:val="nl-NL"/>
        </w:rPr>
        <w:t>Aangaande de mogelijke impact van het geloosde bedrijfsafvalwater, wordt de globale impact op de kwaliteit van het water in de havendokken op Rechteroever</w:t>
      </w:r>
      <w:r w:rsidR="002F68F1">
        <w:rPr>
          <w:lang w:val="nl-NL"/>
        </w:rPr>
        <w:t xml:space="preserve"> onderzocht</w:t>
      </w:r>
      <w:r>
        <w:rPr>
          <w:lang w:val="nl-NL"/>
        </w:rPr>
        <w:t>.</w:t>
      </w:r>
    </w:p>
    <w:p w:rsidR="004560FE" w:rsidRDefault="004560FE" w:rsidP="00AF3F9E">
      <w:pPr>
        <w:rPr>
          <w:lang w:val="nl-NL"/>
        </w:rPr>
      </w:pPr>
      <w:r>
        <w:rPr>
          <w:lang w:val="nl-NL"/>
        </w:rPr>
        <w:t>Algemeen wordt opgemerkt dat gezien de complexe hydraulische situatie van de havendokken die er toe leidt dat het debiet in de havendokken slechts bij benadering kan ingeschat worden, de resultaten van de berekeningen eerder als indicatief dienen beschouwd te worden en niet als ‘absolute’ waarden.</w:t>
      </w:r>
    </w:p>
    <w:p w:rsidR="002F68F1" w:rsidRDefault="002F68F1" w:rsidP="004F40A7">
      <w:pPr>
        <w:pStyle w:val="tit-5"/>
        <w:outlineLvl w:val="0"/>
        <w:rPr>
          <w:lang w:val="nl-NL"/>
        </w:rPr>
      </w:pPr>
      <w:r>
        <w:rPr>
          <w:lang w:val="nl-NL"/>
        </w:rPr>
        <w:t>methodiek</w:t>
      </w:r>
    </w:p>
    <w:p w:rsidR="004560FE" w:rsidRDefault="002F68F1" w:rsidP="00AF3F9E">
      <w:pPr>
        <w:rPr>
          <w:lang w:val="nl-NL"/>
        </w:rPr>
      </w:pPr>
      <w:r>
        <w:rPr>
          <w:lang w:val="nl-NL"/>
        </w:rPr>
        <w:t>Zoals reeds hoger gesteld wordt door</w:t>
      </w:r>
      <w:r w:rsidR="004560FE">
        <w:rPr>
          <w:lang w:val="nl-NL"/>
        </w:rPr>
        <w:t xml:space="preserve"> het Gemeentelijk Havenbedrijf Antwerpen, een ruwe inschatting gemaakt van de door</w:t>
      </w:r>
      <w:r w:rsidR="004560FE">
        <w:rPr>
          <w:lang w:val="nl-NL"/>
        </w:rPr>
        <w:softHyphen/>
        <w:t>stroomdebieten in de dokken op Rechteroever, rekening houdend met de input aan zoetwater via het Albertkanaal en afvoer van water door captatie van de industrie en de versluisingen naar de Schelde.</w:t>
      </w:r>
    </w:p>
    <w:p w:rsidR="004560FE" w:rsidRDefault="004560FE" w:rsidP="00AF3F9E">
      <w:pPr>
        <w:rPr>
          <w:lang w:val="nl-NL"/>
        </w:rPr>
      </w:pPr>
      <w:r>
        <w:rPr>
          <w:lang w:val="nl-NL"/>
        </w:rPr>
        <w:t xml:space="preserve">De ingeschatte doorstroomdebieten </w:t>
      </w:r>
      <w:r w:rsidR="002F68F1">
        <w:rPr>
          <w:lang w:val="nl-NL"/>
        </w:rPr>
        <w:t xml:space="preserve">welke relevant zijn voor de evaluatie </w:t>
      </w:r>
      <w:r>
        <w:rPr>
          <w:lang w:val="nl-NL"/>
        </w:rPr>
        <w:t xml:space="preserve">bedragen (zie ook figuur </w:t>
      </w:r>
      <w:r w:rsidR="00C325A0">
        <w:rPr>
          <w:lang w:val="nl-NL"/>
        </w:rPr>
        <w:fldChar w:fldCharType="begin"/>
      </w:r>
      <w:r w:rsidR="0075705B">
        <w:rPr>
          <w:lang w:val="nl-NL"/>
        </w:rPr>
        <w:instrText xml:space="preserve"> REF f_water_Qdokken \h </w:instrText>
      </w:r>
      <w:r w:rsidR="00C325A0">
        <w:rPr>
          <w:lang w:val="nl-NL"/>
        </w:rPr>
      </w:r>
      <w:r w:rsidR="00C325A0">
        <w:rPr>
          <w:lang w:val="nl-NL"/>
        </w:rPr>
        <w:fldChar w:fldCharType="separate"/>
      </w:r>
      <w:r w:rsidR="008102D8">
        <w:t>VIII.1.</w:t>
      </w:r>
      <w:r w:rsidR="008102D8">
        <w:rPr>
          <w:noProof/>
        </w:rPr>
        <w:t>1</w:t>
      </w:r>
      <w:r w:rsidR="00C325A0">
        <w:rPr>
          <w:lang w:val="nl-NL"/>
        </w:rPr>
        <w:fldChar w:fldCharType="end"/>
      </w:r>
      <w:r>
        <w:rPr>
          <w:lang w:val="nl-NL"/>
        </w:rPr>
        <w:t>):</w:t>
      </w:r>
    </w:p>
    <w:p w:rsidR="004560FE" w:rsidRDefault="004560FE" w:rsidP="00AF3F9E">
      <w:pPr>
        <w:pStyle w:val="ListParagraph"/>
        <w:rPr>
          <w:lang w:val="nl-NL"/>
        </w:rPr>
      </w:pPr>
      <w:r>
        <w:rPr>
          <w:lang w:val="nl-NL"/>
        </w:rPr>
        <w:t>T.h.v. het 5</w:t>
      </w:r>
      <w:r w:rsidRPr="004605C6">
        <w:rPr>
          <w:vertAlign w:val="superscript"/>
          <w:lang w:val="nl-NL"/>
        </w:rPr>
        <w:t>de</w:t>
      </w:r>
      <w:r>
        <w:rPr>
          <w:lang w:val="nl-NL"/>
        </w:rPr>
        <w:t xml:space="preserve"> Havendok: 206 x 10</w:t>
      </w:r>
      <w:r w:rsidRPr="004605C6">
        <w:rPr>
          <w:vertAlign w:val="superscript"/>
          <w:lang w:val="nl-NL"/>
        </w:rPr>
        <w:t>6</w:t>
      </w:r>
      <w:r>
        <w:rPr>
          <w:lang w:val="nl-NL"/>
        </w:rPr>
        <w:t xml:space="preserve"> m³/j;</w:t>
      </w:r>
    </w:p>
    <w:p w:rsidR="004560FE" w:rsidRDefault="004560FE" w:rsidP="00AF3F9E">
      <w:pPr>
        <w:pStyle w:val="ListParagraph"/>
        <w:rPr>
          <w:lang w:val="nl-NL"/>
        </w:rPr>
      </w:pPr>
      <w:r>
        <w:rPr>
          <w:lang w:val="nl-NL"/>
        </w:rPr>
        <w:t>T.h.v. het Hansadok: 412 x 10</w:t>
      </w:r>
      <w:r w:rsidRPr="004605C6">
        <w:rPr>
          <w:vertAlign w:val="superscript"/>
          <w:lang w:val="nl-NL"/>
        </w:rPr>
        <w:t>6</w:t>
      </w:r>
      <w:r>
        <w:rPr>
          <w:lang w:val="nl-NL"/>
        </w:rPr>
        <w:t xml:space="preserve"> m³/j;</w:t>
      </w:r>
    </w:p>
    <w:p w:rsidR="004560FE" w:rsidRDefault="004560FE" w:rsidP="00AF3F9E">
      <w:pPr>
        <w:pStyle w:val="ListParagraph"/>
        <w:rPr>
          <w:lang w:val="nl-NL"/>
        </w:rPr>
      </w:pPr>
      <w:r>
        <w:rPr>
          <w:lang w:val="nl-NL"/>
        </w:rPr>
        <w:t>T.h.v. de Zwaaikom: 170 x 10</w:t>
      </w:r>
      <w:r w:rsidRPr="004605C6">
        <w:rPr>
          <w:vertAlign w:val="superscript"/>
          <w:lang w:val="nl-NL"/>
        </w:rPr>
        <w:t>6</w:t>
      </w:r>
      <w:r>
        <w:rPr>
          <w:lang w:val="nl-NL"/>
        </w:rPr>
        <w:t xml:space="preserve"> m³/j.</w:t>
      </w:r>
    </w:p>
    <w:p w:rsidR="004560FE" w:rsidRDefault="004560FE" w:rsidP="00AF3F9E">
      <w:pPr>
        <w:rPr>
          <w:lang w:val="nl-NL"/>
        </w:rPr>
      </w:pPr>
      <w:r>
        <w:rPr>
          <w:lang w:val="nl-NL"/>
        </w:rPr>
        <w:t xml:space="preserve">Op basis van bovenstaande gegevens kan dan ook een inschatting gemaakt worden van de bijdrage van de lozing tot de waterkwaliteit t.h.v. hoger vermelde punten. Tevens </w:t>
      </w:r>
      <w:r w:rsidR="00A20D23">
        <w:rPr>
          <w:lang w:val="nl-NL"/>
        </w:rPr>
        <w:t>is</w:t>
      </w:r>
      <w:r>
        <w:rPr>
          <w:lang w:val="nl-NL"/>
        </w:rPr>
        <w:t xml:space="preserve"> de berekende bijdrage t.h.v. </w:t>
      </w:r>
      <w:r w:rsidR="00A20D23">
        <w:rPr>
          <w:lang w:val="nl-NL"/>
        </w:rPr>
        <w:t xml:space="preserve">het Hansadok vergeleken met de meetgegevens van meetpunt R4 van het Gemeentelijk Havenbedrijf en deze t.h.v. </w:t>
      </w:r>
      <w:r>
        <w:rPr>
          <w:lang w:val="nl-NL"/>
        </w:rPr>
        <w:t xml:space="preserve">de </w:t>
      </w:r>
      <w:r w:rsidR="00A20D23">
        <w:rPr>
          <w:lang w:val="nl-NL"/>
        </w:rPr>
        <w:t>Z</w:t>
      </w:r>
      <w:r>
        <w:rPr>
          <w:lang w:val="nl-NL"/>
        </w:rPr>
        <w:t>waaikom vergeleken met de meetgegevens van meetpunt 805000 van de VMM</w:t>
      </w:r>
      <w:r w:rsidR="00CD41B8">
        <w:rPr>
          <w:rStyle w:val="FootnoteReference"/>
          <w:lang w:val="nl-NL"/>
        </w:rPr>
        <w:footnoteReference w:id="47"/>
      </w:r>
      <w:r>
        <w:rPr>
          <w:lang w:val="nl-NL"/>
        </w:rPr>
        <w:t>.</w:t>
      </w:r>
    </w:p>
    <w:p w:rsidR="004560FE" w:rsidRDefault="004560FE" w:rsidP="00AF3F9E">
      <w:pPr>
        <w:rPr>
          <w:lang w:val="nl-NL"/>
        </w:rPr>
      </w:pPr>
      <w:r>
        <w:rPr>
          <w:lang w:val="nl-NL"/>
        </w:rPr>
        <w:t xml:space="preserve">Deze </w:t>
      </w:r>
      <w:bookmarkStart w:id="791" w:name="formule_impact"/>
      <w:r>
        <w:rPr>
          <w:lang w:val="nl-NL"/>
        </w:rPr>
        <w:t>bijdragen (Cv)</w:t>
      </w:r>
      <w:bookmarkEnd w:id="791"/>
      <w:r>
        <w:rPr>
          <w:lang w:val="nl-NL"/>
        </w:rPr>
        <w:t xml:space="preserve"> </w:t>
      </w:r>
      <w:r w:rsidR="00CD41B8">
        <w:rPr>
          <w:lang w:val="nl-NL"/>
        </w:rPr>
        <w:t>worden</w:t>
      </w:r>
      <w:r>
        <w:rPr>
          <w:lang w:val="nl-NL"/>
        </w:rPr>
        <w:t xml:space="preserve"> als volgt berekend:</w:t>
      </w:r>
    </w:p>
    <w:p w:rsidR="004560FE" w:rsidRPr="0084750A" w:rsidRDefault="004560FE" w:rsidP="00AF3F9E">
      <w:pPr>
        <w:rPr>
          <w:lang w:val="nl-NL"/>
        </w:rPr>
      </w:pPr>
      <m:oMathPara>
        <m:oMath>
          <m:r>
            <w:rPr>
              <w:rFonts w:ascii="Cambria Math" w:hAnsi="Cambria Math"/>
              <w:lang w:val="nl-NL"/>
            </w:rPr>
            <m:t>Cv</m:t>
          </m:r>
          <m:r>
            <m:rPr>
              <m:sty m:val="p"/>
            </m:rPr>
            <w:rPr>
              <w:rFonts w:ascii="Cambria Math" w:hAnsi="Cambria Math"/>
              <w:lang w:val="nl-NL"/>
            </w:rPr>
            <m:t>=</m:t>
          </m:r>
          <m:r>
            <w:rPr>
              <w:rFonts w:ascii="Cambria Math" w:hAnsi="Cambria Math"/>
              <w:lang w:val="nl-NL"/>
            </w:rPr>
            <m:t>Cge</m:t>
          </m:r>
          <m:r>
            <m:rPr>
              <m:sty m:val="p"/>
            </m:rPr>
            <w:rPr>
              <w:rFonts w:ascii="Cambria Math" w:hAnsi="Cambria Math"/>
              <w:lang w:val="nl-NL"/>
            </w:rPr>
            <m:t xml:space="preserve"> </m:t>
          </m:r>
          <m:r>
            <w:rPr>
              <w:rFonts w:ascii="Cambria Math" w:hAnsi="Cambria Math"/>
              <w:lang w:val="nl-NL"/>
            </w:rPr>
            <m:t>x</m:t>
          </m:r>
          <m:r>
            <m:rPr>
              <m:sty m:val="p"/>
            </m:rP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Qe</m:t>
              </m:r>
            </m:num>
            <m:den>
              <m:r>
                <w:rPr>
                  <w:rFonts w:ascii="Cambria Math" w:hAnsi="Cambria Math"/>
                  <w:lang w:val="nl-NL"/>
                </w:rPr>
                <m:t>Qd</m:t>
              </m:r>
            </m:den>
          </m:f>
        </m:oMath>
      </m:oMathPara>
    </w:p>
    <w:p w:rsidR="004560FE" w:rsidRDefault="004560FE" w:rsidP="00AF3F9E">
      <w:pPr>
        <w:rPr>
          <w:lang w:val="nl-NL"/>
        </w:rPr>
      </w:pPr>
      <w:r w:rsidRPr="0084750A">
        <w:rPr>
          <w:lang w:val="nl-NL"/>
        </w:rPr>
        <w:t>Waarbij:</w:t>
      </w:r>
      <w:r w:rsidRPr="0084750A">
        <w:rPr>
          <w:lang w:val="nl-NL"/>
        </w:rPr>
        <w:tab/>
        <w:t>Cge = gemiddelde effluentconcentratie</w:t>
      </w:r>
      <w:r>
        <w:rPr>
          <w:lang w:val="nl-NL"/>
        </w:rPr>
        <w:t xml:space="preserve"> (zie </w:t>
      </w:r>
      <w:r w:rsidRPr="00E15CC2">
        <w:rPr>
          <w:lang w:val="nl-NL"/>
        </w:rPr>
        <w:t xml:space="preserve">tabel </w:t>
      </w:r>
      <w:r w:rsidR="00C325A0">
        <w:fldChar w:fldCharType="begin"/>
      </w:r>
      <w:r w:rsidR="00E15CC2">
        <w:instrText xml:space="preserve"> REF t_water_samenstelling_BA \h </w:instrText>
      </w:r>
      <w:r w:rsidR="00C325A0">
        <w:fldChar w:fldCharType="separate"/>
      </w:r>
      <w:r w:rsidR="008102D8">
        <w:t>VIII.1.</w:t>
      </w:r>
      <w:r w:rsidR="008102D8">
        <w:rPr>
          <w:noProof/>
        </w:rPr>
        <w:t>1</w:t>
      </w:r>
      <w:r w:rsidR="00C325A0">
        <w:fldChar w:fldCharType="end"/>
      </w:r>
      <w:r>
        <w:rPr>
          <w:lang w:val="nl-NL"/>
        </w:rPr>
        <w:t>)</w:t>
      </w:r>
    </w:p>
    <w:p w:rsidR="004560FE" w:rsidRDefault="004560FE" w:rsidP="00AF3F9E">
      <w:pPr>
        <w:rPr>
          <w:lang w:val="nl-NL"/>
        </w:rPr>
      </w:pPr>
      <w:r>
        <w:rPr>
          <w:lang w:val="nl-NL"/>
        </w:rPr>
        <w:t xml:space="preserve">Qe = jaardebiet effluent = </w:t>
      </w:r>
      <w:r w:rsidR="00BA5D8D">
        <w:rPr>
          <w:lang w:val="nl-NL"/>
        </w:rPr>
        <w:t>97.03</w:t>
      </w:r>
      <w:r w:rsidR="00570A08">
        <w:rPr>
          <w:lang w:val="nl-NL"/>
        </w:rPr>
        <w:t>7</w:t>
      </w:r>
      <w:r>
        <w:rPr>
          <w:lang w:val="nl-NL"/>
        </w:rPr>
        <w:t xml:space="preserve"> m³/j</w:t>
      </w:r>
    </w:p>
    <w:p w:rsidR="004560FE" w:rsidRPr="0084750A" w:rsidRDefault="004560FE" w:rsidP="00AF3F9E">
      <w:pPr>
        <w:rPr>
          <w:lang w:val="nl-NL"/>
        </w:rPr>
      </w:pPr>
      <w:r>
        <w:rPr>
          <w:lang w:val="nl-NL"/>
        </w:rPr>
        <w:t>Qd = ingeschat doorstroomdebiet t.h.v. de verschillende beoordelingspunten (zie hoger)</w:t>
      </w:r>
    </w:p>
    <w:p w:rsidR="004560FE" w:rsidRDefault="004560FE" w:rsidP="00AF3F9E">
      <w:pPr>
        <w:rPr>
          <w:lang w:val="nl-NL"/>
        </w:rPr>
      </w:pPr>
      <w:r>
        <w:rPr>
          <w:lang w:val="nl-NL"/>
        </w:rPr>
        <w:t xml:space="preserve">De berekende bijdragen worden vervolgens getoetst aan </w:t>
      </w:r>
      <w:r w:rsidR="00751EED">
        <w:rPr>
          <w:lang w:val="nl-NL"/>
        </w:rPr>
        <w:t>toetsingswaarden</w:t>
      </w:r>
      <w:r>
        <w:rPr>
          <w:lang w:val="nl-NL"/>
        </w:rPr>
        <w:t xml:space="preserve"> voor de betrokken parameters en de bijdrage berekend t.h.v. de zwaaikom aanvullend ook aan de gemiddelde </w:t>
      </w:r>
      <w:r w:rsidR="00751EED">
        <w:rPr>
          <w:lang w:val="nl-NL"/>
        </w:rPr>
        <w:t>immissie</w:t>
      </w:r>
      <w:r>
        <w:rPr>
          <w:lang w:val="nl-NL"/>
        </w:rPr>
        <w:t xml:space="preserve">concentraties zoals gemeten t.h.v. meetpunt </w:t>
      </w:r>
      <w:r w:rsidR="00A20D23">
        <w:rPr>
          <w:lang w:val="nl-NL"/>
        </w:rPr>
        <w:t xml:space="preserve">R4 en meetpunt </w:t>
      </w:r>
      <w:r>
        <w:rPr>
          <w:lang w:val="nl-NL"/>
        </w:rPr>
        <w:t>805000</w:t>
      </w:r>
      <w:r w:rsidR="00751EED">
        <w:rPr>
          <w:lang w:val="nl-NL"/>
        </w:rPr>
        <w:t xml:space="preserve"> (voor zover immissiegegevens ter beschikking)</w:t>
      </w:r>
      <w:r>
        <w:rPr>
          <w:lang w:val="nl-NL"/>
        </w:rPr>
        <w:t>.</w:t>
      </w:r>
    </w:p>
    <w:p w:rsidR="00CD41B8" w:rsidRDefault="00CD41B8" w:rsidP="004F40A7">
      <w:pPr>
        <w:pStyle w:val="tit-5"/>
        <w:outlineLvl w:val="0"/>
        <w:rPr>
          <w:lang w:val="nl-NL"/>
        </w:rPr>
      </w:pPr>
      <w:r>
        <w:rPr>
          <w:lang w:val="nl-NL"/>
        </w:rPr>
        <w:t>resultaten</w:t>
      </w:r>
    </w:p>
    <w:p w:rsidR="00CD41B8" w:rsidRDefault="00CD41B8" w:rsidP="00AF3F9E">
      <w:pPr>
        <w:rPr>
          <w:lang w:val="nl-NL"/>
        </w:rPr>
      </w:pPr>
      <w:r>
        <w:rPr>
          <w:lang w:val="nl-NL"/>
        </w:rPr>
        <w:t xml:space="preserve">In </w:t>
      </w:r>
      <w:r w:rsidRPr="001E17CA">
        <w:rPr>
          <w:lang w:val="nl-NL"/>
        </w:rPr>
        <w:t xml:space="preserve">tabel </w:t>
      </w:r>
      <w:r w:rsidR="00C325A0">
        <w:rPr>
          <w:highlight w:val="yellow"/>
          <w:lang w:val="nl-NL"/>
        </w:rPr>
        <w:fldChar w:fldCharType="begin"/>
      </w:r>
      <w:r w:rsidR="001E17CA">
        <w:rPr>
          <w:highlight w:val="yellow"/>
          <w:lang w:val="nl-NL"/>
        </w:rPr>
        <w:instrText xml:space="preserve"> REF t_water_impact_ref \h </w:instrText>
      </w:r>
      <w:r w:rsidR="00C325A0">
        <w:rPr>
          <w:highlight w:val="yellow"/>
          <w:lang w:val="nl-NL"/>
        </w:rPr>
      </w:r>
      <w:r w:rsidR="00C325A0">
        <w:rPr>
          <w:highlight w:val="yellow"/>
          <w:lang w:val="nl-NL"/>
        </w:rPr>
        <w:fldChar w:fldCharType="separate"/>
      </w:r>
      <w:r w:rsidR="008102D8">
        <w:t>VIII.1.</w:t>
      </w:r>
      <w:r w:rsidR="008102D8">
        <w:rPr>
          <w:noProof/>
        </w:rPr>
        <w:t>2</w:t>
      </w:r>
      <w:r w:rsidR="00C325A0">
        <w:rPr>
          <w:highlight w:val="yellow"/>
          <w:lang w:val="nl-NL"/>
        </w:rPr>
        <w:fldChar w:fldCharType="end"/>
      </w:r>
      <w:r w:rsidR="001B30C5" w:rsidRPr="001B30C5">
        <w:rPr>
          <w:rStyle w:val="FootnoteReference"/>
          <w:lang w:val="nl-NL"/>
        </w:rPr>
        <w:footnoteReference w:id="48"/>
      </w:r>
      <w:r>
        <w:rPr>
          <w:lang w:val="nl-NL"/>
        </w:rPr>
        <w:t xml:space="preserve"> wordt een overzicht gegeven van de berekende bijdragen voor de parameters </w:t>
      </w:r>
      <w:r w:rsidR="001E17CA">
        <w:rPr>
          <w:lang w:val="nl-NL"/>
        </w:rPr>
        <w:t>met een</w:t>
      </w:r>
      <w:r w:rsidR="00353303">
        <w:rPr>
          <w:lang w:val="nl-NL"/>
        </w:rPr>
        <w:t xml:space="preserve"> gemiddelde concentratie </w:t>
      </w:r>
      <w:r w:rsidR="001E17CA">
        <w:rPr>
          <w:lang w:val="nl-NL"/>
        </w:rPr>
        <w:t>aantoonbaar die hoger is dan de aantoonbaarheidsgrens</w:t>
      </w:r>
      <w:r>
        <w:rPr>
          <w:lang w:val="nl-NL"/>
        </w:rPr>
        <w:t xml:space="preserve">.  </w:t>
      </w:r>
    </w:p>
    <w:p w:rsidR="00353303" w:rsidRDefault="00CD41B8" w:rsidP="00AF3F9E">
      <w:pPr>
        <w:rPr>
          <w:lang w:val="nl-NL"/>
        </w:rPr>
      </w:pPr>
      <w:r>
        <w:rPr>
          <w:lang w:val="nl-NL"/>
        </w:rPr>
        <w:t>Hieruit</w:t>
      </w:r>
      <w:r w:rsidR="004560FE">
        <w:rPr>
          <w:lang w:val="nl-NL"/>
        </w:rPr>
        <w:t xml:space="preserve"> blijkt dat de berekende bijdragen </w:t>
      </w:r>
      <w:r w:rsidR="00375D5F">
        <w:rPr>
          <w:lang w:val="nl-NL"/>
        </w:rPr>
        <w:t>voor alle p</w:t>
      </w:r>
      <w:r w:rsidR="00353303">
        <w:rPr>
          <w:lang w:val="nl-NL"/>
        </w:rPr>
        <w:t xml:space="preserve">arameters </w:t>
      </w:r>
      <w:r w:rsidR="004560FE">
        <w:rPr>
          <w:lang w:val="nl-NL"/>
        </w:rPr>
        <w:t xml:space="preserve">t.h.v. de verschillende beoordelingspunten als verwaarloosbaar kunnen beschouwd worden t.a.v. de </w:t>
      </w:r>
      <w:r w:rsidR="00060559">
        <w:rPr>
          <w:lang w:val="nl-NL"/>
        </w:rPr>
        <w:t>gehanteerde toetsingswaarden</w:t>
      </w:r>
      <w:r w:rsidR="00A20D23">
        <w:rPr>
          <w:lang w:val="nl-NL"/>
        </w:rPr>
        <w:t>.</w:t>
      </w:r>
    </w:p>
    <w:p w:rsidR="00375D5F" w:rsidRDefault="00375D5F" w:rsidP="00AF3F9E">
      <w:pPr>
        <w:rPr>
          <w:lang w:val="nl-NL"/>
        </w:rPr>
      </w:pPr>
      <w:r>
        <w:rPr>
          <w:lang w:val="nl-NL"/>
        </w:rPr>
        <w:lastRenderedPageBreak/>
        <w:t xml:space="preserve">Tevens geven de berekeningen ook aan dat de lozing slechts een verwaarloosbare bijdrage levert tot </w:t>
      </w:r>
      <w:r w:rsidR="00FE766A">
        <w:rPr>
          <w:lang w:val="nl-NL"/>
        </w:rPr>
        <w:t xml:space="preserve">de immissieconcentraties </w:t>
      </w:r>
      <w:r>
        <w:rPr>
          <w:lang w:val="nl-NL"/>
        </w:rPr>
        <w:t>in de havendokken voor de parameters CZV, totaal stikstof, nitriet en totaal fosfor.</w:t>
      </w:r>
      <w:r w:rsidR="00FE766A">
        <w:rPr>
          <w:lang w:val="nl-NL"/>
        </w:rPr>
        <w:t xml:space="preserve"> Met andere woorden de lozing </w:t>
      </w:r>
      <w:r w:rsidR="00D43FB4">
        <w:rPr>
          <w:lang w:val="nl-NL"/>
        </w:rPr>
        <w:t>levert</w:t>
      </w:r>
      <w:r w:rsidR="00FE766A">
        <w:rPr>
          <w:lang w:val="nl-NL"/>
        </w:rPr>
        <w:t xml:space="preserve"> geen relevante bijdrage tot het overschrijden van de basismilieu</w:t>
      </w:r>
      <w:r w:rsidR="00FE766A">
        <w:rPr>
          <w:lang w:val="nl-NL"/>
        </w:rPr>
        <w:softHyphen/>
        <w:t>kwaliteits</w:t>
      </w:r>
      <w:r w:rsidR="00FE766A">
        <w:rPr>
          <w:lang w:val="nl-NL"/>
        </w:rPr>
        <w:softHyphen/>
      </w:r>
      <w:r w:rsidR="00060559">
        <w:rPr>
          <w:lang w:val="nl-NL"/>
        </w:rPr>
        <w:t>normen</w:t>
      </w:r>
      <w:r w:rsidR="00FE766A">
        <w:rPr>
          <w:lang w:val="nl-NL"/>
        </w:rPr>
        <w:t xml:space="preserve"> voor deze parameters.</w:t>
      </w:r>
    </w:p>
    <w:p w:rsidR="004560FE" w:rsidRDefault="00FE766A" w:rsidP="00AF3F9E">
      <w:pPr>
        <w:rPr>
          <w:lang w:val="nl-NL"/>
        </w:rPr>
      </w:pPr>
      <w:r>
        <w:rPr>
          <w:lang w:val="nl-NL"/>
        </w:rPr>
        <w:t xml:space="preserve">Voor bepaalde organische micro-verontreinigingen (oa. naftaleen en chloroform) </w:t>
      </w:r>
      <w:r w:rsidR="00D43FB4">
        <w:rPr>
          <w:lang w:val="nl-NL"/>
        </w:rPr>
        <w:t>levert</w:t>
      </w:r>
      <w:r>
        <w:rPr>
          <w:lang w:val="nl-NL"/>
        </w:rPr>
        <w:t xml:space="preserve"> de lozing een (zeer) beperkte </w:t>
      </w:r>
      <w:r w:rsidR="00D43FB4">
        <w:rPr>
          <w:lang w:val="nl-NL"/>
        </w:rPr>
        <w:t>bijdrage tot</w:t>
      </w:r>
      <w:r>
        <w:rPr>
          <w:lang w:val="nl-NL"/>
        </w:rPr>
        <w:t xml:space="preserve"> de huidige, zeer lage immissieconcentraties in de dokken welke allen ruimschoots voldoen aan de basismilieukwaliteits</w:t>
      </w:r>
      <w:r w:rsidR="00060559">
        <w:rPr>
          <w:lang w:val="nl-NL"/>
        </w:rPr>
        <w:t>normen</w:t>
      </w:r>
      <w:r>
        <w:rPr>
          <w:lang w:val="nl-NL"/>
        </w:rPr>
        <w:t xml:space="preserve">. </w:t>
      </w:r>
      <w:r>
        <w:rPr>
          <w:lang w:val="nl-NL"/>
        </w:rPr>
        <w:tab/>
      </w:r>
      <w:r>
        <w:rPr>
          <w:lang w:val="nl-NL"/>
        </w:rPr>
        <w:br/>
        <w:t xml:space="preserve">Voorts wordt ook opgemerkt dat de bijdrage van de lozing voor deze parameters gesitueerd is in het nanogramgebied of zelfs nog minder, waardoor </w:t>
      </w:r>
      <w:r w:rsidR="00060559">
        <w:rPr>
          <w:lang w:val="nl-NL"/>
        </w:rPr>
        <w:t>de immissieconcentraties van deze stoffen</w:t>
      </w:r>
      <w:r>
        <w:rPr>
          <w:lang w:val="nl-NL"/>
        </w:rPr>
        <w:t xml:space="preserve"> in praktijk niet waarneembaar </w:t>
      </w:r>
      <w:r w:rsidR="00060559">
        <w:rPr>
          <w:lang w:val="nl-NL"/>
        </w:rPr>
        <w:t>zijn</w:t>
      </w:r>
      <w:r>
        <w:rPr>
          <w:lang w:val="nl-NL"/>
        </w:rPr>
        <w:t>.</w:t>
      </w:r>
    </w:p>
    <w:p w:rsidR="004560FE" w:rsidRDefault="004560FE" w:rsidP="004F40A7">
      <w:pPr>
        <w:pStyle w:val="Heading4"/>
      </w:pPr>
      <w:bookmarkStart w:id="792" w:name="_Toc312069259"/>
      <w:r>
        <w:t>Lozen van huishoudelijk afvalwater</w:t>
      </w:r>
      <w:bookmarkEnd w:id="792"/>
    </w:p>
    <w:p w:rsidR="004560FE" w:rsidRDefault="007F1812" w:rsidP="00AF3F9E">
      <w:pPr>
        <w:rPr>
          <w:lang w:val="nl-NL"/>
        </w:rPr>
      </w:pPr>
      <w:r>
        <w:rPr>
          <w:lang w:val="nl-NL"/>
        </w:rPr>
        <w:t xml:space="preserve">In de huidige situatie wordt het afvalwater van de sanitaire installaties via een septische put geloosd in het Industriedok. </w:t>
      </w:r>
    </w:p>
    <w:p w:rsidR="00B74DCA" w:rsidRDefault="00B74DCA" w:rsidP="00AF3F9E">
      <w:pPr>
        <w:rPr>
          <w:lang w:val="nl-NL"/>
        </w:rPr>
      </w:pPr>
      <w:r>
        <w:rPr>
          <w:lang w:val="nl-NL"/>
        </w:rPr>
        <w:t>Er zijn geen gegevens gekend over de kwaliteit van het geloosde huishoudelijk afvalwater. Op basis van literatuurgegevens</w:t>
      </w:r>
      <w:r w:rsidR="00AE188B">
        <w:rPr>
          <w:rStyle w:val="EndnoteReference"/>
          <w:lang w:val="nl-NL"/>
        </w:rPr>
        <w:endnoteReference w:id="2"/>
      </w:r>
      <w:r>
        <w:rPr>
          <w:lang w:val="nl-NL"/>
        </w:rPr>
        <w:t xml:space="preserve"> kan de samenstelling van het geloosde huishoudelijk afvalwater als volgt ingeschat worden:</w:t>
      </w:r>
    </w:p>
    <w:p w:rsidR="00B74DCA" w:rsidRPr="00965878" w:rsidRDefault="00B74DCA" w:rsidP="0090667C">
      <w:pPr>
        <w:pStyle w:val="ListParagraph"/>
        <w:numPr>
          <w:ilvl w:val="0"/>
          <w:numId w:val="95"/>
        </w:numPr>
        <w:rPr>
          <w:lang w:val="fr-FR"/>
        </w:rPr>
      </w:pPr>
      <w:r w:rsidRPr="00965878">
        <w:rPr>
          <w:lang w:val="fr-FR"/>
        </w:rPr>
        <w:t>BZV: 110 à 400 mg/l</w:t>
      </w:r>
    </w:p>
    <w:p w:rsidR="00B74DCA" w:rsidRPr="00965878" w:rsidRDefault="00B74DCA" w:rsidP="0090667C">
      <w:pPr>
        <w:pStyle w:val="ListParagraph"/>
        <w:numPr>
          <w:ilvl w:val="0"/>
          <w:numId w:val="95"/>
        </w:numPr>
        <w:rPr>
          <w:lang w:val="fr-FR"/>
        </w:rPr>
      </w:pPr>
      <w:r w:rsidRPr="00965878">
        <w:rPr>
          <w:lang w:val="fr-FR"/>
        </w:rPr>
        <w:t>CZV: 250 à 1000 mg/l</w:t>
      </w:r>
    </w:p>
    <w:p w:rsidR="00B74DCA" w:rsidRPr="00965878" w:rsidRDefault="00B74DCA" w:rsidP="0090667C">
      <w:pPr>
        <w:pStyle w:val="ListParagraph"/>
        <w:numPr>
          <w:ilvl w:val="0"/>
          <w:numId w:val="95"/>
        </w:numPr>
        <w:rPr>
          <w:lang w:val="fr-FR"/>
        </w:rPr>
      </w:pPr>
      <w:r w:rsidRPr="00965878">
        <w:rPr>
          <w:lang w:val="fr-FR"/>
        </w:rPr>
        <w:t>ZS: 100 à 350 mg/l</w:t>
      </w:r>
    </w:p>
    <w:p w:rsidR="00B74DCA" w:rsidRPr="00965878" w:rsidRDefault="00B74DCA" w:rsidP="0090667C">
      <w:pPr>
        <w:pStyle w:val="ListParagraph"/>
        <w:numPr>
          <w:ilvl w:val="0"/>
          <w:numId w:val="95"/>
        </w:numPr>
        <w:rPr>
          <w:lang w:val="fr-FR"/>
        </w:rPr>
      </w:pPr>
      <w:r w:rsidRPr="00965878">
        <w:rPr>
          <w:lang w:val="fr-FR"/>
        </w:rPr>
        <w:t>N-totaal: 20 à 85 mg/l</w:t>
      </w:r>
    </w:p>
    <w:p w:rsidR="00B74DCA" w:rsidRPr="00B74DCA" w:rsidRDefault="00B74DCA" w:rsidP="0090667C">
      <w:pPr>
        <w:pStyle w:val="ListParagraph"/>
        <w:numPr>
          <w:ilvl w:val="0"/>
          <w:numId w:val="95"/>
        </w:numPr>
        <w:rPr>
          <w:lang w:val="nl-NL"/>
        </w:rPr>
      </w:pPr>
      <w:r w:rsidRPr="00B74DCA">
        <w:rPr>
          <w:lang w:val="nl-NL"/>
        </w:rPr>
        <w:t>P-totaal: 4 à 15 mg/l</w:t>
      </w:r>
    </w:p>
    <w:p w:rsidR="00531192" w:rsidRPr="00531192" w:rsidRDefault="00531192" w:rsidP="00AF3F9E">
      <w:r>
        <w:t xml:space="preserve">Daar de geloosde hoeveelheid huishoudelijk afvalwater </w:t>
      </w:r>
      <w:r w:rsidR="006E08DD">
        <w:t>(</w:t>
      </w:r>
      <w:r w:rsidR="006E08DD">
        <w:rPr>
          <w:rFonts w:cs="Calibri"/>
        </w:rPr>
        <w:t>±</w:t>
      </w:r>
      <w:r w:rsidR="006E08DD">
        <w:t xml:space="preserve"> 3.500 m³/j) </w:t>
      </w:r>
      <w:r>
        <w:t>verwaarloosbaar is t</w:t>
      </w:r>
      <w:r>
        <w:rPr>
          <w:lang w:val="nl-NL"/>
        </w:rPr>
        <w:t>.a.v. de ingeschatte doorstroom</w:t>
      </w:r>
      <w:r>
        <w:rPr>
          <w:lang w:val="nl-NL"/>
        </w:rPr>
        <w:softHyphen/>
        <w:t>debieten t.h.v. de verschillende dokken, zal deze lozing hoogstens een verwaarloosbare impact hebben op de kwaliteit van de dokken op Rechteroever.</w:t>
      </w:r>
    </w:p>
    <w:p w:rsidR="004560FE" w:rsidRDefault="004560FE" w:rsidP="004F40A7">
      <w:pPr>
        <w:pStyle w:val="Heading4"/>
      </w:pPr>
      <w:bookmarkStart w:id="793" w:name="_Toc312069260"/>
      <w:r>
        <w:t>Lozen van niet verontreinigd hemelwater</w:t>
      </w:r>
      <w:bookmarkEnd w:id="793"/>
    </w:p>
    <w:p w:rsidR="004560FE" w:rsidRDefault="004560FE" w:rsidP="00AF3F9E">
      <w:r>
        <w:t xml:space="preserve">De verharde oppervlakte die </w:t>
      </w:r>
      <w:r w:rsidRPr="008D163E">
        <w:rPr>
          <w:i/>
        </w:rPr>
        <w:t>rechtstreeks</w:t>
      </w:r>
      <w:r>
        <w:t xml:space="preserve"> afwatert naar het Industriedok bedraagt </w:t>
      </w:r>
      <w:r>
        <w:rPr>
          <w:rFonts w:cs="Calibri"/>
        </w:rPr>
        <w:t>±</w:t>
      </w:r>
      <w:r>
        <w:t xml:space="preserve"> </w:t>
      </w:r>
      <w:r w:rsidR="00264CC8">
        <w:t>10</w:t>
      </w:r>
      <w:r w:rsidR="000F6383">
        <w:t>0</w:t>
      </w:r>
      <w:r>
        <w:t xml:space="preserve"> are. </w:t>
      </w:r>
    </w:p>
    <w:p w:rsidR="004560FE" w:rsidRDefault="004560FE" w:rsidP="00AF3F9E">
      <w:r>
        <w:t>Zoals eerder aangegeven staan kunnen de dokken als een bekken beschouwd worden dat in verbinding staat met de Schelde, waarbij peilverhogingen in de dokken aanleiding geven tot een afvoer van water naar de Schelde. Door de omvang van de havendokken zal de impact van de lozing van het niet verontreingd hemelwater, verwaarloosbaar zijn.</w:t>
      </w:r>
    </w:p>
    <w:p w:rsidR="004560FE" w:rsidRDefault="00B412B3" w:rsidP="004F40A7">
      <w:pPr>
        <w:pStyle w:val="Heading4"/>
      </w:pPr>
      <w:bookmarkStart w:id="794" w:name="_Toc312069261"/>
      <w:r>
        <w:t>Captatie van oppervlaktewater</w:t>
      </w:r>
      <w:bookmarkEnd w:id="794"/>
    </w:p>
    <w:p w:rsidR="00B412B3" w:rsidRPr="00B412B3" w:rsidRDefault="00B412B3" w:rsidP="00AF3F9E">
      <w:pPr>
        <w:rPr>
          <w:lang w:val="nl-NL"/>
        </w:rPr>
      </w:pPr>
      <w:r>
        <w:rPr>
          <w:lang w:val="nl-NL"/>
        </w:rPr>
        <w:t xml:space="preserve">Uit de registreerde opgepompte hoeveelheden oppervlaktewater blijkt dat de afgelopen jaren max. </w:t>
      </w:r>
      <w:r>
        <w:rPr>
          <w:rFonts w:cs="Calibri"/>
          <w:lang w:val="nl-NL"/>
        </w:rPr>
        <w:t>±</w:t>
      </w:r>
      <w:r>
        <w:rPr>
          <w:lang w:val="nl-NL"/>
        </w:rPr>
        <w:t xml:space="preserve"> 19.000 m³ per jaar werd opgepompt.</w:t>
      </w:r>
    </w:p>
    <w:p w:rsidR="004560FE" w:rsidRDefault="00B412B3" w:rsidP="00AF3F9E">
      <w:pPr>
        <w:rPr>
          <w:lang w:val="nl-NL"/>
        </w:rPr>
      </w:pPr>
      <w:r>
        <w:rPr>
          <w:lang w:val="nl-NL"/>
        </w:rPr>
        <w:t>Zoals hoger aangegeven blijkt dat het 5</w:t>
      </w:r>
      <w:r w:rsidRPr="00B412B3">
        <w:rPr>
          <w:vertAlign w:val="superscript"/>
          <w:lang w:val="nl-NL"/>
        </w:rPr>
        <w:t>de</w:t>
      </w:r>
      <w:r>
        <w:rPr>
          <w:lang w:val="nl-NL"/>
        </w:rPr>
        <w:t xml:space="preserve"> Havendok (= dok dat rechtstreeks in verbinding staat met het Industriedok) jaarlijks gevoed wordt met ca. 206 x 10</w:t>
      </w:r>
      <w:r w:rsidRPr="00B412B3">
        <w:rPr>
          <w:vertAlign w:val="superscript"/>
          <w:lang w:val="nl-NL"/>
        </w:rPr>
        <w:t>6</w:t>
      </w:r>
      <w:r>
        <w:rPr>
          <w:lang w:val="nl-NL"/>
        </w:rPr>
        <w:t xml:space="preserve"> m³.  De door </w:t>
      </w:r>
      <w:r w:rsidR="00C325A0">
        <w:rPr>
          <w:lang w:val="nl-NL"/>
        </w:rPr>
        <w:fldChar w:fldCharType="begin"/>
      </w:r>
      <w:r>
        <w:rPr>
          <w:lang w:val="nl-NL"/>
        </w:rPr>
        <w:instrText xml:space="preserve"> klant </w:instrText>
      </w:r>
      <w:r w:rsidR="00C325A0">
        <w:rPr>
          <w:lang w:val="nl-NL"/>
        </w:rPr>
        <w:fldChar w:fldCharType="separate"/>
      </w:r>
      <w:r w:rsidR="008102D8">
        <w:t xml:space="preserve">Vopak Terminal Eurotank NV </w:t>
      </w:r>
      <w:r w:rsidR="00C325A0">
        <w:rPr>
          <w:lang w:val="nl-NL"/>
        </w:rPr>
        <w:fldChar w:fldCharType="end"/>
      </w:r>
      <w:r>
        <w:rPr>
          <w:lang w:val="nl-NL"/>
        </w:rPr>
        <w:t xml:space="preserve"> gecapteerde hoeveelheid dokwater is dan ook verwaarloosbaar t.o.v. dit voedingsdebiet.</w:t>
      </w:r>
    </w:p>
    <w:p w:rsidR="004560FE" w:rsidRDefault="00086536" w:rsidP="004F40A7">
      <w:pPr>
        <w:pStyle w:val="Heading3"/>
      </w:pPr>
      <w:bookmarkStart w:id="795" w:name="_Toc312069262"/>
      <w:r>
        <w:lastRenderedPageBreak/>
        <w:t>Geplande situatie</w:t>
      </w:r>
      <w:bookmarkEnd w:id="795"/>
    </w:p>
    <w:p w:rsidR="00630F76" w:rsidRDefault="00630F76" w:rsidP="004F40A7">
      <w:pPr>
        <w:pStyle w:val="Heading4"/>
      </w:pPr>
      <w:bookmarkStart w:id="796" w:name="_Toc312069263"/>
      <w:r>
        <w:t>Lozen van bedrijfsafvalwater</w:t>
      </w:r>
      <w:bookmarkEnd w:id="796"/>
    </w:p>
    <w:p w:rsidR="00630F76" w:rsidRDefault="00630F76" w:rsidP="004F40A7">
      <w:pPr>
        <w:pStyle w:val="Heading5"/>
      </w:pPr>
      <w:bookmarkStart w:id="797" w:name="_Toc312069264"/>
      <w:r>
        <w:t>Karakteristieken van het geloosde bedrijfsavalwater</w:t>
      </w:r>
      <w:bookmarkEnd w:id="797"/>
    </w:p>
    <w:p w:rsidR="00630F76" w:rsidRDefault="00630F76" w:rsidP="00AF3F9E">
      <w:pPr>
        <w:pStyle w:val="tit-5"/>
        <w:rPr>
          <w:lang w:val="nl-NL"/>
        </w:rPr>
      </w:pPr>
      <w:r>
        <w:rPr>
          <w:lang w:val="nl-NL"/>
        </w:rPr>
        <w:t>debiet</w:t>
      </w:r>
    </w:p>
    <w:p w:rsidR="00630F76" w:rsidRDefault="00630F76" w:rsidP="00AF3F9E">
      <w:pPr>
        <w:rPr>
          <w:lang w:val="nl-NL"/>
        </w:rPr>
      </w:pPr>
      <w:r>
        <w:rPr>
          <w:lang w:val="nl-NL"/>
        </w:rPr>
        <w:t>De in de toekomst voorziene wijzgingen zullen er toe leiden dat het debiet van het bedrijfsafvalwater zal toenemen:</w:t>
      </w:r>
    </w:p>
    <w:tbl>
      <w:tblPr>
        <w:tblStyle w:val="TableGrid"/>
        <w:tblW w:w="9747" w:type="dxa"/>
        <w:tblLook w:val="04A0"/>
      </w:tblPr>
      <w:tblGrid>
        <w:gridCol w:w="4503"/>
        <w:gridCol w:w="1588"/>
        <w:gridCol w:w="3656"/>
      </w:tblGrid>
      <w:tr w:rsidR="00665C79" w:rsidRPr="00CF5804" w:rsidTr="006625C8">
        <w:trPr>
          <w:cantSplit/>
          <w:tblHeader/>
        </w:trPr>
        <w:tc>
          <w:tcPr>
            <w:tcW w:w="4503" w:type="dxa"/>
            <w:shd w:val="clear" w:color="auto" w:fill="BFBFBF" w:themeFill="background1" w:themeFillShade="BF"/>
          </w:tcPr>
          <w:p w:rsidR="00665C79" w:rsidRPr="00CF5804" w:rsidRDefault="00CB3B91" w:rsidP="006625C8">
            <w:pPr>
              <w:jc w:val="center"/>
              <w:rPr>
                <w:sz w:val="18"/>
                <w:szCs w:val="18"/>
                <w:lang w:val="nl-NL"/>
              </w:rPr>
            </w:pPr>
            <w:r w:rsidRPr="00CB3B91">
              <w:rPr>
                <w:sz w:val="18"/>
                <w:szCs w:val="18"/>
                <w:lang w:val="nl-NL"/>
              </w:rPr>
              <w:t>Wijziging</w:t>
            </w:r>
          </w:p>
        </w:tc>
        <w:tc>
          <w:tcPr>
            <w:tcW w:w="1588" w:type="dxa"/>
            <w:shd w:val="clear" w:color="auto" w:fill="BFBFBF" w:themeFill="background1" w:themeFillShade="BF"/>
          </w:tcPr>
          <w:p w:rsidR="00665C79" w:rsidRPr="00CF5804" w:rsidRDefault="00CB3B91" w:rsidP="006625C8">
            <w:pPr>
              <w:jc w:val="center"/>
              <w:rPr>
                <w:sz w:val="18"/>
                <w:szCs w:val="18"/>
                <w:lang w:val="nl-NL"/>
              </w:rPr>
            </w:pPr>
            <w:r w:rsidRPr="00CB3B91">
              <w:rPr>
                <w:sz w:val="18"/>
                <w:szCs w:val="18"/>
                <w:lang w:val="nl-NL"/>
              </w:rPr>
              <w:t>Impact op debiet</w:t>
            </w:r>
          </w:p>
        </w:tc>
        <w:tc>
          <w:tcPr>
            <w:tcW w:w="3656" w:type="dxa"/>
            <w:shd w:val="clear" w:color="auto" w:fill="BFBFBF" w:themeFill="background1" w:themeFillShade="BF"/>
          </w:tcPr>
          <w:p w:rsidR="00665C79" w:rsidRPr="00CF5804" w:rsidRDefault="00CB3B91" w:rsidP="006625C8">
            <w:pPr>
              <w:jc w:val="center"/>
              <w:rPr>
                <w:sz w:val="18"/>
                <w:szCs w:val="18"/>
                <w:lang w:val="nl-NL"/>
              </w:rPr>
            </w:pPr>
            <w:r w:rsidRPr="00CB3B91">
              <w:rPr>
                <w:sz w:val="18"/>
                <w:szCs w:val="18"/>
                <w:lang w:val="nl-NL"/>
              </w:rPr>
              <w:t>Bepalingswijze impact debiet</w:t>
            </w:r>
          </w:p>
        </w:tc>
      </w:tr>
      <w:tr w:rsidR="00630F76" w:rsidRPr="00CF5804" w:rsidTr="005869B5">
        <w:tc>
          <w:tcPr>
            <w:tcW w:w="4503" w:type="dxa"/>
          </w:tcPr>
          <w:p w:rsidR="00630F76" w:rsidRPr="00CF5804" w:rsidRDefault="00CB3B91" w:rsidP="00AF3F9E">
            <w:pPr>
              <w:rPr>
                <w:sz w:val="18"/>
                <w:szCs w:val="18"/>
                <w:lang w:val="nl-NL"/>
              </w:rPr>
            </w:pPr>
            <w:r w:rsidRPr="00CB3B91">
              <w:rPr>
                <w:sz w:val="18"/>
                <w:szCs w:val="18"/>
                <w:lang w:val="nl-NL"/>
              </w:rPr>
              <w:t>Fase 1</w:t>
            </w:r>
          </w:p>
        </w:tc>
        <w:tc>
          <w:tcPr>
            <w:tcW w:w="1588" w:type="dxa"/>
          </w:tcPr>
          <w:p w:rsidR="00630F76" w:rsidRPr="00CF5804" w:rsidRDefault="00630F76" w:rsidP="00AF3F9E">
            <w:pPr>
              <w:rPr>
                <w:sz w:val="18"/>
                <w:szCs w:val="18"/>
                <w:lang w:val="nl-NL"/>
              </w:rPr>
            </w:pPr>
          </w:p>
        </w:tc>
        <w:tc>
          <w:tcPr>
            <w:tcW w:w="3656" w:type="dxa"/>
          </w:tcPr>
          <w:p w:rsidR="00630F76" w:rsidRPr="00CF5804" w:rsidRDefault="00630F76" w:rsidP="00AF3F9E">
            <w:pPr>
              <w:rPr>
                <w:sz w:val="18"/>
                <w:szCs w:val="18"/>
                <w:lang w:val="nl-NL"/>
              </w:rPr>
            </w:pPr>
          </w:p>
        </w:tc>
      </w:tr>
      <w:tr w:rsidR="00630F76" w:rsidRPr="00CF5804" w:rsidTr="005869B5">
        <w:tc>
          <w:tcPr>
            <w:tcW w:w="4503" w:type="dxa"/>
          </w:tcPr>
          <w:p w:rsidR="00630F76" w:rsidRPr="00CF5804" w:rsidRDefault="00CB3B91" w:rsidP="00AF3F9E">
            <w:pPr>
              <w:rPr>
                <w:sz w:val="18"/>
                <w:szCs w:val="18"/>
                <w:lang w:val="nl-NL"/>
              </w:rPr>
            </w:pPr>
            <w:r w:rsidRPr="00CB3B91">
              <w:rPr>
                <w:sz w:val="18"/>
                <w:szCs w:val="18"/>
                <w:lang w:val="nl-NL"/>
              </w:rPr>
              <w:t>Aanleg van ± 5.000 m² wegenis omheen de nieuwe tankenparken 850 en 900.</w:t>
            </w:r>
          </w:p>
          <w:p w:rsidR="00630F76" w:rsidRPr="00CF5804" w:rsidRDefault="00CB3B91" w:rsidP="00AF3F9E">
            <w:pPr>
              <w:rPr>
                <w:sz w:val="18"/>
                <w:szCs w:val="18"/>
                <w:lang w:val="nl-NL"/>
              </w:rPr>
            </w:pPr>
            <w:r w:rsidRPr="00CB3B91">
              <w:rPr>
                <w:sz w:val="18"/>
                <w:szCs w:val="18"/>
                <w:lang w:val="nl-NL"/>
              </w:rPr>
              <w:t>Wegenis watert - omwille van het potentieel verontreinigd karakter - rechtstreeks af naar de waterzuivering.</w:t>
            </w:r>
          </w:p>
        </w:tc>
        <w:tc>
          <w:tcPr>
            <w:tcW w:w="1588" w:type="dxa"/>
          </w:tcPr>
          <w:p w:rsidR="00630F76" w:rsidRPr="00CF5804" w:rsidRDefault="00CB3B91" w:rsidP="00AF3F9E">
            <w:pPr>
              <w:rPr>
                <w:sz w:val="18"/>
                <w:szCs w:val="18"/>
                <w:lang w:val="nl-NL"/>
              </w:rPr>
            </w:pPr>
            <w:r w:rsidRPr="00CB3B91">
              <w:rPr>
                <w:sz w:val="18"/>
                <w:szCs w:val="18"/>
                <w:lang w:val="nl-NL"/>
              </w:rPr>
              <w:t>+ 2.800 m³/j</w:t>
            </w:r>
          </w:p>
        </w:tc>
        <w:tc>
          <w:tcPr>
            <w:tcW w:w="3656" w:type="dxa"/>
          </w:tcPr>
          <w:p w:rsidR="005869B5" w:rsidRPr="00CF5804" w:rsidRDefault="00CB3B91" w:rsidP="00AF3F9E">
            <w:pPr>
              <w:rPr>
                <w:sz w:val="18"/>
                <w:szCs w:val="18"/>
                <w:lang w:val="nl-NL"/>
              </w:rPr>
            </w:pPr>
            <w:r w:rsidRPr="00CB3B91">
              <w:rPr>
                <w:sz w:val="18"/>
                <w:szCs w:val="18"/>
                <w:lang w:val="nl-NL"/>
              </w:rPr>
              <w:t>5.000 m² x 0,8 m³/m².jaar x 0,7</w:t>
            </w:r>
          </w:p>
          <w:p w:rsidR="005869B5" w:rsidRPr="00CF5804" w:rsidRDefault="00CB3B91" w:rsidP="00AF3F9E">
            <w:pPr>
              <w:rPr>
                <w:sz w:val="18"/>
                <w:szCs w:val="18"/>
                <w:lang w:val="nl-NL"/>
              </w:rPr>
            </w:pPr>
            <w:r w:rsidRPr="00CB3B91">
              <w:rPr>
                <w:sz w:val="18"/>
                <w:szCs w:val="18"/>
                <w:lang w:val="nl-NL"/>
              </w:rPr>
              <w:t>Waarbij:</w:t>
            </w:r>
          </w:p>
          <w:p w:rsidR="005869B5" w:rsidRPr="00CF5804" w:rsidRDefault="00CB3B91" w:rsidP="00AF3F9E">
            <w:pPr>
              <w:rPr>
                <w:sz w:val="18"/>
                <w:szCs w:val="18"/>
                <w:lang w:val="nl-NL"/>
              </w:rPr>
            </w:pPr>
            <w:r w:rsidRPr="00CB3B91">
              <w:rPr>
                <w:sz w:val="18"/>
                <w:szCs w:val="18"/>
                <w:lang w:val="nl-NL"/>
              </w:rPr>
              <w:t>0,8 =</w:t>
            </w:r>
            <w:r w:rsidRPr="00CB3B91">
              <w:rPr>
                <w:sz w:val="18"/>
                <w:szCs w:val="18"/>
                <w:lang w:val="nl-NL"/>
              </w:rPr>
              <w:tab/>
              <w:t xml:space="preserve"> gemiddelde neerslag / m² op jaarbasis</w:t>
            </w:r>
          </w:p>
          <w:p w:rsidR="00630F76" w:rsidRPr="00CF5804" w:rsidRDefault="00CB3B91" w:rsidP="00AF3F9E">
            <w:pPr>
              <w:rPr>
                <w:sz w:val="18"/>
                <w:szCs w:val="18"/>
                <w:lang w:val="nl-NL"/>
              </w:rPr>
            </w:pPr>
            <w:r w:rsidRPr="00CB3B91">
              <w:rPr>
                <w:sz w:val="18"/>
                <w:szCs w:val="18"/>
                <w:lang w:val="nl-NL"/>
              </w:rPr>
              <w:t xml:space="preserve">0,7 = </w:t>
            </w:r>
            <w:r w:rsidRPr="00CB3B91">
              <w:rPr>
                <w:sz w:val="18"/>
                <w:szCs w:val="18"/>
                <w:lang w:val="nl-NL"/>
              </w:rPr>
              <w:tab/>
              <w:t>reductiefactor gehanteerd voor de begroting van initiële verliezen (bevochtigings- en verdampingsverliezen en verliezen t.g.v. plasvorming)</w:t>
            </w:r>
          </w:p>
        </w:tc>
      </w:tr>
      <w:tr w:rsidR="005869B5" w:rsidRPr="00CF5804" w:rsidTr="005869B5">
        <w:tc>
          <w:tcPr>
            <w:tcW w:w="4503" w:type="dxa"/>
          </w:tcPr>
          <w:p w:rsidR="005869B5" w:rsidRPr="00CF5804" w:rsidRDefault="00CB3B91" w:rsidP="00AF3F9E">
            <w:pPr>
              <w:rPr>
                <w:sz w:val="18"/>
                <w:szCs w:val="18"/>
                <w:lang w:val="nl-NL"/>
              </w:rPr>
            </w:pPr>
            <w:r w:rsidRPr="00CB3B91">
              <w:rPr>
                <w:sz w:val="18"/>
                <w:szCs w:val="18"/>
                <w:lang w:val="nl-NL"/>
              </w:rPr>
              <w:t>Aanleg van (vloeistofdichte) tankenparken 900 (4.807 m²) en 850 (5.567 m²).</w:t>
            </w:r>
          </w:p>
          <w:p w:rsidR="005869B5" w:rsidRPr="00CF5804" w:rsidRDefault="00CB3B91" w:rsidP="00AF3F9E">
            <w:pPr>
              <w:rPr>
                <w:sz w:val="18"/>
                <w:szCs w:val="18"/>
                <w:lang w:val="nl-NL"/>
              </w:rPr>
            </w:pPr>
            <w:r w:rsidRPr="00CB3B91">
              <w:rPr>
                <w:sz w:val="18"/>
                <w:szCs w:val="18"/>
                <w:lang w:val="nl-NL"/>
              </w:rPr>
              <w:t>Hemelwater opgevangen binnen tankenparken wordt voor verpomping gecontroleerd op verontreiniging (bepaling pH en CZV-gehalte):</w:t>
            </w:r>
          </w:p>
          <w:p w:rsidR="005869B5" w:rsidRPr="00CF5804" w:rsidRDefault="00CB3B91" w:rsidP="00AF3F9E">
            <w:pPr>
              <w:rPr>
                <w:sz w:val="18"/>
                <w:szCs w:val="18"/>
                <w:lang w:val="nl-NL"/>
              </w:rPr>
            </w:pPr>
            <w:r w:rsidRPr="00CB3B91">
              <w:rPr>
                <w:sz w:val="18"/>
                <w:szCs w:val="18"/>
                <w:lang w:val="nl-NL"/>
              </w:rPr>
              <w:t xml:space="preserve">hemelwater verontreinigd </w:t>
            </w:r>
            <w:r w:rsidRPr="00CB3B91">
              <w:rPr>
                <w:sz w:val="18"/>
                <w:szCs w:val="18"/>
                <w:lang w:val="nl-NL"/>
              </w:rPr>
              <w:sym w:font="Symbol" w:char="F0DE"/>
            </w:r>
            <w:r w:rsidRPr="00CB3B91">
              <w:rPr>
                <w:sz w:val="18"/>
                <w:szCs w:val="18"/>
                <w:lang w:val="nl-NL"/>
              </w:rPr>
              <w:t xml:space="preserve"> verpomping naar bufferbekens WZI</w:t>
            </w:r>
          </w:p>
          <w:p w:rsidR="005869B5" w:rsidRPr="00CF5804" w:rsidRDefault="00CB3B91" w:rsidP="00AF3F9E">
            <w:pPr>
              <w:rPr>
                <w:sz w:val="18"/>
                <w:szCs w:val="18"/>
                <w:lang w:val="nl-NL"/>
              </w:rPr>
            </w:pPr>
            <w:r w:rsidRPr="00CB3B91">
              <w:rPr>
                <w:sz w:val="18"/>
                <w:szCs w:val="18"/>
                <w:lang w:val="nl-NL"/>
              </w:rPr>
              <w:t xml:space="preserve">hemelwater niet verontreinigd </w:t>
            </w:r>
            <w:r w:rsidRPr="00CB3B91">
              <w:rPr>
                <w:sz w:val="18"/>
                <w:szCs w:val="18"/>
                <w:lang w:val="nl-NL"/>
              </w:rPr>
              <w:sym w:font="Symbol" w:char="F0DE"/>
            </w:r>
            <w:r w:rsidRPr="00CB3B91">
              <w:rPr>
                <w:sz w:val="18"/>
                <w:szCs w:val="18"/>
                <w:lang w:val="nl-NL"/>
              </w:rPr>
              <w:t xml:space="preserve"> verpomping naar Industriedok</w:t>
            </w:r>
          </w:p>
        </w:tc>
        <w:tc>
          <w:tcPr>
            <w:tcW w:w="1588" w:type="dxa"/>
          </w:tcPr>
          <w:p w:rsidR="005869B5" w:rsidRPr="00CF5804" w:rsidRDefault="00CB3B91" w:rsidP="00AF3F9E">
            <w:pPr>
              <w:rPr>
                <w:sz w:val="18"/>
                <w:szCs w:val="18"/>
                <w:lang w:val="nl-NL"/>
              </w:rPr>
            </w:pPr>
            <w:r w:rsidRPr="00CB3B91">
              <w:rPr>
                <w:sz w:val="18"/>
                <w:szCs w:val="18"/>
                <w:lang w:val="nl-NL"/>
              </w:rPr>
              <w:t>+ 207 m³/j</w:t>
            </w:r>
          </w:p>
        </w:tc>
        <w:tc>
          <w:tcPr>
            <w:tcW w:w="3656" w:type="dxa"/>
          </w:tcPr>
          <w:p w:rsidR="005869B5" w:rsidRPr="00CF5804" w:rsidRDefault="00CB3B91" w:rsidP="00AF3F9E">
            <w:pPr>
              <w:rPr>
                <w:sz w:val="18"/>
                <w:szCs w:val="18"/>
                <w:lang w:val="nl-NL"/>
              </w:rPr>
            </w:pPr>
            <w:r w:rsidRPr="00CB3B91">
              <w:rPr>
                <w:sz w:val="18"/>
                <w:szCs w:val="18"/>
                <w:lang w:val="nl-NL"/>
              </w:rPr>
              <w:t>10.374 m² x 0,8 m³/m².jaar x 0,7 x 0.025</w:t>
            </w:r>
          </w:p>
          <w:p w:rsidR="005869B5" w:rsidRPr="00CF5804" w:rsidRDefault="00CB3B91" w:rsidP="00AF3F9E">
            <w:pPr>
              <w:rPr>
                <w:sz w:val="18"/>
                <w:szCs w:val="18"/>
                <w:lang w:val="nl-NL"/>
              </w:rPr>
            </w:pPr>
            <w:r w:rsidRPr="00CB3B91">
              <w:rPr>
                <w:sz w:val="18"/>
                <w:szCs w:val="18"/>
                <w:lang w:val="nl-NL"/>
              </w:rPr>
              <w:t>Waarbij:</w:t>
            </w:r>
          </w:p>
          <w:p w:rsidR="005869B5" w:rsidRPr="00CF5804" w:rsidRDefault="00CB3B91" w:rsidP="00AF3F9E">
            <w:pPr>
              <w:rPr>
                <w:sz w:val="18"/>
                <w:szCs w:val="18"/>
                <w:lang w:val="nl-NL"/>
              </w:rPr>
            </w:pPr>
            <w:r w:rsidRPr="00CB3B91">
              <w:rPr>
                <w:sz w:val="18"/>
                <w:szCs w:val="18"/>
                <w:lang w:val="nl-NL"/>
              </w:rPr>
              <w:t>0,8 =</w:t>
            </w:r>
            <w:r w:rsidRPr="00CB3B91">
              <w:rPr>
                <w:sz w:val="18"/>
                <w:szCs w:val="18"/>
                <w:lang w:val="nl-NL"/>
              </w:rPr>
              <w:tab/>
              <w:t xml:space="preserve"> gemiddelde neerslag / m² op jaarbasis</w:t>
            </w:r>
          </w:p>
          <w:p w:rsidR="005869B5" w:rsidRPr="00CF5804" w:rsidRDefault="00CB3B91" w:rsidP="00AF3F9E">
            <w:pPr>
              <w:rPr>
                <w:sz w:val="18"/>
                <w:szCs w:val="18"/>
                <w:lang w:val="nl-NL"/>
              </w:rPr>
            </w:pPr>
            <w:r w:rsidRPr="00CB3B91">
              <w:rPr>
                <w:sz w:val="18"/>
                <w:szCs w:val="18"/>
                <w:lang w:val="nl-NL"/>
              </w:rPr>
              <w:t xml:space="preserve">0,7 = </w:t>
            </w:r>
            <w:r w:rsidRPr="00CB3B91">
              <w:rPr>
                <w:sz w:val="18"/>
                <w:szCs w:val="18"/>
                <w:lang w:val="nl-NL"/>
              </w:rPr>
              <w:tab/>
              <w:t>reductiefactor gehanteerd voor de begroting van initiële verliezen (bevochtigings- en verdampingsverliezen en verliezen t.g.v. plasvorming)</w:t>
            </w:r>
          </w:p>
          <w:p w:rsidR="005869B5" w:rsidRPr="00CF5804" w:rsidRDefault="00CB3B91" w:rsidP="00AF3F9E">
            <w:pPr>
              <w:rPr>
                <w:sz w:val="18"/>
                <w:szCs w:val="18"/>
                <w:lang w:val="nl-NL"/>
              </w:rPr>
            </w:pPr>
            <w:r w:rsidRPr="00CB3B91">
              <w:rPr>
                <w:sz w:val="18"/>
                <w:szCs w:val="18"/>
                <w:lang w:val="nl-NL"/>
              </w:rPr>
              <w:t>0.025 = arbitrair gekozen waarde, waarbij verondersteld wordt dat 2,5% van al het hemelwater dat  terecht komt in de inkuipingen effectief als verontreinigd dient beschowd te worden. Meer gedetailleerde gegevens hieraangaande zijn niet ter beschikking.</w:t>
            </w:r>
          </w:p>
        </w:tc>
      </w:tr>
      <w:tr w:rsidR="005869B5" w:rsidRPr="00CF5804" w:rsidTr="005869B5">
        <w:tc>
          <w:tcPr>
            <w:tcW w:w="4503" w:type="dxa"/>
          </w:tcPr>
          <w:p w:rsidR="005869B5" w:rsidRPr="00CF5804" w:rsidRDefault="00CB3B91" w:rsidP="00AF3F9E">
            <w:pPr>
              <w:rPr>
                <w:sz w:val="18"/>
                <w:szCs w:val="18"/>
                <w:lang w:val="nl-NL"/>
              </w:rPr>
            </w:pPr>
            <w:r w:rsidRPr="00CB3B91">
              <w:rPr>
                <w:sz w:val="18"/>
                <w:szCs w:val="18"/>
                <w:lang w:val="nl-NL"/>
              </w:rPr>
              <w:t>Fase 2</w:t>
            </w:r>
          </w:p>
        </w:tc>
        <w:tc>
          <w:tcPr>
            <w:tcW w:w="1588" w:type="dxa"/>
          </w:tcPr>
          <w:p w:rsidR="005869B5" w:rsidRPr="00CF5804" w:rsidRDefault="005869B5" w:rsidP="00AF3F9E">
            <w:pPr>
              <w:rPr>
                <w:sz w:val="18"/>
                <w:szCs w:val="18"/>
                <w:lang w:val="nl-NL"/>
              </w:rPr>
            </w:pPr>
          </w:p>
        </w:tc>
        <w:tc>
          <w:tcPr>
            <w:tcW w:w="3656" w:type="dxa"/>
          </w:tcPr>
          <w:p w:rsidR="005869B5" w:rsidRPr="00CF5804" w:rsidRDefault="005869B5" w:rsidP="00AF3F9E">
            <w:pPr>
              <w:rPr>
                <w:sz w:val="18"/>
                <w:szCs w:val="18"/>
                <w:lang w:val="nl-NL"/>
              </w:rPr>
            </w:pPr>
          </w:p>
        </w:tc>
      </w:tr>
      <w:tr w:rsidR="005869B5" w:rsidRPr="00CF5804" w:rsidTr="005869B5">
        <w:tc>
          <w:tcPr>
            <w:tcW w:w="4503" w:type="dxa"/>
          </w:tcPr>
          <w:p w:rsidR="005869B5" w:rsidRPr="00CF5804" w:rsidRDefault="00CB3B91" w:rsidP="00AF3F9E">
            <w:pPr>
              <w:rPr>
                <w:sz w:val="18"/>
                <w:szCs w:val="18"/>
                <w:lang w:val="nl-NL"/>
              </w:rPr>
            </w:pPr>
            <w:r w:rsidRPr="00CB3B91">
              <w:rPr>
                <w:sz w:val="18"/>
                <w:szCs w:val="18"/>
                <w:lang w:val="nl-NL"/>
              </w:rPr>
              <w:t>Aanleg van (vloeistofdichte) tankenpark (2.031 m²) horende bij bestaande tankenpark 650.</w:t>
            </w:r>
          </w:p>
          <w:p w:rsidR="005869B5" w:rsidRPr="00CF5804" w:rsidRDefault="00CB3B91" w:rsidP="00AF3F9E">
            <w:pPr>
              <w:rPr>
                <w:sz w:val="18"/>
                <w:szCs w:val="18"/>
                <w:lang w:val="nl-NL"/>
              </w:rPr>
            </w:pPr>
            <w:r w:rsidRPr="00CB3B91">
              <w:rPr>
                <w:sz w:val="18"/>
                <w:szCs w:val="18"/>
                <w:lang w:val="nl-NL"/>
              </w:rPr>
              <w:t>Hemelwater opgevangen binnen tankenparken wordt voor verpomping gecontroleerd op verontreiniging (bepaling pH en CZV-gehalte):</w:t>
            </w:r>
          </w:p>
          <w:p w:rsidR="005869B5" w:rsidRPr="00CF5804" w:rsidRDefault="00CB3B91" w:rsidP="00AF3F9E">
            <w:pPr>
              <w:rPr>
                <w:sz w:val="18"/>
                <w:szCs w:val="18"/>
                <w:lang w:val="nl-NL"/>
              </w:rPr>
            </w:pPr>
            <w:r w:rsidRPr="00CB3B91">
              <w:rPr>
                <w:sz w:val="18"/>
                <w:szCs w:val="18"/>
                <w:lang w:val="nl-NL"/>
              </w:rPr>
              <w:t xml:space="preserve">hemelwater verontreinigd </w:t>
            </w:r>
            <w:r w:rsidRPr="00CB3B91">
              <w:rPr>
                <w:sz w:val="18"/>
                <w:szCs w:val="18"/>
                <w:lang w:val="nl-NL"/>
              </w:rPr>
              <w:sym w:font="Symbol" w:char="F0DE"/>
            </w:r>
            <w:r w:rsidRPr="00CB3B91">
              <w:rPr>
                <w:sz w:val="18"/>
                <w:szCs w:val="18"/>
                <w:lang w:val="nl-NL"/>
              </w:rPr>
              <w:t xml:space="preserve"> verpomping naar bufferbekens WZI</w:t>
            </w:r>
          </w:p>
          <w:p w:rsidR="005869B5" w:rsidRPr="00CF5804" w:rsidRDefault="00CB3B91" w:rsidP="00AF3F9E">
            <w:pPr>
              <w:rPr>
                <w:sz w:val="18"/>
                <w:szCs w:val="18"/>
                <w:lang w:val="nl-NL"/>
              </w:rPr>
            </w:pPr>
            <w:r w:rsidRPr="00CB3B91">
              <w:rPr>
                <w:sz w:val="18"/>
                <w:szCs w:val="18"/>
                <w:lang w:val="nl-NL"/>
              </w:rPr>
              <w:lastRenderedPageBreak/>
              <w:t xml:space="preserve">hemelwater niet verontreinigd </w:t>
            </w:r>
            <w:r w:rsidRPr="00CB3B91">
              <w:rPr>
                <w:sz w:val="18"/>
                <w:szCs w:val="18"/>
                <w:lang w:val="nl-NL"/>
              </w:rPr>
              <w:sym w:font="Symbol" w:char="F0DE"/>
            </w:r>
            <w:r w:rsidRPr="00CB3B91">
              <w:rPr>
                <w:sz w:val="18"/>
                <w:szCs w:val="18"/>
                <w:lang w:val="nl-NL"/>
              </w:rPr>
              <w:t xml:space="preserve"> verpomping naar Industriedok</w:t>
            </w:r>
          </w:p>
        </w:tc>
        <w:tc>
          <w:tcPr>
            <w:tcW w:w="1588" w:type="dxa"/>
          </w:tcPr>
          <w:p w:rsidR="005869B5" w:rsidRPr="00CF5804" w:rsidRDefault="00CB3B91" w:rsidP="00AF3F9E">
            <w:pPr>
              <w:rPr>
                <w:sz w:val="18"/>
                <w:szCs w:val="18"/>
                <w:lang w:val="nl-NL"/>
              </w:rPr>
            </w:pPr>
            <w:r w:rsidRPr="00CB3B91">
              <w:rPr>
                <w:sz w:val="18"/>
                <w:szCs w:val="18"/>
                <w:lang w:val="nl-NL"/>
              </w:rPr>
              <w:lastRenderedPageBreak/>
              <w:t>+ 28 m³/j</w:t>
            </w:r>
          </w:p>
        </w:tc>
        <w:tc>
          <w:tcPr>
            <w:tcW w:w="3656" w:type="dxa"/>
          </w:tcPr>
          <w:p w:rsidR="005869B5" w:rsidRPr="00CF5804" w:rsidRDefault="00CB3B91" w:rsidP="00AF3F9E">
            <w:pPr>
              <w:rPr>
                <w:sz w:val="18"/>
                <w:szCs w:val="18"/>
                <w:lang w:val="nl-NL"/>
              </w:rPr>
            </w:pPr>
            <w:r w:rsidRPr="00CB3B91">
              <w:rPr>
                <w:sz w:val="18"/>
                <w:szCs w:val="18"/>
                <w:lang w:val="nl-NL"/>
              </w:rPr>
              <w:t>2.031 m² x 0,8 m³/m².jaar x 0,7 x 0.025</w:t>
            </w:r>
          </w:p>
          <w:p w:rsidR="005869B5" w:rsidRPr="00CF5804" w:rsidRDefault="00CB3B91" w:rsidP="00AF3F9E">
            <w:pPr>
              <w:rPr>
                <w:sz w:val="18"/>
                <w:szCs w:val="18"/>
                <w:lang w:val="nl-NL"/>
              </w:rPr>
            </w:pPr>
            <w:r w:rsidRPr="00CB3B91">
              <w:rPr>
                <w:sz w:val="18"/>
                <w:szCs w:val="18"/>
                <w:lang w:val="nl-NL"/>
              </w:rPr>
              <w:t>(zie ook voorgaande berekening)</w:t>
            </w:r>
          </w:p>
        </w:tc>
      </w:tr>
    </w:tbl>
    <w:p w:rsidR="00665C79" w:rsidRDefault="00665C79" w:rsidP="00AF3F9E">
      <w:pPr>
        <w:rPr>
          <w:lang w:val="nl-NL"/>
        </w:rPr>
      </w:pPr>
      <w:r>
        <w:rPr>
          <w:lang w:val="nl-NL"/>
        </w:rPr>
        <w:lastRenderedPageBreak/>
        <w:t xml:space="preserve">Uit voorgaande blijkt </w:t>
      </w:r>
    </w:p>
    <w:p w:rsidR="00630F76" w:rsidRDefault="00665C79" w:rsidP="0090667C">
      <w:pPr>
        <w:pStyle w:val="ListParagraph"/>
        <w:numPr>
          <w:ilvl w:val="0"/>
          <w:numId w:val="96"/>
        </w:numPr>
        <w:rPr>
          <w:lang w:val="nl-NL"/>
        </w:rPr>
      </w:pPr>
      <w:r w:rsidRPr="00665C79">
        <w:rPr>
          <w:lang w:val="nl-NL"/>
        </w:rPr>
        <w:t>dat na realisatie van beide fases het debiet aan bedrijfsafvalwater met ca. 3.035 m³/j zal toenemen</w:t>
      </w:r>
      <w:r>
        <w:rPr>
          <w:lang w:val="nl-NL"/>
        </w:rPr>
        <w:t>;</w:t>
      </w:r>
    </w:p>
    <w:p w:rsidR="00665C79" w:rsidRDefault="00665C79" w:rsidP="0090667C">
      <w:pPr>
        <w:pStyle w:val="ListParagraph"/>
        <w:numPr>
          <w:ilvl w:val="0"/>
          <w:numId w:val="96"/>
        </w:numPr>
        <w:rPr>
          <w:lang w:val="nl-NL"/>
        </w:rPr>
      </w:pPr>
      <w:r>
        <w:rPr>
          <w:lang w:val="nl-NL"/>
        </w:rPr>
        <w:t>dat enkel de realisatie van fase 1 een relevante impact heeft op het debiet</w:t>
      </w:r>
      <w:r w:rsidR="002C7946">
        <w:rPr>
          <w:lang w:val="nl-NL"/>
        </w:rPr>
        <w:t>.</w:t>
      </w:r>
    </w:p>
    <w:p w:rsidR="002C7946" w:rsidRDefault="002C7946" w:rsidP="004F40A7">
      <w:pPr>
        <w:pStyle w:val="tit-5"/>
        <w:outlineLvl w:val="0"/>
        <w:rPr>
          <w:lang w:val="nl-NL"/>
        </w:rPr>
      </w:pPr>
      <w:r>
        <w:rPr>
          <w:lang w:val="nl-NL"/>
        </w:rPr>
        <w:t>samenstelling afvalwater</w:t>
      </w:r>
    </w:p>
    <w:p w:rsidR="00BF0897" w:rsidRDefault="002C7946" w:rsidP="00AF3F9E">
      <w:pPr>
        <w:rPr>
          <w:lang w:val="nl-NL"/>
        </w:rPr>
      </w:pPr>
      <w:r>
        <w:rPr>
          <w:lang w:val="nl-NL"/>
        </w:rPr>
        <w:t xml:space="preserve">Gezien het gegeven dat de in de toekomst de bijkomend gegenereerde afvalwaterstromen enkel bestaan uit (potentieel) verontreinigd hemelwater (m.a.w. afvalwaterstromen met een zeer lage verontreinigingsgraad) mag redelijkerwijs aangenomen worden dat de </w:t>
      </w:r>
      <w:r w:rsidR="00BF0897">
        <w:rPr>
          <w:lang w:val="nl-NL"/>
        </w:rPr>
        <w:t xml:space="preserve">(gemiddelde) </w:t>
      </w:r>
      <w:r>
        <w:rPr>
          <w:lang w:val="nl-NL"/>
        </w:rPr>
        <w:t>effluentconcentraties nauwelijks zullen verschillen van deze zoals gemeten voor de huidige situatie.</w:t>
      </w:r>
    </w:p>
    <w:p w:rsidR="002C7946" w:rsidRDefault="002C7946" w:rsidP="004F40A7">
      <w:pPr>
        <w:pStyle w:val="Heading5"/>
      </w:pPr>
      <w:bookmarkStart w:id="798" w:name="_Toc312069265"/>
      <w:r>
        <w:t>Beïnvloeding kwaliteit dokken</w:t>
      </w:r>
      <w:bookmarkEnd w:id="798"/>
    </w:p>
    <w:p w:rsidR="002C7946" w:rsidRDefault="00ED2193" w:rsidP="00AF3F9E">
      <w:pPr>
        <w:rPr>
          <w:lang w:val="nl-NL"/>
        </w:rPr>
      </w:pPr>
      <w:r>
        <w:rPr>
          <w:lang w:val="nl-NL"/>
        </w:rPr>
        <w:t xml:space="preserve">Een debietstoename van ongeveer 3.000 m³/j is verwaarloosbaar t.a.v. de ingeschatte doorstroomdebieten t.h.v. de verschillende dokken, wat er toe leidt dat de immissiebijdragen t.h.v. de verschillende beoordelingspunten – zoals berekend voor de referentiesituatie – </w:t>
      </w:r>
      <w:r w:rsidR="00D43FB4">
        <w:rPr>
          <w:lang w:val="nl-NL"/>
        </w:rPr>
        <w:t>slechts in verwaarloosbare mate zullen wijzigen</w:t>
      </w:r>
      <w:r>
        <w:rPr>
          <w:lang w:val="nl-NL"/>
        </w:rPr>
        <w:t>.</w:t>
      </w:r>
    </w:p>
    <w:p w:rsidR="0035528A" w:rsidRDefault="00ED2193" w:rsidP="00AF3F9E">
      <w:pPr>
        <w:rPr>
          <w:lang w:val="nl-NL"/>
        </w:rPr>
      </w:pPr>
      <w:r>
        <w:rPr>
          <w:lang w:val="nl-NL"/>
        </w:rPr>
        <w:t xml:space="preserve">Dit betekent </w:t>
      </w:r>
      <w:r w:rsidR="0035528A">
        <w:rPr>
          <w:lang w:val="nl-NL"/>
        </w:rPr>
        <w:t>dat de uitbreiding (1) geen aanleiding geeft tot een stijginging van de immissieconcentraties aan verontreinigingen in de dokken en (2) dat de immissiebijdragen</w:t>
      </w:r>
      <w:r w:rsidR="0035528A" w:rsidRPr="0035528A">
        <w:rPr>
          <w:lang w:val="nl-NL"/>
        </w:rPr>
        <w:t xml:space="preserve"> </w:t>
      </w:r>
      <w:r w:rsidR="0035528A">
        <w:rPr>
          <w:lang w:val="nl-NL"/>
        </w:rPr>
        <w:t xml:space="preserve">t.a.v. de </w:t>
      </w:r>
      <w:r w:rsidR="00060559">
        <w:rPr>
          <w:lang w:val="nl-NL"/>
        </w:rPr>
        <w:t>gehanteerde toetsingswaarden</w:t>
      </w:r>
      <w:r w:rsidR="0035528A">
        <w:rPr>
          <w:lang w:val="nl-NL"/>
        </w:rPr>
        <w:t xml:space="preserve"> en de huidige immissieconcentraties in de dokken, identiek zullen zijn aan diegene die berekend werden voor</w:t>
      </w:r>
      <w:r w:rsidR="00EA1653">
        <w:rPr>
          <w:lang w:val="nl-NL"/>
        </w:rPr>
        <w:t xml:space="preserve"> </w:t>
      </w:r>
      <w:r w:rsidR="0035528A">
        <w:rPr>
          <w:lang w:val="nl-NL"/>
        </w:rPr>
        <w:t>de referentiesiuatie</w:t>
      </w:r>
    </w:p>
    <w:p w:rsidR="00DD1863" w:rsidRDefault="00D41342">
      <w:pPr>
        <w:pStyle w:val="Heading5"/>
      </w:pPr>
      <w:bookmarkStart w:id="799" w:name="_Toc312069266"/>
      <w:r>
        <w:lastRenderedPageBreak/>
        <w:t>Significantiebeoordeling</w:t>
      </w:r>
      <w:bookmarkEnd w:id="799"/>
    </w:p>
    <w:p w:rsidR="00DD1863" w:rsidRDefault="00D41342">
      <w:pPr>
        <w:pStyle w:val="tit-5"/>
        <w:rPr>
          <w:lang w:val="nl-NL"/>
        </w:rPr>
      </w:pPr>
      <w:r>
        <w:rPr>
          <w:lang w:val="nl-NL"/>
        </w:rPr>
        <w:t>beoordelingskader</w:t>
      </w:r>
    </w:p>
    <w:p w:rsidR="00DD1863" w:rsidRDefault="00A570FD">
      <w:pPr>
        <w:pStyle w:val="normalkader"/>
        <w:rPr>
          <w:lang w:val="nl-NL"/>
        </w:rPr>
      </w:pPr>
      <w:r>
        <w:rPr>
          <w:lang w:val="nl-NL"/>
        </w:rPr>
        <w:t>Om de significantie van de impact van de lozing te duiden, is onderstaand beoordelingskader gehanteerd:</w:t>
      </w:r>
    </w:p>
    <w:tbl>
      <w:tblPr>
        <w:tblW w:w="6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579"/>
        <w:gridCol w:w="1365"/>
        <w:gridCol w:w="1054"/>
      </w:tblGrid>
      <w:tr w:rsidR="00A570FD" w:rsidTr="00A570FD">
        <w:tc>
          <w:tcPr>
            <w:tcW w:w="2660" w:type="dxa"/>
            <w:shd w:val="clear" w:color="auto" w:fill="FFFF99"/>
          </w:tcPr>
          <w:p w:rsidR="00617415" w:rsidRDefault="00A570FD">
            <w:pPr>
              <w:pStyle w:val="normaltabel"/>
              <w:keepNext/>
              <w:widowControl/>
            </w:pPr>
            <w:r w:rsidRPr="00B67839">
              <w:rPr>
                <w:b/>
              </w:rPr>
              <w:t>Totale</w:t>
            </w:r>
            <w:r>
              <w:t xml:space="preserve"> concentratieverhoging lozingen (X) vs toetsingswaarde</w:t>
            </w:r>
          </w:p>
        </w:tc>
        <w:tc>
          <w:tcPr>
            <w:tcW w:w="1579" w:type="dxa"/>
            <w:tcBorders>
              <w:bottom w:val="nil"/>
            </w:tcBorders>
            <w:shd w:val="clear" w:color="auto" w:fill="FFFF99"/>
          </w:tcPr>
          <w:p w:rsidR="00617415" w:rsidRDefault="00A570FD">
            <w:pPr>
              <w:pStyle w:val="normaltabel"/>
              <w:keepNext/>
              <w:widowControl/>
            </w:pPr>
            <w:r>
              <w:t>1% &lt; X ≤ 10%</w:t>
            </w:r>
          </w:p>
        </w:tc>
        <w:tc>
          <w:tcPr>
            <w:tcW w:w="1365" w:type="dxa"/>
            <w:tcBorders>
              <w:bottom w:val="nil"/>
            </w:tcBorders>
            <w:shd w:val="clear" w:color="auto" w:fill="FFFF99"/>
          </w:tcPr>
          <w:p w:rsidR="00617415" w:rsidRDefault="00A570FD">
            <w:pPr>
              <w:pStyle w:val="normaltabel"/>
              <w:keepNext/>
              <w:widowControl/>
            </w:pPr>
            <w:r>
              <w:t>10% &lt; X ≤ 20%</w:t>
            </w:r>
          </w:p>
        </w:tc>
        <w:tc>
          <w:tcPr>
            <w:tcW w:w="1054" w:type="dxa"/>
            <w:tcBorders>
              <w:bottom w:val="nil"/>
            </w:tcBorders>
            <w:shd w:val="clear" w:color="auto" w:fill="FFFF99"/>
          </w:tcPr>
          <w:p w:rsidR="00617415" w:rsidRDefault="00A570FD">
            <w:pPr>
              <w:pStyle w:val="normaltabel"/>
              <w:keepNext/>
              <w:widowControl/>
            </w:pPr>
            <w:r>
              <w:t>X &gt; 20%</w:t>
            </w:r>
          </w:p>
        </w:tc>
      </w:tr>
      <w:tr w:rsidR="00A570FD" w:rsidTr="00A570FD">
        <w:tc>
          <w:tcPr>
            <w:tcW w:w="2660" w:type="dxa"/>
            <w:shd w:val="clear" w:color="auto" w:fill="DBE5F1"/>
          </w:tcPr>
          <w:p w:rsidR="00617415" w:rsidRDefault="00A570FD">
            <w:pPr>
              <w:pStyle w:val="normaltabel"/>
              <w:keepNext/>
              <w:widowControl/>
            </w:pPr>
            <w:r>
              <w:t xml:space="preserve">Huidige, immissiekwaliteit (Y) vs </w:t>
            </w:r>
            <w:r>
              <w:cr/>
              <w:t>toetsingswaarde</w:t>
            </w:r>
          </w:p>
        </w:tc>
        <w:tc>
          <w:tcPr>
            <w:tcW w:w="1579" w:type="dxa"/>
            <w:tcBorders>
              <w:top w:val="nil"/>
            </w:tcBorders>
          </w:tcPr>
          <w:p w:rsidR="00617415" w:rsidRDefault="00617415">
            <w:pPr>
              <w:pStyle w:val="normaltabel"/>
              <w:keepNext/>
              <w:widowControl/>
            </w:pPr>
          </w:p>
        </w:tc>
        <w:tc>
          <w:tcPr>
            <w:tcW w:w="1365" w:type="dxa"/>
            <w:tcBorders>
              <w:top w:val="nil"/>
            </w:tcBorders>
          </w:tcPr>
          <w:p w:rsidR="00617415" w:rsidRDefault="00617415">
            <w:pPr>
              <w:pStyle w:val="normaltabel"/>
              <w:keepNext/>
              <w:widowControl/>
            </w:pPr>
          </w:p>
        </w:tc>
        <w:tc>
          <w:tcPr>
            <w:tcW w:w="1054" w:type="dxa"/>
            <w:tcBorders>
              <w:top w:val="nil"/>
            </w:tcBorders>
          </w:tcPr>
          <w:p w:rsidR="00617415" w:rsidRDefault="00617415">
            <w:pPr>
              <w:pStyle w:val="normaltabel"/>
              <w:keepNext/>
              <w:widowControl/>
            </w:pPr>
          </w:p>
        </w:tc>
      </w:tr>
      <w:tr w:rsidR="00A570FD" w:rsidTr="00A570FD">
        <w:tc>
          <w:tcPr>
            <w:tcW w:w="2660" w:type="dxa"/>
            <w:shd w:val="clear" w:color="auto" w:fill="DBE5F1"/>
          </w:tcPr>
          <w:p w:rsidR="00617415" w:rsidRDefault="00A570FD">
            <w:pPr>
              <w:pStyle w:val="normaltabel"/>
              <w:keepNext/>
              <w:widowControl/>
            </w:pPr>
            <w:r>
              <w:t>Y &lt; 50%</w:t>
            </w:r>
          </w:p>
        </w:tc>
        <w:tc>
          <w:tcPr>
            <w:tcW w:w="1579" w:type="dxa"/>
          </w:tcPr>
          <w:p w:rsidR="00617415" w:rsidRDefault="00A570FD">
            <w:pPr>
              <w:pStyle w:val="normaltabel"/>
              <w:keepNext/>
              <w:widowControl/>
            </w:pPr>
            <w:r>
              <w:t>-1</w:t>
            </w:r>
          </w:p>
        </w:tc>
        <w:tc>
          <w:tcPr>
            <w:tcW w:w="1365" w:type="dxa"/>
          </w:tcPr>
          <w:p w:rsidR="00617415" w:rsidRDefault="00A570FD">
            <w:pPr>
              <w:pStyle w:val="normaltabel"/>
              <w:keepNext/>
              <w:widowControl/>
            </w:pPr>
            <w:r>
              <w:t>-1</w:t>
            </w:r>
          </w:p>
        </w:tc>
        <w:tc>
          <w:tcPr>
            <w:tcW w:w="1054" w:type="dxa"/>
          </w:tcPr>
          <w:p w:rsidR="00617415" w:rsidRDefault="00A570FD">
            <w:pPr>
              <w:pStyle w:val="normaltabel"/>
              <w:keepNext/>
              <w:widowControl/>
            </w:pPr>
            <w:r>
              <w:t>-2</w:t>
            </w:r>
          </w:p>
        </w:tc>
      </w:tr>
      <w:tr w:rsidR="00A570FD" w:rsidTr="00A570FD">
        <w:tc>
          <w:tcPr>
            <w:tcW w:w="2660" w:type="dxa"/>
            <w:shd w:val="clear" w:color="auto" w:fill="DBE5F1"/>
          </w:tcPr>
          <w:p w:rsidR="00617415" w:rsidRDefault="00A570FD">
            <w:pPr>
              <w:pStyle w:val="normaltabel"/>
              <w:keepNext/>
              <w:widowControl/>
            </w:pPr>
            <w:r>
              <w:t>50% ≤ Y &lt; 75%</w:t>
            </w:r>
          </w:p>
        </w:tc>
        <w:tc>
          <w:tcPr>
            <w:tcW w:w="1579" w:type="dxa"/>
          </w:tcPr>
          <w:p w:rsidR="00617415" w:rsidRDefault="00A570FD">
            <w:pPr>
              <w:pStyle w:val="normaltabel"/>
              <w:keepNext/>
              <w:widowControl/>
            </w:pPr>
            <w:r>
              <w:t>-1</w:t>
            </w:r>
          </w:p>
        </w:tc>
        <w:tc>
          <w:tcPr>
            <w:tcW w:w="1365" w:type="dxa"/>
          </w:tcPr>
          <w:p w:rsidR="00617415" w:rsidRDefault="00A570FD">
            <w:pPr>
              <w:pStyle w:val="normaltabel"/>
              <w:keepNext/>
              <w:widowControl/>
            </w:pPr>
            <w:r>
              <w:t>-2</w:t>
            </w:r>
          </w:p>
        </w:tc>
        <w:tc>
          <w:tcPr>
            <w:tcW w:w="1054" w:type="dxa"/>
          </w:tcPr>
          <w:p w:rsidR="00617415" w:rsidRDefault="00A570FD">
            <w:pPr>
              <w:pStyle w:val="normaltabel"/>
              <w:keepNext/>
              <w:widowControl/>
            </w:pPr>
            <w:r>
              <w:t>-3</w:t>
            </w:r>
          </w:p>
        </w:tc>
      </w:tr>
      <w:tr w:rsidR="00A570FD" w:rsidTr="00A570FD">
        <w:tc>
          <w:tcPr>
            <w:tcW w:w="2660" w:type="dxa"/>
            <w:shd w:val="clear" w:color="auto" w:fill="DBE5F1"/>
          </w:tcPr>
          <w:p w:rsidR="00617415" w:rsidRDefault="00A570FD">
            <w:pPr>
              <w:pStyle w:val="normaltabel"/>
              <w:keepNext/>
              <w:widowControl/>
            </w:pPr>
            <w:r>
              <w:t>Y ≥ 75%</w:t>
            </w:r>
          </w:p>
        </w:tc>
        <w:tc>
          <w:tcPr>
            <w:tcW w:w="1579" w:type="dxa"/>
          </w:tcPr>
          <w:p w:rsidR="00617415" w:rsidRDefault="00A570FD">
            <w:pPr>
              <w:pStyle w:val="normaltabel"/>
              <w:keepNext/>
              <w:widowControl/>
            </w:pPr>
            <w:r>
              <w:t>-2</w:t>
            </w:r>
          </w:p>
        </w:tc>
        <w:tc>
          <w:tcPr>
            <w:tcW w:w="1365" w:type="dxa"/>
          </w:tcPr>
          <w:p w:rsidR="00617415" w:rsidRDefault="00A570FD">
            <w:pPr>
              <w:pStyle w:val="normaltabel"/>
              <w:keepNext/>
              <w:widowControl/>
            </w:pPr>
            <w:r>
              <w:t>-3</w:t>
            </w:r>
          </w:p>
        </w:tc>
        <w:tc>
          <w:tcPr>
            <w:tcW w:w="1054" w:type="dxa"/>
          </w:tcPr>
          <w:p w:rsidR="00617415" w:rsidRDefault="00A570FD">
            <w:pPr>
              <w:pStyle w:val="normaltabel"/>
              <w:keepNext/>
              <w:widowControl/>
            </w:pPr>
            <w:r>
              <w:t>-3</w:t>
            </w:r>
          </w:p>
        </w:tc>
      </w:tr>
    </w:tbl>
    <w:p w:rsidR="00617415" w:rsidRDefault="00A570FD">
      <w:pPr>
        <w:pStyle w:val="voetnoottabel"/>
        <w:keepNext/>
        <w:widowControl/>
      </w:pPr>
      <w:r>
        <w:t>-1: beperkte bijdrage / -2: relevante bijdrage / -3: belangrijke bijdrage</w:t>
      </w:r>
    </w:p>
    <w:p w:rsidR="00617415" w:rsidRDefault="00A570FD">
      <w:pPr>
        <w:pStyle w:val="voetnoottabel"/>
        <w:keepNext/>
        <w:widowControl/>
      </w:pPr>
      <w:r>
        <w:t>Y = gemiddelde immissiekwaliteit stroomopwaarts de lozing</w:t>
      </w:r>
    </w:p>
    <w:p w:rsidR="00617415" w:rsidRDefault="00A570FD">
      <w:pPr>
        <w:pStyle w:val="tsstekst"/>
        <w:keepNext/>
        <w:keepLines/>
      </w:pPr>
      <w:r>
        <w:rPr>
          <w:lang w:eastAsia="nl-NL"/>
        </w:rPr>
        <w:t xml:space="preserve">Bij bovenstaand kader dient opgemerkt te worden dat dit betrekking heeft op de </w:t>
      </w:r>
      <w:r w:rsidRPr="00AF3BF2">
        <w:rPr>
          <w:b/>
          <w:i/>
          <w:lang w:eastAsia="nl-NL"/>
        </w:rPr>
        <w:t>‘totale’</w:t>
      </w:r>
      <w:r>
        <w:rPr>
          <w:lang w:eastAsia="nl-NL"/>
        </w:rPr>
        <w:t xml:space="preserve"> impact in de geplande situatie en </w:t>
      </w:r>
      <w:r w:rsidRPr="00AF3BF2">
        <w:rPr>
          <w:b/>
          <w:lang w:eastAsia="nl-NL"/>
        </w:rPr>
        <w:t>niet</w:t>
      </w:r>
      <w:r>
        <w:rPr>
          <w:lang w:eastAsia="nl-NL"/>
        </w:rPr>
        <w:t xml:space="preserve"> enkel op de </w:t>
      </w:r>
      <w:r w:rsidRPr="00AF3BF2">
        <w:rPr>
          <w:b/>
          <w:i/>
          <w:lang w:eastAsia="nl-NL"/>
        </w:rPr>
        <w:t>‘bijkomende’</w:t>
      </w:r>
      <w:r>
        <w:rPr>
          <w:lang w:eastAsia="nl-NL"/>
        </w:rPr>
        <w:t xml:space="preserve"> impact t.g.v. de geplande wijzigingen. Dit verschil is immers belangrijk bij het vastleggen van de gradaties in significantie</w:t>
      </w:r>
      <w:r>
        <w:rPr>
          <w:lang w:eastAsia="nl-NL"/>
        </w:rPr>
        <w:softHyphen/>
        <w:t>beoordeling.</w:t>
      </w:r>
    </w:p>
    <w:p w:rsidR="00617415" w:rsidRDefault="00A570FD">
      <w:pPr>
        <w:pStyle w:val="tsstekst"/>
        <w:keepNext/>
        <w:keepLines/>
        <w:rPr>
          <w:lang w:eastAsia="nl-NL"/>
        </w:rPr>
      </w:pPr>
      <w:r>
        <w:rPr>
          <w:lang w:eastAsia="nl-NL"/>
        </w:rPr>
        <w:t>Het significantiekader verwijst naar de bijdrage tot de gehanteerde toetsingswaarden, m.a.w. de significantie van de lozing wordt bepaald door mate waarin de lozing al dan niet aanleiding kan geven tot het overschrijden van de toetsingswaarden.</w:t>
      </w:r>
    </w:p>
    <w:p w:rsidR="00617415" w:rsidRDefault="00A570FD">
      <w:pPr>
        <w:pStyle w:val="tsstekst"/>
        <w:keepNext/>
        <w:keepLines/>
        <w:rPr>
          <w:lang w:eastAsia="nl-NL"/>
        </w:rPr>
      </w:pPr>
      <w:r>
        <w:rPr>
          <w:lang w:eastAsia="nl-NL"/>
        </w:rPr>
        <w:t>Als algemene regel geldt dat een bijdrage van meer dan 10% minstens als relevant beoordeeld wordt, tenzij uit beschikbare gegevens blijkt dat de huidige immissieconcentratie lager is dan de helft van de toetsingswaarde. In dit geval wordt een bijdrage van meer dan 20% als relevant beoordeeld.</w:t>
      </w:r>
      <w:r>
        <w:rPr>
          <w:lang w:eastAsia="nl-NL"/>
        </w:rPr>
        <w:tab/>
      </w:r>
      <w:r>
        <w:rPr>
          <w:lang w:eastAsia="nl-NL"/>
        </w:rPr>
        <w:br/>
        <w:t>Bovenstaande benadering impliceert eveneens dat wanneer er voor een parameter geen gegevens m.b.t. de huidige immissieconcentratie gekend zijn, er automatisch beoordeeld wordt t.o.v. de 10% bijdrage.</w:t>
      </w:r>
    </w:p>
    <w:p w:rsidR="00617415" w:rsidRDefault="00A570FD">
      <w:pPr>
        <w:pStyle w:val="tsstekst"/>
        <w:keepNext/>
        <w:keepLines/>
        <w:rPr>
          <w:lang w:eastAsia="nl-NL"/>
        </w:rPr>
      </w:pPr>
      <w:r>
        <w:rPr>
          <w:lang w:eastAsia="nl-NL"/>
        </w:rPr>
        <w:t>Deze beoordelingsmethodiek laat afdoende toe om te oordelen of de totale in de toekomst geloosde vuilvrachten op zich al dan niet (mede) een potentieel knelpunt vormt m.b.t. het overschrijden van doelstelingen, wat het beoordelings</w:t>
      </w:r>
      <w:r>
        <w:rPr>
          <w:lang w:eastAsia="nl-NL"/>
        </w:rPr>
        <w:softHyphen/>
        <w:t>criterium blijft om aanvullende (milderende) maatregelen voor te stellen.</w:t>
      </w:r>
    </w:p>
    <w:p w:rsidR="00D41342" w:rsidRDefault="00D41342" w:rsidP="004F40A7">
      <w:pPr>
        <w:pStyle w:val="tit-5"/>
        <w:outlineLvl w:val="0"/>
        <w:rPr>
          <w:lang w:val="nl-NL"/>
        </w:rPr>
      </w:pPr>
      <w:r>
        <w:rPr>
          <w:lang w:val="nl-NL"/>
        </w:rPr>
        <w:t>beoordeling</w:t>
      </w:r>
    </w:p>
    <w:p w:rsidR="00D41342" w:rsidRDefault="00D41342" w:rsidP="00AF3F9E">
      <w:r>
        <w:t>Uit de beschrijving van de referentiesituatie is gebleken dat het geloosde bedrijfsafvalwater slechts een verwaarloosbare invloed heeft op de kwaliteit van de havendokke</w:t>
      </w:r>
      <w:r w:rsidRPr="009F48A5">
        <w:t xml:space="preserve">n </w:t>
      </w:r>
      <w:r w:rsidR="00CB3B91" w:rsidRPr="009F48A5">
        <w:t>(berekende bijdragen allen lager zijn dan 1</w:t>
      </w:r>
      <w:r w:rsidR="008D48F8" w:rsidRPr="009F48A5">
        <w:t xml:space="preserve">0 </w:t>
      </w:r>
      <w:r w:rsidR="00CB3B91" w:rsidRPr="009F48A5">
        <w:t>% van de gehanteerde toetsingswaarde).</w:t>
      </w:r>
      <w:r>
        <w:t xml:space="preserve"> </w:t>
      </w:r>
    </w:p>
    <w:p w:rsidR="00D41342" w:rsidRDefault="00D41342" w:rsidP="00AF3F9E">
      <w:r>
        <w:t>Gezien het gegeven dat in de toekomst de geloosde vuilvrachten slechts zeer beperkt zullen toenemen, blijft deze conclusie eveneens gelden voor de geplande situatie.</w:t>
      </w:r>
    </w:p>
    <w:p w:rsidR="00D41342" w:rsidRDefault="00D41342" w:rsidP="00AF3F9E">
      <w:r>
        <w:t>Dus ook voor de geplande situatie geldt de vaststelling dat het geloosde bedrijfsafvalwater geen aanleiding zal geven tot het overschrijden van milieukwaliteitsnormen of andere toetsingswaarden.</w:t>
      </w:r>
    </w:p>
    <w:p w:rsidR="00DD1863" w:rsidRDefault="00D41342">
      <w:pPr>
        <w:pStyle w:val="Heading5"/>
      </w:pPr>
      <w:bookmarkStart w:id="800" w:name="_Toc312069267"/>
      <w:r>
        <w:lastRenderedPageBreak/>
        <w:t>Evaluatie beoogde lozingsvoorwaarden</w:t>
      </w:r>
      <w:bookmarkEnd w:id="800"/>
    </w:p>
    <w:p w:rsidR="00DD1863" w:rsidRDefault="00D57C4D">
      <w:pPr>
        <w:pStyle w:val="tit-5"/>
        <w:rPr>
          <w:lang w:val="nl-NL"/>
        </w:rPr>
      </w:pPr>
      <w:r>
        <w:rPr>
          <w:lang w:val="nl-NL"/>
        </w:rPr>
        <w:t>inleiding</w:t>
      </w:r>
    </w:p>
    <w:p w:rsidR="00617415" w:rsidRDefault="006A61B2">
      <w:pPr>
        <w:keepNext/>
        <w:rPr>
          <w:lang w:val="nl-NL"/>
        </w:rPr>
      </w:pPr>
      <w:r>
        <w:rPr>
          <w:lang w:val="nl-NL"/>
        </w:rPr>
        <w:t xml:space="preserve">Typisch aan de activiteiten van </w:t>
      </w:r>
      <w:r w:rsidR="00C325A0">
        <w:rPr>
          <w:lang w:val="nl-NL"/>
        </w:rPr>
        <w:fldChar w:fldCharType="begin"/>
      </w:r>
      <w:r>
        <w:rPr>
          <w:lang w:val="nl-NL"/>
        </w:rPr>
        <w:instrText xml:space="preserve"> klant </w:instrText>
      </w:r>
      <w:r w:rsidR="00C325A0">
        <w:rPr>
          <w:lang w:val="nl-NL"/>
        </w:rPr>
        <w:fldChar w:fldCharType="separate"/>
      </w:r>
      <w:r w:rsidR="008102D8">
        <w:t xml:space="preserve">Vopak Terminal Eurotank NV </w:t>
      </w:r>
      <w:r w:rsidR="00C325A0">
        <w:rPr>
          <w:lang w:val="nl-NL"/>
        </w:rPr>
        <w:fldChar w:fldCharType="end"/>
      </w:r>
      <w:r>
        <w:rPr>
          <w:lang w:val="nl-NL"/>
        </w:rPr>
        <w:t xml:space="preserve"> is het feit dat effluentconcentraties gelieerd zijn aan de aard van de op- en overgeslagen stoffen</w:t>
      </w:r>
      <w:r w:rsidR="00D57C4D">
        <w:rPr>
          <w:lang w:val="nl-NL"/>
        </w:rPr>
        <w:t xml:space="preserve"> en m.a.w. aan schommelingen onderhevig zijn</w:t>
      </w:r>
      <w:r>
        <w:rPr>
          <w:lang w:val="nl-NL"/>
        </w:rPr>
        <w:t>.</w:t>
      </w:r>
      <w:r w:rsidR="00D57C4D">
        <w:rPr>
          <w:lang w:val="nl-NL"/>
        </w:rPr>
        <w:t xml:space="preserve"> Dit verband is voornamelijk van belang voor organische micro-verontreinigingen en nutriënten en in mindere mate ook voor algemeen verontreinigende parameters.</w:t>
      </w:r>
    </w:p>
    <w:p w:rsidR="00617415" w:rsidRDefault="00D27985">
      <w:pPr>
        <w:keepNext/>
        <w:rPr>
          <w:lang w:val="nl-NL"/>
        </w:rPr>
      </w:pPr>
      <w:r>
        <w:rPr>
          <w:lang w:val="nl-NL"/>
        </w:rPr>
        <w:t>Om dergelijke schommelingen te ondervangen zonder dat de flexibiliteit van de bedrijfsvoering</w:t>
      </w:r>
      <w:r w:rsidR="006A61B2">
        <w:rPr>
          <w:lang w:val="nl-NL"/>
        </w:rPr>
        <w:t xml:space="preserve"> </w:t>
      </w:r>
      <w:r>
        <w:rPr>
          <w:lang w:val="nl-NL"/>
        </w:rPr>
        <w:t xml:space="preserve">hierdoor in gedrang komt, zal </w:t>
      </w:r>
      <w:r w:rsidR="00C325A0">
        <w:rPr>
          <w:lang w:val="nl-NL"/>
        </w:rPr>
        <w:fldChar w:fldCharType="begin"/>
      </w:r>
      <w:r>
        <w:rPr>
          <w:lang w:val="nl-NL"/>
        </w:rPr>
        <w:instrText xml:space="preserve"> klant </w:instrText>
      </w:r>
      <w:r w:rsidR="00C325A0">
        <w:rPr>
          <w:lang w:val="nl-NL"/>
        </w:rPr>
        <w:fldChar w:fldCharType="separate"/>
      </w:r>
      <w:r w:rsidR="008102D8">
        <w:t xml:space="preserve">Vopak Terminal Eurotank NV </w:t>
      </w:r>
      <w:r w:rsidR="00C325A0">
        <w:rPr>
          <w:lang w:val="nl-NL"/>
        </w:rPr>
        <w:fldChar w:fldCharType="end"/>
      </w:r>
      <w:r>
        <w:rPr>
          <w:lang w:val="nl-NL"/>
        </w:rPr>
        <w:t xml:space="preserve"> via de milieuvergunningsaanvraag dan ook voor parameters </w:t>
      </w:r>
      <w:r>
        <w:t>in het afvalwater aanwezig kunnen</w:t>
      </w:r>
      <w:r w:rsidR="000170F4">
        <w:t xml:space="preserve"> zijn</w:t>
      </w:r>
      <w:r>
        <w:t xml:space="preserve">, </w:t>
      </w:r>
      <w:r>
        <w:rPr>
          <w:lang w:val="nl-NL"/>
        </w:rPr>
        <w:t>lozingsnormen aanvragen.</w:t>
      </w:r>
      <w:r>
        <w:rPr>
          <w:lang w:val="nl-NL"/>
        </w:rPr>
        <w:tab/>
      </w:r>
    </w:p>
    <w:p w:rsidR="001B3335" w:rsidRPr="00B3025A" w:rsidRDefault="00D27985" w:rsidP="00B3025A">
      <w:pPr>
        <w:rPr>
          <w:lang w:val="nl-NL"/>
        </w:rPr>
      </w:pPr>
      <w:r w:rsidRPr="00B3025A">
        <w:rPr>
          <w:lang w:val="nl-NL"/>
        </w:rPr>
        <w:t xml:space="preserve">Voor het vastleggen van de lozingsnormen heeft men zich </w:t>
      </w:r>
      <w:r w:rsidR="008D2AEF" w:rsidRPr="00B3025A">
        <w:rPr>
          <w:lang w:val="nl-NL"/>
        </w:rPr>
        <w:t>in eerste instantie</w:t>
      </w:r>
      <w:r w:rsidRPr="00B3025A">
        <w:rPr>
          <w:lang w:val="nl-NL"/>
        </w:rPr>
        <w:t xml:space="preserve"> gebaseerd op analysegegevens van </w:t>
      </w:r>
      <w:r w:rsidR="00C325A0" w:rsidRPr="00B3025A">
        <w:rPr>
          <w:lang w:val="nl-NL"/>
        </w:rPr>
        <w:fldChar w:fldCharType="begin"/>
      </w:r>
      <w:r w:rsidRPr="00B3025A">
        <w:rPr>
          <w:lang w:val="nl-NL"/>
        </w:rPr>
        <w:instrText xml:space="preserve"> klant </w:instrText>
      </w:r>
      <w:r w:rsidR="00C325A0" w:rsidRPr="00B3025A">
        <w:rPr>
          <w:lang w:val="nl-NL"/>
        </w:rPr>
        <w:fldChar w:fldCharType="separate"/>
      </w:r>
      <w:r w:rsidR="008102D8">
        <w:t xml:space="preserve">Vopak Terminal Eurotank NV </w:t>
      </w:r>
      <w:r w:rsidR="00C325A0" w:rsidRPr="00B3025A">
        <w:rPr>
          <w:lang w:val="nl-NL"/>
        </w:rPr>
        <w:fldChar w:fldCharType="end"/>
      </w:r>
      <w:r w:rsidR="008D2AEF" w:rsidRPr="00B3025A">
        <w:rPr>
          <w:lang w:val="nl-NL"/>
        </w:rPr>
        <w:t xml:space="preserve"> en in tweede instantie</w:t>
      </w:r>
      <w:r w:rsidRPr="00B3025A">
        <w:rPr>
          <w:lang w:val="nl-NL"/>
        </w:rPr>
        <w:t xml:space="preserve"> op analysegege</w:t>
      </w:r>
      <w:r w:rsidR="00EA67BC" w:rsidRPr="00B3025A">
        <w:rPr>
          <w:lang w:val="nl-NL"/>
        </w:rPr>
        <w:t xml:space="preserve">vens van andere VOPAK-terminals, </w:t>
      </w:r>
      <w:r w:rsidR="001B3335" w:rsidRPr="00B3025A">
        <w:rPr>
          <w:lang w:val="nl-NL"/>
        </w:rPr>
        <w:t>in het bijzonder</w:t>
      </w:r>
      <w:r w:rsidR="00EA67BC" w:rsidRPr="00B3025A">
        <w:rPr>
          <w:lang w:val="nl-NL"/>
        </w:rPr>
        <w:t xml:space="preserve"> </w:t>
      </w:r>
      <w:r w:rsidR="00EA67BC" w:rsidRPr="00B3025A">
        <w:t>Vopak Chemical Terminals Belgium – Vopak Terminal ACS</w:t>
      </w:r>
      <w:r w:rsidR="00CD0E03" w:rsidRPr="00B3025A">
        <w:t xml:space="preserve"> NV</w:t>
      </w:r>
      <w:r w:rsidR="001B3335" w:rsidRPr="00B3025A">
        <w:t xml:space="preserve"> (VTA). V</w:t>
      </w:r>
      <w:r w:rsidR="00EA67BC" w:rsidRPr="00B3025A">
        <w:t xml:space="preserve">oor deze terminal </w:t>
      </w:r>
      <w:r w:rsidR="001B3335" w:rsidRPr="00B3025A">
        <w:t xml:space="preserve">werd </w:t>
      </w:r>
      <w:r w:rsidR="00EA67BC" w:rsidRPr="00B3025A">
        <w:t xml:space="preserve">recent </w:t>
      </w:r>
      <w:r w:rsidR="00CD0E03" w:rsidRPr="00B3025A">
        <w:t xml:space="preserve">(2011) </w:t>
      </w:r>
      <w:r w:rsidR="00EA67BC" w:rsidRPr="00B3025A">
        <w:t xml:space="preserve">een anayse van de samenstelling van het afvalwater </w:t>
      </w:r>
      <w:r w:rsidR="001B3335" w:rsidRPr="00B3025A">
        <w:t>uitgevoerd</w:t>
      </w:r>
      <w:r w:rsidR="00EA67BC" w:rsidRPr="00B3025A">
        <w:t xml:space="preserve"> in het kader van een vergunningsaanvraag voor ee</w:t>
      </w:r>
      <w:r w:rsidR="00342625">
        <w:t>n nieuwe waterzuiveringsinstalla</w:t>
      </w:r>
      <w:r w:rsidR="00EA67BC" w:rsidRPr="00B3025A">
        <w:t>tie.</w:t>
      </w:r>
      <w:r w:rsidR="00342625">
        <w:t xml:space="preserve"> Gezien de gelijkaardi</w:t>
      </w:r>
      <w:r w:rsidR="00CD0E03" w:rsidRPr="00B3025A">
        <w:t xml:space="preserve">ge activiteiten zijn parameters die bij Vopak Terminal ACS NV gemeten worden mogelijk bij opslag van andere dan de actuele stoffen/producten ook te verwachten bij </w:t>
      </w:r>
      <w:r w:rsidR="00C325A0" w:rsidRPr="00B3025A">
        <w:rPr>
          <w:lang w:val="nl-NL"/>
        </w:rPr>
        <w:fldChar w:fldCharType="begin"/>
      </w:r>
      <w:r w:rsidR="00CD0E03" w:rsidRPr="00B3025A">
        <w:rPr>
          <w:lang w:val="nl-NL"/>
        </w:rPr>
        <w:instrText xml:space="preserve"> klant </w:instrText>
      </w:r>
      <w:r w:rsidR="00C325A0" w:rsidRPr="00B3025A">
        <w:rPr>
          <w:lang w:val="nl-NL"/>
        </w:rPr>
        <w:fldChar w:fldCharType="separate"/>
      </w:r>
      <w:r w:rsidR="008102D8">
        <w:t xml:space="preserve">Vopak Terminal Eurotank NV </w:t>
      </w:r>
      <w:r w:rsidR="00C325A0" w:rsidRPr="00B3025A">
        <w:rPr>
          <w:lang w:val="nl-NL"/>
        </w:rPr>
        <w:fldChar w:fldCharType="end"/>
      </w:r>
      <w:r w:rsidR="00CD0E03" w:rsidRPr="00B3025A">
        <w:rPr>
          <w:lang w:val="nl-NL"/>
        </w:rPr>
        <w:t>.</w:t>
      </w:r>
    </w:p>
    <w:p w:rsidR="00CD0E03" w:rsidRDefault="00CD0E03">
      <w:pPr>
        <w:keepNext/>
        <w:rPr>
          <w:sz w:val="18"/>
        </w:rPr>
      </w:pPr>
      <w:r w:rsidRPr="00342625">
        <w:rPr>
          <w:lang w:val="nl-NL"/>
        </w:rPr>
        <w:t xml:space="preserve">Analoog worden eveneens lozingsnormen voorgesteld voor enkele parameters die noch bij </w:t>
      </w:r>
      <w:r w:rsidRPr="00342625">
        <w:t xml:space="preserve">Vopak Terminal ACS NV noch bij </w:t>
      </w:r>
      <w:r w:rsidR="00C325A0" w:rsidRPr="00342625">
        <w:rPr>
          <w:lang w:val="nl-NL"/>
        </w:rPr>
        <w:fldChar w:fldCharType="begin"/>
      </w:r>
      <w:r w:rsidRPr="00342625">
        <w:rPr>
          <w:lang w:val="nl-NL"/>
        </w:rPr>
        <w:instrText xml:space="preserve"> klant </w:instrText>
      </w:r>
      <w:r w:rsidR="00C325A0" w:rsidRPr="00342625">
        <w:rPr>
          <w:lang w:val="nl-NL"/>
        </w:rPr>
        <w:fldChar w:fldCharType="separate"/>
      </w:r>
      <w:r w:rsidR="008102D8">
        <w:t xml:space="preserve">Vopak Terminal Eurotank NV </w:t>
      </w:r>
      <w:r w:rsidR="00C325A0" w:rsidRPr="00342625">
        <w:rPr>
          <w:lang w:val="nl-NL"/>
        </w:rPr>
        <w:fldChar w:fldCharType="end"/>
      </w:r>
      <w:r w:rsidRPr="00342625">
        <w:rPr>
          <w:lang w:val="nl-NL"/>
        </w:rPr>
        <w:t xml:space="preserve">worden gemeten. Het gaat in dit geval om stoffen waarvoor </w:t>
      </w:r>
      <w:r w:rsidR="00C325A0" w:rsidRPr="00342625">
        <w:rPr>
          <w:lang w:val="nl-NL"/>
        </w:rPr>
        <w:fldChar w:fldCharType="begin"/>
      </w:r>
      <w:r w:rsidRPr="00342625">
        <w:rPr>
          <w:lang w:val="nl-NL"/>
        </w:rPr>
        <w:instrText xml:space="preserve"> klant </w:instrText>
      </w:r>
      <w:r w:rsidR="00C325A0" w:rsidRPr="00342625">
        <w:rPr>
          <w:lang w:val="nl-NL"/>
        </w:rPr>
        <w:fldChar w:fldCharType="separate"/>
      </w:r>
      <w:r w:rsidR="008102D8">
        <w:t xml:space="preserve">Vopak Terminal Eurotank NV </w:t>
      </w:r>
      <w:r w:rsidR="00C325A0" w:rsidRPr="00342625">
        <w:rPr>
          <w:lang w:val="nl-NL"/>
        </w:rPr>
        <w:fldChar w:fldCharType="end"/>
      </w:r>
      <w:r w:rsidRPr="00342625">
        <w:rPr>
          <w:lang w:val="nl-NL"/>
        </w:rPr>
        <w:t>vergund is voor opslag van</w:t>
      </w:r>
      <w:r>
        <w:rPr>
          <w:lang w:val="nl-NL"/>
        </w:rPr>
        <w:t xml:space="preserve"> deze stoffen maar in de actuele situatie niet aanwezig zijn. </w:t>
      </w:r>
    </w:p>
    <w:p w:rsidR="00617415" w:rsidRPr="001B3335" w:rsidRDefault="008D2AEF">
      <w:pPr>
        <w:keepNext/>
        <w:rPr>
          <w:sz w:val="18"/>
        </w:rPr>
      </w:pPr>
      <w:r>
        <w:rPr>
          <w:lang w:val="nl-NL"/>
        </w:rPr>
        <w:t xml:space="preserve">Een overzicht van de door </w:t>
      </w:r>
      <w:r w:rsidR="00C325A0">
        <w:rPr>
          <w:lang w:val="nl-NL"/>
        </w:rPr>
        <w:fldChar w:fldCharType="begin"/>
      </w:r>
      <w:r>
        <w:rPr>
          <w:lang w:val="nl-NL"/>
        </w:rPr>
        <w:instrText xml:space="preserve"> klant </w:instrText>
      </w:r>
      <w:r w:rsidR="00C325A0">
        <w:rPr>
          <w:lang w:val="nl-NL"/>
        </w:rPr>
        <w:fldChar w:fldCharType="separate"/>
      </w:r>
      <w:r w:rsidR="008102D8">
        <w:t xml:space="preserve">Vopak Terminal Eurotank NV </w:t>
      </w:r>
      <w:r w:rsidR="00C325A0">
        <w:rPr>
          <w:lang w:val="nl-NL"/>
        </w:rPr>
        <w:fldChar w:fldCharType="end"/>
      </w:r>
      <w:r>
        <w:rPr>
          <w:lang w:val="nl-NL"/>
        </w:rPr>
        <w:t xml:space="preserve"> beoogde lozingsvoorwaarden is opgenomen in onderstaande tabel. Volledigheidshalve wordt hierbij nogmaals aangegeven dat voor die gevaarlijke stoffen welke opgenomen zijn in bijlage 2.3.1 van Vlarem II, maar </w:t>
      </w:r>
      <w:r w:rsidR="008327CD">
        <w:rPr>
          <w:lang w:val="nl-NL"/>
        </w:rPr>
        <w:t>die niet verme</w:t>
      </w:r>
      <w:r w:rsidR="00060559">
        <w:rPr>
          <w:lang w:val="nl-NL"/>
        </w:rPr>
        <w:t>l</w:t>
      </w:r>
      <w:r w:rsidR="008327CD">
        <w:rPr>
          <w:lang w:val="nl-NL"/>
        </w:rPr>
        <w:t>d zijn in onderstaande tabel</w:t>
      </w:r>
      <w:r>
        <w:rPr>
          <w:lang w:val="nl-NL"/>
        </w:rPr>
        <w:t>, het indelingscriterium gevaarlijke stoffen als lozingsnorm geldt.</w:t>
      </w:r>
    </w:p>
    <w:p w:rsidR="00DF272F" w:rsidRDefault="00DF272F" w:rsidP="00AF3F9E">
      <w:pPr>
        <w:rPr>
          <w:lang w:val="nl-NL"/>
        </w:rPr>
      </w:pPr>
    </w:p>
    <w:p w:rsidR="001B3335" w:rsidRDefault="001B3335">
      <w:pPr>
        <w:keepLines w:val="0"/>
        <w:spacing w:before="0" w:after="0" w:line="240" w:lineRule="auto"/>
        <w:jc w:val="left"/>
        <w:rPr>
          <w:b/>
          <w:sz w:val="18"/>
          <w:szCs w:val="18"/>
          <w:lang w:val="nl-NL"/>
        </w:rPr>
      </w:pPr>
      <w:r>
        <w:br w:type="page"/>
      </w:r>
    </w:p>
    <w:p w:rsidR="008D2AEF" w:rsidRDefault="008D2AEF" w:rsidP="00AF3F9E">
      <w:pPr>
        <w:pStyle w:val="tabel0"/>
      </w:pPr>
      <w:r>
        <w:lastRenderedPageBreak/>
        <w:t>Tabel</w:t>
      </w:r>
      <w:r w:rsidR="00301E20">
        <w:t xml:space="preserve"> </w:t>
      </w:r>
      <w:r w:rsidR="00C325A0">
        <w:fldChar w:fldCharType="begin"/>
      </w:r>
      <w:r w:rsidR="00301E20">
        <w:instrText xml:space="preserve"> REF t_water_lozingsvwdn \h </w:instrText>
      </w:r>
      <w:r w:rsidR="00C325A0">
        <w:fldChar w:fldCharType="separate"/>
      </w:r>
      <w:r w:rsidR="008102D8">
        <w:t>VIII.1.</w:t>
      </w:r>
      <w:r w:rsidR="008102D8">
        <w:rPr>
          <w:noProof/>
        </w:rPr>
        <w:t>3</w:t>
      </w:r>
      <w:r w:rsidR="00C325A0">
        <w:fldChar w:fldCharType="end"/>
      </w:r>
      <w:r>
        <w:tab/>
        <w:t>Overzicht beoogde lozings</w:t>
      </w:r>
      <w:r w:rsidR="0092383B">
        <w:t>voorwaarden</w:t>
      </w:r>
    </w:p>
    <w:tbl>
      <w:tblPr>
        <w:tblpPr w:leftFromText="141" w:rightFromText="141" w:vertAnchor="text" w:tblpY="1"/>
        <w:tblOverlap w:val="never"/>
        <w:tblW w:w="9104" w:type="dxa"/>
        <w:tblInd w:w="65" w:type="dxa"/>
        <w:tblLayout w:type="fixed"/>
        <w:tblCellMar>
          <w:left w:w="70" w:type="dxa"/>
          <w:right w:w="70" w:type="dxa"/>
        </w:tblCellMar>
        <w:tblLook w:val="04A0"/>
      </w:tblPr>
      <w:tblGrid>
        <w:gridCol w:w="2273"/>
        <w:gridCol w:w="851"/>
        <w:gridCol w:w="956"/>
        <w:gridCol w:w="887"/>
        <w:gridCol w:w="1027"/>
        <w:gridCol w:w="957"/>
        <w:gridCol w:w="2153"/>
      </w:tblGrid>
      <w:tr w:rsidR="00194E5A" w:rsidRPr="0010463D" w:rsidTr="00EA67BC">
        <w:trPr>
          <w:cantSplit/>
          <w:trHeight w:val="858"/>
        </w:trPr>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parameter</w:t>
            </w:r>
          </w:p>
        </w:tc>
        <w:tc>
          <w:tcPr>
            <w:tcW w:w="851" w:type="dxa"/>
            <w:tcBorders>
              <w:top w:val="single" w:sz="4" w:space="0" w:color="auto"/>
              <w:left w:val="single" w:sz="4" w:space="0" w:color="auto"/>
              <w:bottom w:val="single" w:sz="4" w:space="0" w:color="000000"/>
              <w:right w:val="single" w:sz="4" w:space="0" w:color="7F7F7F"/>
            </w:tcBorders>
            <w:shd w:val="clear" w:color="auto" w:fill="BFBFBF" w:themeFill="background1" w:themeFillShade="BF"/>
            <w:noWrap/>
            <w:vAlign w:val="center"/>
            <w:hideMark/>
          </w:tcPr>
          <w:p w:rsidR="00194E5A" w:rsidRPr="0010463D" w:rsidRDefault="00194E5A" w:rsidP="00EA67BC">
            <w:pPr>
              <w:jc w:val="center"/>
              <w:rPr>
                <w:sz w:val="18"/>
                <w:szCs w:val="18"/>
              </w:rPr>
            </w:pPr>
            <w:r w:rsidRPr="0010463D">
              <w:rPr>
                <w:sz w:val="18"/>
                <w:szCs w:val="18"/>
              </w:rPr>
              <w:t>eenheid</w:t>
            </w:r>
          </w:p>
        </w:tc>
        <w:tc>
          <w:tcPr>
            <w:tcW w:w="956" w:type="dxa"/>
            <w:tcBorders>
              <w:top w:val="single" w:sz="4" w:space="0" w:color="auto"/>
              <w:left w:val="single" w:sz="4" w:space="0" w:color="7F7F7F"/>
              <w:right w:val="single" w:sz="4" w:space="0" w:color="7F7F7F"/>
            </w:tcBorders>
            <w:shd w:val="clear" w:color="auto" w:fill="BFBFBF" w:themeFill="background1" w:themeFillShade="BF"/>
            <w:vAlign w:val="center"/>
          </w:tcPr>
          <w:p w:rsidR="00194E5A" w:rsidRPr="0010463D" w:rsidRDefault="00194E5A" w:rsidP="00EA67BC">
            <w:pPr>
              <w:jc w:val="center"/>
              <w:rPr>
                <w:sz w:val="18"/>
                <w:szCs w:val="18"/>
              </w:rPr>
            </w:pPr>
            <w:r w:rsidRPr="0010463D">
              <w:rPr>
                <w:sz w:val="18"/>
                <w:szCs w:val="18"/>
              </w:rPr>
              <w:t>Geldende norm</w:t>
            </w:r>
          </w:p>
        </w:tc>
        <w:tc>
          <w:tcPr>
            <w:tcW w:w="887" w:type="dxa"/>
            <w:tcBorders>
              <w:top w:val="single" w:sz="4" w:space="0" w:color="auto"/>
              <w:left w:val="single" w:sz="4" w:space="0" w:color="7F7F7F"/>
              <w:right w:val="single" w:sz="4" w:space="0" w:color="7F7F7F"/>
            </w:tcBorders>
            <w:shd w:val="clear" w:color="auto" w:fill="BFBFBF" w:themeFill="background1" w:themeFillShade="BF"/>
            <w:vAlign w:val="center"/>
          </w:tcPr>
          <w:p w:rsidR="00194E5A" w:rsidRPr="0010463D" w:rsidRDefault="00194E5A" w:rsidP="00EA67BC">
            <w:pPr>
              <w:jc w:val="center"/>
              <w:rPr>
                <w:sz w:val="18"/>
                <w:szCs w:val="18"/>
              </w:rPr>
            </w:pPr>
            <w:r w:rsidRPr="0010463D">
              <w:rPr>
                <w:sz w:val="18"/>
                <w:szCs w:val="18"/>
              </w:rPr>
              <w:t>Type norm</w:t>
            </w:r>
          </w:p>
        </w:tc>
        <w:tc>
          <w:tcPr>
            <w:tcW w:w="1027" w:type="dxa"/>
            <w:tcBorders>
              <w:top w:val="single" w:sz="4" w:space="0" w:color="auto"/>
              <w:left w:val="single" w:sz="4" w:space="0" w:color="7F7F7F"/>
              <w:bottom w:val="single" w:sz="4" w:space="0" w:color="000000"/>
              <w:right w:val="single" w:sz="4" w:space="0" w:color="7F7F7F"/>
            </w:tcBorders>
            <w:shd w:val="clear" w:color="auto" w:fill="BFBFBF" w:themeFill="background1" w:themeFillShade="BF"/>
            <w:noWrap/>
            <w:vAlign w:val="center"/>
            <w:hideMark/>
          </w:tcPr>
          <w:p w:rsidR="00194E5A" w:rsidRPr="0010463D" w:rsidRDefault="00194E5A" w:rsidP="00EA67BC">
            <w:pPr>
              <w:jc w:val="center"/>
              <w:rPr>
                <w:sz w:val="18"/>
                <w:szCs w:val="18"/>
              </w:rPr>
            </w:pPr>
            <w:r w:rsidRPr="0010463D">
              <w:rPr>
                <w:sz w:val="18"/>
                <w:szCs w:val="18"/>
              </w:rPr>
              <w:t>Aan</w:t>
            </w:r>
            <w:r w:rsidR="0010463D">
              <w:rPr>
                <w:sz w:val="18"/>
                <w:szCs w:val="18"/>
              </w:rPr>
              <w:t>-</w:t>
            </w:r>
            <w:r w:rsidRPr="0010463D">
              <w:rPr>
                <w:sz w:val="18"/>
                <w:szCs w:val="18"/>
              </w:rPr>
              <w:t>gevraagde norm</w:t>
            </w:r>
          </w:p>
        </w:tc>
        <w:tc>
          <w:tcPr>
            <w:tcW w:w="957" w:type="dxa"/>
            <w:tcBorders>
              <w:top w:val="single" w:sz="4" w:space="0" w:color="auto"/>
              <w:left w:val="single" w:sz="4" w:space="0" w:color="7F7F7F"/>
              <w:bottom w:val="single" w:sz="4" w:space="0" w:color="000000"/>
              <w:right w:val="single" w:sz="4" w:space="0" w:color="7F7F7F"/>
            </w:tcBorders>
            <w:shd w:val="clear" w:color="auto" w:fill="BFBFBF" w:themeFill="background1" w:themeFillShade="BF"/>
            <w:noWrap/>
            <w:vAlign w:val="center"/>
            <w:hideMark/>
          </w:tcPr>
          <w:p w:rsidR="00194E5A" w:rsidRPr="0010463D" w:rsidRDefault="00194E5A" w:rsidP="00EA67BC">
            <w:pPr>
              <w:jc w:val="center"/>
              <w:rPr>
                <w:sz w:val="18"/>
                <w:szCs w:val="18"/>
              </w:rPr>
            </w:pPr>
            <w:r w:rsidRPr="0010463D">
              <w:rPr>
                <w:sz w:val="18"/>
                <w:szCs w:val="18"/>
              </w:rPr>
              <w:t>type norm</w:t>
            </w:r>
          </w:p>
        </w:tc>
        <w:tc>
          <w:tcPr>
            <w:tcW w:w="2153" w:type="dxa"/>
            <w:tcBorders>
              <w:top w:val="single" w:sz="4" w:space="0" w:color="auto"/>
              <w:left w:val="single" w:sz="4" w:space="0" w:color="7F7F7F"/>
              <w:bottom w:val="single" w:sz="4" w:space="0" w:color="000000"/>
              <w:right w:val="single" w:sz="4" w:space="0" w:color="7F7F7F"/>
            </w:tcBorders>
            <w:shd w:val="clear" w:color="auto" w:fill="BFBFBF" w:themeFill="background1" w:themeFillShade="BF"/>
            <w:vAlign w:val="center"/>
          </w:tcPr>
          <w:p w:rsidR="00194E5A" w:rsidRPr="0010463D" w:rsidRDefault="00194E5A" w:rsidP="00193B40">
            <w:pPr>
              <w:jc w:val="center"/>
              <w:rPr>
                <w:sz w:val="18"/>
                <w:szCs w:val="18"/>
              </w:rPr>
            </w:pPr>
            <w:r w:rsidRPr="0010463D">
              <w:rPr>
                <w:sz w:val="18"/>
                <w:szCs w:val="18"/>
              </w:rPr>
              <w:t>Motivering</w:t>
            </w:r>
          </w:p>
        </w:tc>
      </w:tr>
      <w:tr w:rsidR="00194E5A" w:rsidRPr="0010463D" w:rsidTr="00EA67BC">
        <w:trPr>
          <w:cantSplit/>
          <w:trHeight w:val="225"/>
        </w:trPr>
        <w:tc>
          <w:tcPr>
            <w:tcW w:w="2273" w:type="dxa"/>
            <w:tcBorders>
              <w:top w:val="nil"/>
              <w:left w:val="single" w:sz="4" w:space="0" w:color="auto"/>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Algemene parameters</w:t>
            </w:r>
          </w:p>
        </w:tc>
        <w:tc>
          <w:tcPr>
            <w:tcW w:w="851" w:type="dxa"/>
            <w:tcBorders>
              <w:top w:val="single" w:sz="4" w:space="0" w:color="auto"/>
              <w:left w:val="nil"/>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956" w:type="dxa"/>
            <w:tcBorders>
              <w:top w:val="single" w:sz="4" w:space="0" w:color="auto"/>
              <w:left w:val="nil"/>
              <w:bottom w:val="single" w:sz="4" w:space="0" w:color="auto"/>
              <w:right w:val="nil"/>
            </w:tcBorders>
            <w:shd w:val="clear" w:color="auto" w:fill="BFBFBF" w:themeFill="background1" w:themeFillShade="BF"/>
            <w:vAlign w:val="center"/>
          </w:tcPr>
          <w:p w:rsidR="00194E5A" w:rsidRPr="0010463D" w:rsidRDefault="00194E5A" w:rsidP="00EA67BC">
            <w:pPr>
              <w:jc w:val="left"/>
              <w:rPr>
                <w:sz w:val="18"/>
                <w:szCs w:val="18"/>
              </w:rPr>
            </w:pPr>
          </w:p>
        </w:tc>
        <w:tc>
          <w:tcPr>
            <w:tcW w:w="887" w:type="dxa"/>
            <w:tcBorders>
              <w:top w:val="single" w:sz="4" w:space="0" w:color="auto"/>
              <w:left w:val="nil"/>
              <w:bottom w:val="single" w:sz="4" w:space="0" w:color="auto"/>
              <w:right w:val="nil"/>
            </w:tcBorders>
            <w:shd w:val="clear" w:color="auto" w:fill="BFBFBF" w:themeFill="background1" w:themeFillShade="BF"/>
            <w:vAlign w:val="center"/>
          </w:tcPr>
          <w:p w:rsidR="00194E5A" w:rsidRPr="0010463D" w:rsidRDefault="00194E5A" w:rsidP="00EA67BC">
            <w:pPr>
              <w:jc w:val="left"/>
              <w:rPr>
                <w:sz w:val="18"/>
                <w:szCs w:val="18"/>
              </w:rPr>
            </w:pPr>
          </w:p>
        </w:tc>
        <w:tc>
          <w:tcPr>
            <w:tcW w:w="1027" w:type="dxa"/>
            <w:tcBorders>
              <w:top w:val="single" w:sz="4" w:space="0" w:color="auto"/>
              <w:left w:val="nil"/>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95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2153" w:type="dxa"/>
            <w:tcBorders>
              <w:top w:val="single" w:sz="4" w:space="0" w:color="auto"/>
              <w:left w:val="nil"/>
              <w:bottom w:val="single" w:sz="4" w:space="0" w:color="auto"/>
              <w:right w:val="single" w:sz="4" w:space="0" w:color="auto"/>
            </w:tcBorders>
            <w:shd w:val="clear" w:color="auto" w:fill="BFBFBF" w:themeFill="background1" w:themeFillShade="BF"/>
          </w:tcPr>
          <w:p w:rsidR="00194E5A" w:rsidRPr="0010463D" w:rsidRDefault="00194E5A" w:rsidP="00193B40">
            <w:pPr>
              <w:jc w:val="center"/>
              <w:rPr>
                <w:sz w:val="18"/>
                <w:szCs w:val="18"/>
              </w:rPr>
            </w:pP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ZS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mg/l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120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BV/SV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120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BV/SV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193B40" w:rsidP="00193B40">
            <w:pPr>
              <w:jc w:val="center"/>
              <w:rPr>
                <w:sz w:val="18"/>
                <w:szCs w:val="18"/>
              </w:rPr>
            </w:pPr>
            <w:r w:rsidRPr="0010463D">
              <w:rPr>
                <w:sz w:val="18"/>
                <w:szCs w:val="18"/>
              </w:rPr>
              <w:t>Bestaande norm</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mg/l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0,5</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BV/SV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0,5</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BV/SV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193B40" w:rsidP="00193B40">
            <w:pPr>
              <w:jc w:val="center"/>
              <w:rPr>
                <w:sz w:val="18"/>
                <w:szCs w:val="18"/>
              </w:rPr>
            </w:pPr>
            <w:r w:rsidRPr="0010463D">
              <w:rPr>
                <w:sz w:val="18"/>
                <w:szCs w:val="18"/>
              </w:rPr>
              <w:t>Bestaande norm</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BZV</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mg/l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30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BV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30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193B40" w:rsidP="00193B40">
            <w:pPr>
              <w:jc w:val="center"/>
              <w:rPr>
                <w:sz w:val="18"/>
                <w:szCs w:val="18"/>
              </w:rPr>
            </w:pPr>
            <w:r w:rsidRPr="0010463D">
              <w:rPr>
                <w:sz w:val="18"/>
                <w:szCs w:val="18"/>
              </w:rPr>
              <w:t>Bestaande norm</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CZV</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mg/l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200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BV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200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193B40" w:rsidP="00193B40">
            <w:pPr>
              <w:jc w:val="center"/>
              <w:rPr>
                <w:sz w:val="18"/>
                <w:szCs w:val="18"/>
              </w:rPr>
            </w:pPr>
            <w:r w:rsidRPr="0010463D">
              <w:rPr>
                <w:sz w:val="18"/>
                <w:szCs w:val="18"/>
              </w:rPr>
              <w:t>Bestaande norm</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194E5A" w:rsidRPr="00971B3E" w:rsidRDefault="00194E5A" w:rsidP="00EA67BC">
            <w:pPr>
              <w:jc w:val="left"/>
              <w:rPr>
                <w:sz w:val="18"/>
                <w:szCs w:val="18"/>
              </w:rPr>
            </w:pPr>
            <w:r w:rsidRPr="00971B3E">
              <w:rPr>
                <w:sz w:val="18"/>
                <w:szCs w:val="18"/>
              </w:rPr>
              <w:t>nutriënten</w:t>
            </w:r>
          </w:p>
        </w:tc>
        <w:tc>
          <w:tcPr>
            <w:tcW w:w="851" w:type="dxa"/>
            <w:tcBorders>
              <w:top w:val="single" w:sz="4" w:space="0" w:color="auto"/>
              <w:left w:val="nil"/>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956" w:type="dxa"/>
            <w:tcBorders>
              <w:top w:val="single" w:sz="4" w:space="0" w:color="auto"/>
              <w:left w:val="nil"/>
              <w:bottom w:val="single" w:sz="4" w:space="0" w:color="auto"/>
              <w:right w:val="nil"/>
            </w:tcBorders>
            <w:shd w:val="clear" w:color="auto" w:fill="BFBFBF" w:themeFill="background1" w:themeFillShade="BF"/>
            <w:vAlign w:val="center"/>
          </w:tcPr>
          <w:p w:rsidR="00194E5A" w:rsidRPr="0010463D" w:rsidRDefault="00194E5A" w:rsidP="00EA67BC">
            <w:pPr>
              <w:jc w:val="left"/>
              <w:rPr>
                <w:sz w:val="18"/>
                <w:szCs w:val="18"/>
              </w:rPr>
            </w:pPr>
          </w:p>
        </w:tc>
        <w:tc>
          <w:tcPr>
            <w:tcW w:w="887" w:type="dxa"/>
            <w:tcBorders>
              <w:top w:val="single" w:sz="4" w:space="0" w:color="auto"/>
              <w:left w:val="nil"/>
              <w:bottom w:val="single" w:sz="4" w:space="0" w:color="auto"/>
              <w:right w:val="nil"/>
            </w:tcBorders>
            <w:shd w:val="clear" w:color="auto" w:fill="BFBFBF" w:themeFill="background1" w:themeFillShade="BF"/>
            <w:vAlign w:val="center"/>
          </w:tcPr>
          <w:p w:rsidR="00194E5A" w:rsidRPr="0010463D" w:rsidRDefault="00194E5A" w:rsidP="00EA67BC">
            <w:pPr>
              <w:jc w:val="left"/>
              <w:rPr>
                <w:sz w:val="18"/>
                <w:szCs w:val="18"/>
              </w:rPr>
            </w:pPr>
          </w:p>
        </w:tc>
        <w:tc>
          <w:tcPr>
            <w:tcW w:w="1027" w:type="dxa"/>
            <w:tcBorders>
              <w:top w:val="single" w:sz="4" w:space="0" w:color="auto"/>
              <w:left w:val="nil"/>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95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2153" w:type="dxa"/>
            <w:tcBorders>
              <w:top w:val="single" w:sz="4" w:space="0" w:color="auto"/>
              <w:left w:val="nil"/>
              <w:bottom w:val="single" w:sz="4" w:space="0" w:color="auto"/>
              <w:right w:val="single" w:sz="4" w:space="0" w:color="auto"/>
            </w:tcBorders>
            <w:shd w:val="clear" w:color="auto" w:fill="BFBFBF" w:themeFill="background1" w:themeFillShade="BF"/>
          </w:tcPr>
          <w:p w:rsidR="00194E5A" w:rsidRPr="0010463D" w:rsidRDefault="00194E5A" w:rsidP="00193B40">
            <w:pPr>
              <w:jc w:val="center"/>
              <w:rPr>
                <w:sz w:val="18"/>
                <w:szCs w:val="18"/>
              </w:rPr>
            </w:pP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Totaal 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mg/l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60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BV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60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193B40" w:rsidP="00193B40">
            <w:pPr>
              <w:jc w:val="center"/>
              <w:rPr>
                <w:sz w:val="18"/>
                <w:szCs w:val="18"/>
              </w:rPr>
            </w:pPr>
            <w:r w:rsidRPr="0010463D">
              <w:rPr>
                <w:sz w:val="18"/>
                <w:szCs w:val="18"/>
              </w:rPr>
              <w:t>Bestaande norm</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Nitriet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mg/l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0,2</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metingen VTA</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Totaal P</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mg/l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1</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BV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2</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193B40" w:rsidP="00193B40">
            <w:pPr>
              <w:jc w:val="center"/>
              <w:rPr>
                <w:sz w:val="18"/>
                <w:szCs w:val="18"/>
              </w:rPr>
            </w:pPr>
            <w:r w:rsidRPr="0010463D">
              <w:rPr>
                <w:sz w:val="18"/>
                <w:szCs w:val="18"/>
              </w:rPr>
              <w:t>Eigen metingen &gt; bestaande norm</w:t>
            </w:r>
            <w:r w:rsidR="00BD332B">
              <w:rPr>
                <w:rStyle w:val="FootnoteReference"/>
                <w:sz w:val="18"/>
                <w:szCs w:val="18"/>
              </w:rPr>
              <w:footnoteReference w:id="49"/>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194E5A" w:rsidRPr="00971B3E" w:rsidRDefault="00194E5A" w:rsidP="00EA67BC">
            <w:pPr>
              <w:jc w:val="left"/>
              <w:rPr>
                <w:sz w:val="18"/>
                <w:szCs w:val="18"/>
              </w:rPr>
            </w:pPr>
            <w:r w:rsidRPr="00971B3E">
              <w:rPr>
                <w:sz w:val="18"/>
                <w:szCs w:val="18"/>
              </w:rPr>
              <w:t>metalen</w:t>
            </w:r>
          </w:p>
        </w:tc>
        <w:tc>
          <w:tcPr>
            <w:tcW w:w="851" w:type="dxa"/>
            <w:tcBorders>
              <w:top w:val="single" w:sz="4" w:space="0" w:color="auto"/>
              <w:left w:val="nil"/>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956" w:type="dxa"/>
            <w:tcBorders>
              <w:top w:val="single" w:sz="4" w:space="0" w:color="auto"/>
              <w:left w:val="nil"/>
              <w:bottom w:val="single" w:sz="4" w:space="0" w:color="auto"/>
              <w:right w:val="nil"/>
            </w:tcBorders>
            <w:shd w:val="clear" w:color="auto" w:fill="BFBFBF" w:themeFill="background1" w:themeFillShade="BF"/>
            <w:vAlign w:val="center"/>
          </w:tcPr>
          <w:p w:rsidR="00194E5A" w:rsidRPr="0010463D" w:rsidRDefault="00194E5A" w:rsidP="00EA67BC">
            <w:pPr>
              <w:jc w:val="left"/>
              <w:rPr>
                <w:sz w:val="18"/>
                <w:szCs w:val="18"/>
              </w:rPr>
            </w:pPr>
          </w:p>
        </w:tc>
        <w:tc>
          <w:tcPr>
            <w:tcW w:w="887" w:type="dxa"/>
            <w:tcBorders>
              <w:top w:val="single" w:sz="4" w:space="0" w:color="auto"/>
              <w:left w:val="nil"/>
              <w:bottom w:val="single" w:sz="4" w:space="0" w:color="auto"/>
              <w:right w:val="nil"/>
            </w:tcBorders>
            <w:shd w:val="clear" w:color="auto" w:fill="BFBFBF" w:themeFill="background1" w:themeFillShade="BF"/>
            <w:vAlign w:val="center"/>
          </w:tcPr>
          <w:p w:rsidR="00194E5A" w:rsidRPr="0010463D" w:rsidRDefault="00194E5A" w:rsidP="00EA67BC">
            <w:pPr>
              <w:jc w:val="left"/>
              <w:rPr>
                <w:sz w:val="18"/>
                <w:szCs w:val="18"/>
              </w:rPr>
            </w:pPr>
          </w:p>
        </w:tc>
        <w:tc>
          <w:tcPr>
            <w:tcW w:w="1027" w:type="dxa"/>
            <w:tcBorders>
              <w:top w:val="single" w:sz="4" w:space="0" w:color="auto"/>
              <w:left w:val="nil"/>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95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2153" w:type="dxa"/>
            <w:tcBorders>
              <w:top w:val="single" w:sz="4" w:space="0" w:color="auto"/>
              <w:left w:val="nil"/>
              <w:bottom w:val="single" w:sz="4" w:space="0" w:color="auto"/>
              <w:right w:val="single" w:sz="4" w:space="0" w:color="auto"/>
            </w:tcBorders>
            <w:shd w:val="clear" w:color="auto" w:fill="BFBFBF" w:themeFill="background1" w:themeFillShade="BF"/>
          </w:tcPr>
          <w:p w:rsidR="00194E5A" w:rsidRPr="0010463D" w:rsidRDefault="00194E5A" w:rsidP="00193B40">
            <w:pPr>
              <w:jc w:val="center"/>
              <w:rPr>
                <w:sz w:val="18"/>
                <w:szCs w:val="18"/>
              </w:rPr>
            </w:pP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Aluminium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3B40" w:rsidP="00EA67BC">
            <w:pPr>
              <w:jc w:val="left"/>
              <w:rPr>
                <w:sz w:val="18"/>
                <w:szCs w:val="18"/>
              </w:rPr>
            </w:pPr>
            <w:r w:rsidRPr="0010463D">
              <w:rPr>
                <w:sz w:val="18"/>
                <w:szCs w:val="18"/>
              </w:rPr>
              <w:t>500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Arseen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5</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50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10463D" w:rsidP="00193B40">
            <w:pPr>
              <w:jc w:val="center"/>
              <w:rPr>
                <w:sz w:val="18"/>
                <w:szCs w:val="18"/>
              </w:rPr>
            </w:pPr>
            <w:r>
              <w:rPr>
                <w:sz w:val="18"/>
                <w:szCs w:val="18"/>
              </w:rPr>
              <w:t>Nieuwe norm obv metingen VTA</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Ijzer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2000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BV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5A2AB6" w:rsidP="00EA67BC">
            <w:pPr>
              <w:jc w:val="left"/>
              <w:rPr>
                <w:sz w:val="18"/>
                <w:szCs w:val="18"/>
              </w:rPr>
            </w:pPr>
            <w:r>
              <w:rPr>
                <w:sz w:val="18"/>
                <w:szCs w:val="18"/>
              </w:rPr>
              <w:t>6</w:t>
            </w:r>
            <w:r w:rsidR="00194E5A" w:rsidRPr="0010463D">
              <w:rPr>
                <w:sz w:val="18"/>
                <w:szCs w:val="18"/>
              </w:rPr>
              <w:t>000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5A2AB6" w:rsidP="00193B40">
            <w:pPr>
              <w:jc w:val="center"/>
              <w:rPr>
                <w:sz w:val="18"/>
                <w:szCs w:val="18"/>
              </w:rPr>
            </w:pPr>
            <w:r>
              <w:rPr>
                <w:sz w:val="18"/>
                <w:szCs w:val="18"/>
              </w:rPr>
              <w:t>Nieuwe norm obv metingen VTE</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Koper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50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200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10463D" w:rsidP="00193B40">
            <w:pPr>
              <w:jc w:val="center"/>
              <w:rPr>
                <w:sz w:val="18"/>
                <w:szCs w:val="18"/>
              </w:rPr>
            </w:pPr>
            <w:r>
              <w:rPr>
                <w:sz w:val="18"/>
                <w:szCs w:val="18"/>
              </w:rPr>
              <w:t>Nieuwe norm obv metingen VTA</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Lood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500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BV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200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Verlaging bestaande norm obv metingen VTA/VTE</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Mangaan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3B40" w:rsidP="00EA67BC">
            <w:pPr>
              <w:jc w:val="left"/>
              <w:rPr>
                <w:sz w:val="18"/>
                <w:szCs w:val="18"/>
              </w:rPr>
            </w:pPr>
            <w:r w:rsidRPr="0010463D">
              <w:rPr>
                <w:sz w:val="18"/>
                <w:szCs w:val="18"/>
              </w:rPr>
              <w:t>-</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3B40" w:rsidP="00EA67BC">
            <w:pPr>
              <w:jc w:val="left"/>
              <w:rPr>
                <w:sz w:val="18"/>
                <w:szCs w:val="18"/>
              </w:rPr>
            </w:pPr>
            <w:r w:rsidRPr="0010463D">
              <w:rPr>
                <w:sz w:val="18"/>
                <w:szCs w:val="18"/>
              </w:rPr>
              <w:t>-</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200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Nikkel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500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BV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200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10463D" w:rsidP="00193B40">
            <w:pPr>
              <w:jc w:val="center"/>
              <w:rPr>
                <w:sz w:val="18"/>
                <w:szCs w:val="18"/>
              </w:rPr>
            </w:pPr>
            <w:r>
              <w:rPr>
                <w:sz w:val="18"/>
                <w:szCs w:val="18"/>
              </w:rPr>
              <w:t xml:space="preserve">Verlaging bestaande norm obv metingen </w:t>
            </w:r>
            <w:r w:rsidR="00EA67BC">
              <w:rPr>
                <w:sz w:val="18"/>
                <w:szCs w:val="18"/>
              </w:rPr>
              <w:t>VTA/VTE</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Zink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2000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BV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2000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10463D" w:rsidP="00193B40">
            <w:pPr>
              <w:jc w:val="center"/>
              <w:rPr>
                <w:sz w:val="18"/>
                <w:szCs w:val="18"/>
              </w:rPr>
            </w:pPr>
            <w:r w:rsidRPr="0010463D">
              <w:rPr>
                <w:sz w:val="18"/>
                <w:szCs w:val="18"/>
              </w:rPr>
              <w:t>Bestaande norm</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94E5A" w:rsidRPr="00971B3E" w:rsidRDefault="00194E5A" w:rsidP="00EA67BC">
            <w:pPr>
              <w:jc w:val="left"/>
              <w:rPr>
                <w:sz w:val="18"/>
                <w:szCs w:val="18"/>
              </w:rPr>
            </w:pPr>
            <w:r w:rsidRPr="00971B3E">
              <w:rPr>
                <w:sz w:val="18"/>
                <w:szCs w:val="18"/>
              </w:rPr>
              <w:t>MAK’s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p>
        </w:tc>
        <w:tc>
          <w:tcPr>
            <w:tcW w:w="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4E5A" w:rsidRPr="0010463D" w:rsidRDefault="00194E5A" w:rsidP="00EA67BC">
            <w:pPr>
              <w:jc w:val="left"/>
              <w:rPr>
                <w:sz w:val="18"/>
                <w:szCs w:val="18"/>
              </w:rPr>
            </w:pPr>
          </w:p>
        </w:tc>
        <w:tc>
          <w:tcPr>
            <w:tcW w:w="8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4E5A" w:rsidRPr="0010463D" w:rsidRDefault="00194E5A" w:rsidP="00EA67BC">
            <w:pPr>
              <w:jc w:val="left"/>
              <w:rPr>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p>
        </w:tc>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4E5A" w:rsidRPr="0010463D" w:rsidRDefault="00194E5A" w:rsidP="00193B40">
            <w:pPr>
              <w:jc w:val="center"/>
              <w:rPr>
                <w:sz w:val="18"/>
                <w:szCs w:val="18"/>
              </w:rPr>
            </w:pP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Benzeen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20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vergunde producten</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lastRenderedPageBreak/>
              <w:t>Isopropylbenzeen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1</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10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vergunde producten</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Xyleen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4</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20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vergunde producten</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MAK’s (som)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30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BV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30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vergunde producten</w:t>
            </w:r>
          </w:p>
        </w:tc>
      </w:tr>
      <w:tr w:rsidR="00194E5A" w:rsidRPr="0010463D" w:rsidTr="00EA67BC">
        <w:trPr>
          <w:cantSplit/>
          <w:trHeight w:val="225"/>
        </w:trPr>
        <w:tc>
          <w:tcPr>
            <w:tcW w:w="2273" w:type="dxa"/>
            <w:tcBorders>
              <w:top w:val="single" w:sz="4" w:space="0" w:color="auto"/>
              <w:left w:val="single" w:sz="4" w:space="0" w:color="auto"/>
              <w:bottom w:val="single" w:sz="4" w:space="0" w:color="auto"/>
            </w:tcBorders>
            <w:shd w:val="clear" w:color="auto" w:fill="BFBFBF" w:themeFill="background1" w:themeFillShade="BF"/>
            <w:noWrap/>
            <w:vAlign w:val="center"/>
            <w:hideMark/>
          </w:tcPr>
          <w:p w:rsidR="00194E5A" w:rsidRPr="00971B3E" w:rsidRDefault="00194E5A" w:rsidP="00EA67BC">
            <w:pPr>
              <w:jc w:val="left"/>
              <w:rPr>
                <w:sz w:val="18"/>
                <w:szCs w:val="18"/>
              </w:rPr>
            </w:pPr>
            <w:r w:rsidRPr="00971B3E">
              <w:rPr>
                <w:sz w:val="18"/>
                <w:szCs w:val="18"/>
              </w:rPr>
              <w:t>PAK’s</w:t>
            </w:r>
          </w:p>
        </w:tc>
        <w:tc>
          <w:tcPr>
            <w:tcW w:w="851" w:type="dxa"/>
            <w:tcBorders>
              <w:top w:val="single" w:sz="4" w:space="0" w:color="auto"/>
              <w:bottom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p>
        </w:tc>
        <w:tc>
          <w:tcPr>
            <w:tcW w:w="956" w:type="dxa"/>
            <w:tcBorders>
              <w:top w:val="single" w:sz="4" w:space="0" w:color="auto"/>
              <w:bottom w:val="single" w:sz="4" w:space="0" w:color="auto"/>
            </w:tcBorders>
            <w:shd w:val="clear" w:color="auto" w:fill="BFBFBF" w:themeFill="background1" w:themeFillShade="BF"/>
            <w:vAlign w:val="center"/>
          </w:tcPr>
          <w:p w:rsidR="00194E5A" w:rsidRPr="0010463D" w:rsidRDefault="00194E5A" w:rsidP="00EA67BC">
            <w:pPr>
              <w:jc w:val="left"/>
              <w:rPr>
                <w:sz w:val="18"/>
                <w:szCs w:val="18"/>
              </w:rPr>
            </w:pPr>
          </w:p>
        </w:tc>
        <w:tc>
          <w:tcPr>
            <w:tcW w:w="887" w:type="dxa"/>
            <w:tcBorders>
              <w:top w:val="single" w:sz="4" w:space="0" w:color="auto"/>
              <w:bottom w:val="single" w:sz="4" w:space="0" w:color="auto"/>
            </w:tcBorders>
            <w:shd w:val="clear" w:color="auto" w:fill="BFBFBF" w:themeFill="background1" w:themeFillShade="BF"/>
            <w:vAlign w:val="center"/>
          </w:tcPr>
          <w:p w:rsidR="00194E5A" w:rsidRPr="0010463D" w:rsidRDefault="00194E5A" w:rsidP="00EA67BC">
            <w:pPr>
              <w:jc w:val="left"/>
              <w:rPr>
                <w:sz w:val="18"/>
                <w:szCs w:val="18"/>
              </w:rPr>
            </w:pPr>
          </w:p>
        </w:tc>
        <w:tc>
          <w:tcPr>
            <w:tcW w:w="1027" w:type="dxa"/>
            <w:tcBorders>
              <w:top w:val="single" w:sz="4" w:space="0" w:color="auto"/>
              <w:bottom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p>
        </w:tc>
        <w:tc>
          <w:tcPr>
            <w:tcW w:w="957" w:type="dxa"/>
            <w:tcBorders>
              <w:top w:val="single" w:sz="4" w:space="0" w:color="auto"/>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p>
        </w:tc>
        <w:tc>
          <w:tcPr>
            <w:tcW w:w="2153" w:type="dxa"/>
            <w:tcBorders>
              <w:top w:val="single" w:sz="4" w:space="0" w:color="auto"/>
              <w:bottom w:val="single" w:sz="4" w:space="0" w:color="auto"/>
              <w:right w:val="single" w:sz="4" w:space="0" w:color="auto"/>
            </w:tcBorders>
            <w:shd w:val="clear" w:color="auto" w:fill="BFBFBF" w:themeFill="background1" w:themeFillShade="BF"/>
          </w:tcPr>
          <w:p w:rsidR="00194E5A" w:rsidRPr="0010463D" w:rsidRDefault="00194E5A" w:rsidP="00193B40">
            <w:pPr>
              <w:jc w:val="center"/>
              <w:rPr>
                <w:sz w:val="18"/>
                <w:szCs w:val="18"/>
              </w:rPr>
            </w:pP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Acenafteen</w:t>
            </w:r>
            <w:r w:rsidRPr="00971B3E" w:rsidDel="00DF272F">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r w:rsidRPr="0010463D" w:rsidDel="00DF272F">
              <w:rPr>
                <w:sz w:val="18"/>
                <w:szCs w:val="18"/>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0,06</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3B40" w:rsidP="00EA67BC">
            <w:pPr>
              <w:jc w:val="left"/>
              <w:rPr>
                <w:sz w:val="18"/>
                <w:szCs w:val="18"/>
              </w:rPr>
            </w:pPr>
            <w:r w:rsidRPr="0010463D">
              <w:rPr>
                <w:sz w:val="18"/>
                <w:szCs w:val="18"/>
              </w:rPr>
              <w:t>0,6</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metingen VTE</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Fenanthreen</w:t>
            </w:r>
            <w:r w:rsidRPr="00971B3E" w:rsidDel="00DF272F">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0,1</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3B40" w:rsidP="00EA67BC">
            <w:pPr>
              <w:jc w:val="left"/>
              <w:rPr>
                <w:sz w:val="18"/>
                <w:szCs w:val="18"/>
              </w:rPr>
            </w:pPr>
            <w:r w:rsidRPr="0010463D">
              <w:rPr>
                <w:sz w:val="18"/>
                <w:szCs w:val="18"/>
              </w:rPr>
              <w:t>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metingen VTE</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Fluorantheen</w:t>
            </w:r>
            <w:r w:rsidRPr="00971B3E" w:rsidDel="00DF272F">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0,1</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0,</w:t>
            </w:r>
            <w:r w:rsidR="00193B40" w:rsidRPr="0010463D">
              <w:rPr>
                <w:sz w:val="18"/>
                <w:szCs w:val="18"/>
              </w:rPr>
              <w:t>5</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metingen VTE</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Naftaleen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9F69FF" w:rsidP="00EA67BC">
            <w:pPr>
              <w:jc w:val="left"/>
              <w:rPr>
                <w:sz w:val="18"/>
                <w:szCs w:val="18"/>
              </w:rPr>
            </w:pPr>
            <w:r w:rsidRPr="0010463D">
              <w:rPr>
                <w:sz w:val="18"/>
                <w:szCs w:val="18"/>
              </w:rPr>
              <w:t>2</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5</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metingen VTA</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Pyreen</w:t>
            </w:r>
            <w:r w:rsidRPr="00971B3E" w:rsidDel="00DF272F">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0,04</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0,</w:t>
            </w:r>
            <w:r w:rsidR="00193B40" w:rsidRPr="0010463D">
              <w:rPr>
                <w:sz w:val="18"/>
                <w:szCs w:val="18"/>
              </w:rPr>
              <w:t>2</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metingen VTE</w:t>
            </w:r>
          </w:p>
        </w:tc>
      </w:tr>
      <w:tr w:rsidR="009F69FF"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971B3E" w:rsidRDefault="009F69FF" w:rsidP="00EA67BC">
            <w:pPr>
              <w:jc w:val="left"/>
              <w:rPr>
                <w:sz w:val="18"/>
                <w:szCs w:val="18"/>
              </w:rPr>
            </w:pPr>
            <w:r w:rsidRPr="00971B3E">
              <w:rPr>
                <w:sz w:val="18"/>
                <w:szCs w:val="18"/>
              </w:rPr>
              <w:t>Benzo(b)fluorantheen</w:t>
            </w:r>
            <w:r w:rsidRPr="00971B3E" w:rsidDel="00EE46A7">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10463D" w:rsidRDefault="009F69FF" w:rsidP="00EA67BC">
            <w:pPr>
              <w:jc w:val="left"/>
              <w:rPr>
                <w:sz w:val="18"/>
                <w:szCs w:val="18"/>
              </w:rPr>
            </w:pPr>
            <w:r w:rsidRPr="0010463D">
              <w:rPr>
                <w:sz w:val="18"/>
                <w:szCs w:val="18"/>
              </w:rPr>
              <w:t>µg/l</w:t>
            </w:r>
            <w:r w:rsidRPr="0010463D" w:rsidDel="00EE46A7">
              <w:rPr>
                <w:sz w:val="18"/>
                <w:szCs w:val="18"/>
              </w:rPr>
              <w:t xml:space="preserve"> </w:t>
            </w:r>
          </w:p>
        </w:tc>
        <w:tc>
          <w:tcPr>
            <w:tcW w:w="956" w:type="dxa"/>
            <w:vMerge w:val="restart"/>
            <w:tcBorders>
              <w:top w:val="single" w:sz="4" w:space="0" w:color="auto"/>
              <w:left w:val="single" w:sz="4" w:space="0" w:color="auto"/>
              <w:right w:val="single" w:sz="4" w:space="0" w:color="auto"/>
            </w:tcBorders>
            <w:vAlign w:val="center"/>
          </w:tcPr>
          <w:p w:rsidR="009F69FF" w:rsidRPr="0010463D" w:rsidRDefault="00D46DC8" w:rsidP="00EA67BC">
            <w:pPr>
              <w:jc w:val="left"/>
              <w:rPr>
                <w:sz w:val="18"/>
                <w:szCs w:val="18"/>
              </w:rPr>
            </w:pPr>
            <w:r w:rsidRPr="0010463D">
              <w:rPr>
                <w:sz w:val="18"/>
                <w:szCs w:val="18"/>
              </w:rPr>
              <w:t>0,03</w:t>
            </w:r>
          </w:p>
        </w:tc>
        <w:tc>
          <w:tcPr>
            <w:tcW w:w="887" w:type="dxa"/>
            <w:vMerge w:val="restart"/>
            <w:tcBorders>
              <w:top w:val="single" w:sz="4" w:space="0" w:color="auto"/>
              <w:left w:val="single" w:sz="4" w:space="0" w:color="auto"/>
              <w:right w:val="single" w:sz="4" w:space="0" w:color="auto"/>
            </w:tcBorders>
            <w:vAlign w:val="center"/>
          </w:tcPr>
          <w:p w:rsidR="009F69FF" w:rsidRPr="0010463D" w:rsidRDefault="00D46DC8" w:rsidP="00EA67BC">
            <w:pPr>
              <w:jc w:val="left"/>
              <w:rPr>
                <w:sz w:val="18"/>
                <w:szCs w:val="18"/>
              </w:rPr>
            </w:pPr>
            <w:r w:rsidRPr="0010463D">
              <w:rPr>
                <w:sz w:val="18"/>
                <w:szCs w:val="18"/>
              </w:rPr>
              <w:t>GS</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10463D" w:rsidRDefault="00193B40" w:rsidP="00EA67BC">
            <w:pPr>
              <w:jc w:val="left"/>
              <w:rPr>
                <w:sz w:val="18"/>
                <w:szCs w:val="18"/>
              </w:rPr>
            </w:pPr>
            <w:r w:rsidRPr="0010463D">
              <w:rPr>
                <w:sz w:val="18"/>
                <w:szCs w:val="18"/>
              </w:rPr>
              <w:t>0,</w:t>
            </w:r>
            <w:r w:rsidR="004F1A14">
              <w:rPr>
                <w:sz w:val="18"/>
                <w:szCs w:val="18"/>
              </w:rPr>
              <w:t>3</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10463D" w:rsidRDefault="009F69FF" w:rsidP="00EA67BC">
            <w:pPr>
              <w:jc w:val="left"/>
              <w:rPr>
                <w:sz w:val="18"/>
                <w:szCs w:val="18"/>
              </w:rPr>
            </w:pPr>
            <w:r w:rsidRPr="0010463D">
              <w:rPr>
                <w:sz w:val="18"/>
                <w:szCs w:val="18"/>
              </w:rPr>
              <w:t>BV</w:t>
            </w:r>
          </w:p>
        </w:tc>
        <w:tc>
          <w:tcPr>
            <w:tcW w:w="2153" w:type="dxa"/>
            <w:vMerge w:val="restart"/>
            <w:tcBorders>
              <w:top w:val="single" w:sz="4" w:space="0" w:color="auto"/>
              <w:left w:val="single" w:sz="4" w:space="0" w:color="auto"/>
              <w:right w:val="single" w:sz="4" w:space="0" w:color="auto"/>
            </w:tcBorders>
          </w:tcPr>
          <w:p w:rsidR="009F69FF" w:rsidRPr="0010463D" w:rsidRDefault="00EA67BC" w:rsidP="00193B40">
            <w:pPr>
              <w:jc w:val="center"/>
              <w:rPr>
                <w:sz w:val="18"/>
                <w:szCs w:val="18"/>
              </w:rPr>
            </w:pPr>
            <w:r>
              <w:rPr>
                <w:sz w:val="18"/>
                <w:szCs w:val="18"/>
              </w:rPr>
              <w:t>Nieuwe norm obv metingen VTE</w:t>
            </w:r>
          </w:p>
        </w:tc>
      </w:tr>
      <w:tr w:rsidR="009F69FF"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971B3E" w:rsidRDefault="009F69FF" w:rsidP="00EA67BC">
            <w:pPr>
              <w:jc w:val="left"/>
              <w:rPr>
                <w:sz w:val="18"/>
                <w:szCs w:val="18"/>
              </w:rPr>
            </w:pPr>
            <w:r w:rsidRPr="00971B3E">
              <w:rPr>
                <w:sz w:val="18"/>
                <w:szCs w:val="18"/>
              </w:rPr>
              <w:t>Benzo(k)fluorantheen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10463D" w:rsidRDefault="009F69FF" w:rsidP="00EA67BC">
            <w:pPr>
              <w:jc w:val="left"/>
              <w:rPr>
                <w:sz w:val="18"/>
                <w:szCs w:val="18"/>
              </w:rPr>
            </w:pPr>
            <w:r w:rsidRPr="0010463D">
              <w:rPr>
                <w:sz w:val="18"/>
                <w:szCs w:val="18"/>
              </w:rPr>
              <w:t>µg/l</w:t>
            </w:r>
            <w:r w:rsidRPr="0010463D" w:rsidDel="00EE46A7">
              <w:rPr>
                <w:sz w:val="18"/>
                <w:szCs w:val="18"/>
              </w:rPr>
              <w:t xml:space="preserve"> </w:t>
            </w:r>
          </w:p>
        </w:tc>
        <w:tc>
          <w:tcPr>
            <w:tcW w:w="956" w:type="dxa"/>
            <w:vMerge/>
            <w:tcBorders>
              <w:left w:val="single" w:sz="4" w:space="0" w:color="auto"/>
              <w:bottom w:val="single" w:sz="4" w:space="0" w:color="auto"/>
              <w:right w:val="single" w:sz="4" w:space="0" w:color="auto"/>
            </w:tcBorders>
            <w:vAlign w:val="center"/>
          </w:tcPr>
          <w:p w:rsidR="009F69FF" w:rsidRPr="0010463D" w:rsidRDefault="009F69FF" w:rsidP="00EA67BC">
            <w:pPr>
              <w:jc w:val="left"/>
              <w:rPr>
                <w:sz w:val="18"/>
                <w:szCs w:val="18"/>
              </w:rPr>
            </w:pPr>
          </w:p>
        </w:tc>
        <w:tc>
          <w:tcPr>
            <w:tcW w:w="887" w:type="dxa"/>
            <w:vMerge/>
            <w:tcBorders>
              <w:left w:val="single" w:sz="4" w:space="0" w:color="auto"/>
              <w:bottom w:val="single" w:sz="4" w:space="0" w:color="auto"/>
              <w:right w:val="single" w:sz="4" w:space="0" w:color="auto"/>
            </w:tcBorders>
            <w:vAlign w:val="center"/>
          </w:tcPr>
          <w:p w:rsidR="009F69FF" w:rsidRPr="0010463D" w:rsidRDefault="009F69FF" w:rsidP="00EA67BC">
            <w:pPr>
              <w:jc w:val="left"/>
              <w:rPr>
                <w:sz w:val="18"/>
                <w:szCs w:val="18"/>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10463D" w:rsidRDefault="009F69FF" w:rsidP="00EA67BC">
            <w:pPr>
              <w:jc w:val="left"/>
              <w:rPr>
                <w:sz w:val="18"/>
                <w:szCs w:val="18"/>
              </w:rPr>
            </w:pPr>
          </w:p>
        </w:tc>
        <w:tc>
          <w:tcPr>
            <w:tcW w:w="95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10463D" w:rsidRDefault="009F69FF" w:rsidP="00EA67BC">
            <w:pPr>
              <w:jc w:val="left"/>
              <w:rPr>
                <w:sz w:val="18"/>
                <w:szCs w:val="18"/>
              </w:rPr>
            </w:pPr>
          </w:p>
        </w:tc>
        <w:tc>
          <w:tcPr>
            <w:tcW w:w="2153" w:type="dxa"/>
            <w:vMerge/>
            <w:tcBorders>
              <w:left w:val="single" w:sz="4" w:space="0" w:color="auto"/>
              <w:bottom w:val="single" w:sz="4" w:space="0" w:color="auto"/>
              <w:right w:val="single" w:sz="4" w:space="0" w:color="auto"/>
            </w:tcBorders>
          </w:tcPr>
          <w:p w:rsidR="009F69FF" w:rsidRPr="0010463D" w:rsidRDefault="009F69FF" w:rsidP="00193B40">
            <w:pPr>
              <w:jc w:val="center"/>
              <w:rPr>
                <w:sz w:val="18"/>
                <w:szCs w:val="18"/>
              </w:rPr>
            </w:pP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PAK’s tot 16  (epa)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1</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BV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3B40" w:rsidP="00EA67BC">
            <w:pPr>
              <w:jc w:val="left"/>
              <w:rPr>
                <w:sz w:val="18"/>
                <w:szCs w:val="18"/>
              </w:rPr>
            </w:pPr>
            <w:r w:rsidRPr="0010463D">
              <w:rPr>
                <w:sz w:val="18"/>
                <w:szCs w:val="18"/>
              </w:rPr>
              <w:t>5</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metingen VTE</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194E5A" w:rsidRPr="00971B3E" w:rsidRDefault="00194E5A" w:rsidP="00EA67BC">
            <w:pPr>
              <w:jc w:val="left"/>
              <w:rPr>
                <w:sz w:val="18"/>
                <w:szCs w:val="18"/>
              </w:rPr>
            </w:pPr>
            <w:r w:rsidRPr="00971B3E">
              <w:rPr>
                <w:sz w:val="18"/>
                <w:szCs w:val="18"/>
              </w:rPr>
              <w:t>fenolen</w:t>
            </w:r>
          </w:p>
        </w:tc>
        <w:tc>
          <w:tcPr>
            <w:tcW w:w="851" w:type="dxa"/>
            <w:tcBorders>
              <w:top w:val="single" w:sz="4" w:space="0" w:color="auto"/>
              <w:left w:val="nil"/>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956" w:type="dxa"/>
            <w:tcBorders>
              <w:top w:val="single" w:sz="4" w:space="0" w:color="auto"/>
              <w:left w:val="nil"/>
              <w:bottom w:val="single" w:sz="4" w:space="0" w:color="auto"/>
              <w:right w:val="nil"/>
            </w:tcBorders>
            <w:shd w:val="clear" w:color="auto" w:fill="BFBFBF" w:themeFill="background1" w:themeFillShade="BF"/>
            <w:vAlign w:val="center"/>
          </w:tcPr>
          <w:p w:rsidR="00194E5A" w:rsidRPr="0010463D" w:rsidRDefault="00194E5A" w:rsidP="00EA67BC">
            <w:pPr>
              <w:jc w:val="left"/>
              <w:rPr>
                <w:sz w:val="18"/>
                <w:szCs w:val="18"/>
              </w:rPr>
            </w:pPr>
          </w:p>
        </w:tc>
        <w:tc>
          <w:tcPr>
            <w:tcW w:w="887" w:type="dxa"/>
            <w:tcBorders>
              <w:top w:val="single" w:sz="4" w:space="0" w:color="auto"/>
              <w:left w:val="nil"/>
              <w:bottom w:val="single" w:sz="4" w:space="0" w:color="auto"/>
              <w:right w:val="nil"/>
            </w:tcBorders>
            <w:shd w:val="clear" w:color="auto" w:fill="BFBFBF" w:themeFill="background1" w:themeFillShade="BF"/>
            <w:vAlign w:val="center"/>
          </w:tcPr>
          <w:p w:rsidR="00194E5A" w:rsidRPr="0010463D" w:rsidRDefault="00194E5A" w:rsidP="00EA67BC">
            <w:pPr>
              <w:jc w:val="left"/>
              <w:rPr>
                <w:sz w:val="18"/>
                <w:szCs w:val="18"/>
              </w:rPr>
            </w:pPr>
          </w:p>
        </w:tc>
        <w:tc>
          <w:tcPr>
            <w:tcW w:w="1027" w:type="dxa"/>
            <w:tcBorders>
              <w:top w:val="single" w:sz="4" w:space="0" w:color="auto"/>
              <w:left w:val="nil"/>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95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2153" w:type="dxa"/>
            <w:tcBorders>
              <w:top w:val="single" w:sz="4" w:space="0" w:color="auto"/>
              <w:left w:val="nil"/>
              <w:bottom w:val="single" w:sz="4" w:space="0" w:color="auto"/>
              <w:right w:val="single" w:sz="4" w:space="0" w:color="auto"/>
            </w:tcBorders>
            <w:shd w:val="clear" w:color="auto" w:fill="BFBFBF" w:themeFill="background1" w:themeFillShade="BF"/>
          </w:tcPr>
          <w:p w:rsidR="00194E5A" w:rsidRPr="0010463D" w:rsidRDefault="00194E5A" w:rsidP="00193B40">
            <w:pPr>
              <w:jc w:val="center"/>
              <w:rPr>
                <w:sz w:val="18"/>
                <w:szCs w:val="18"/>
              </w:rPr>
            </w:pP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4E5A" w:rsidRPr="00971B3E" w:rsidRDefault="00194E5A" w:rsidP="00EA67BC">
            <w:pPr>
              <w:jc w:val="left"/>
              <w:rPr>
                <w:sz w:val="18"/>
                <w:szCs w:val="18"/>
              </w:rPr>
            </w:pPr>
            <w:r w:rsidRPr="00971B3E">
              <w:rPr>
                <w:sz w:val="18"/>
                <w:szCs w:val="18"/>
              </w:rPr>
              <w:t>Fenol</w:t>
            </w:r>
            <w:r w:rsidR="00D46DC8" w:rsidRPr="00971B3E">
              <w:rPr>
                <w:sz w:val="18"/>
                <w:szCs w:val="18"/>
              </w:rPr>
              <w:t>en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4E5A" w:rsidRPr="00971B3E" w:rsidRDefault="00194E5A" w:rsidP="00EA67BC">
            <w:pPr>
              <w:jc w:val="left"/>
              <w:rPr>
                <w:sz w:val="18"/>
                <w:szCs w:val="18"/>
              </w:rPr>
            </w:pPr>
            <w:r w:rsidRPr="00971B3E">
              <w:rPr>
                <w:sz w:val="18"/>
                <w:szCs w:val="18"/>
              </w:rPr>
              <w:t>µg/l</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E5A" w:rsidRPr="00971B3E" w:rsidRDefault="00D46DC8" w:rsidP="00EA67BC">
            <w:pPr>
              <w:jc w:val="left"/>
              <w:rPr>
                <w:sz w:val="18"/>
                <w:szCs w:val="18"/>
              </w:rPr>
            </w:pPr>
            <w:r w:rsidRPr="00971B3E">
              <w:rPr>
                <w:sz w:val="18"/>
                <w:szCs w:val="18"/>
              </w:rPr>
              <w:t>400</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E5A" w:rsidRPr="00971B3E" w:rsidRDefault="00D46DC8" w:rsidP="00EA67BC">
            <w:pPr>
              <w:jc w:val="left"/>
              <w:rPr>
                <w:sz w:val="18"/>
                <w:szCs w:val="18"/>
              </w:rPr>
            </w:pPr>
            <w:r w:rsidRPr="00971B3E">
              <w:rPr>
                <w:sz w:val="18"/>
                <w:szCs w:val="18"/>
              </w:rPr>
              <w:t>BV</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4E5A" w:rsidRPr="00971B3E" w:rsidRDefault="00D46DC8" w:rsidP="00EA67BC">
            <w:pPr>
              <w:jc w:val="left"/>
              <w:rPr>
                <w:sz w:val="18"/>
                <w:szCs w:val="18"/>
              </w:rPr>
            </w:pPr>
            <w:r w:rsidRPr="00971B3E">
              <w:rPr>
                <w:sz w:val="18"/>
                <w:szCs w:val="18"/>
              </w:rPr>
              <w:t>100</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4E5A" w:rsidRPr="00971B3E" w:rsidRDefault="00194E5A" w:rsidP="00EA67BC">
            <w:pPr>
              <w:jc w:val="left"/>
              <w:rPr>
                <w:sz w:val="18"/>
                <w:szCs w:val="18"/>
              </w:rPr>
            </w:pPr>
            <w:r w:rsidRPr="00971B3E">
              <w:rPr>
                <w:sz w:val="18"/>
                <w:szCs w:val="18"/>
              </w:rPr>
              <w:t>BV</w:t>
            </w: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194E5A" w:rsidRPr="0010463D" w:rsidRDefault="00EA67BC" w:rsidP="00193B40">
            <w:pPr>
              <w:jc w:val="center"/>
              <w:rPr>
                <w:sz w:val="18"/>
                <w:szCs w:val="18"/>
                <w:highlight w:val="green"/>
              </w:rPr>
            </w:pPr>
            <w:r>
              <w:rPr>
                <w:sz w:val="18"/>
                <w:szCs w:val="18"/>
              </w:rPr>
              <w:t>Verlaging bestaande norm obv metingen VTA/VTE</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194E5A" w:rsidRPr="00971B3E" w:rsidRDefault="00194E5A" w:rsidP="00EA67BC">
            <w:pPr>
              <w:jc w:val="left"/>
              <w:rPr>
                <w:sz w:val="18"/>
                <w:szCs w:val="18"/>
              </w:rPr>
            </w:pPr>
            <w:r w:rsidRPr="00971B3E">
              <w:rPr>
                <w:sz w:val="18"/>
                <w:szCs w:val="18"/>
              </w:rPr>
              <w:t>chloorbenzenen</w:t>
            </w:r>
          </w:p>
        </w:tc>
        <w:tc>
          <w:tcPr>
            <w:tcW w:w="851" w:type="dxa"/>
            <w:tcBorders>
              <w:top w:val="single" w:sz="4" w:space="0" w:color="auto"/>
              <w:left w:val="nil"/>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956" w:type="dxa"/>
            <w:tcBorders>
              <w:top w:val="single" w:sz="4" w:space="0" w:color="auto"/>
              <w:left w:val="nil"/>
              <w:bottom w:val="single" w:sz="4" w:space="0" w:color="auto"/>
              <w:right w:val="nil"/>
            </w:tcBorders>
            <w:shd w:val="clear" w:color="auto" w:fill="BFBFBF" w:themeFill="background1" w:themeFillShade="BF"/>
            <w:vAlign w:val="center"/>
          </w:tcPr>
          <w:p w:rsidR="00194E5A" w:rsidRPr="0010463D" w:rsidRDefault="00194E5A" w:rsidP="00EA67BC">
            <w:pPr>
              <w:jc w:val="left"/>
              <w:rPr>
                <w:sz w:val="18"/>
                <w:szCs w:val="18"/>
              </w:rPr>
            </w:pPr>
          </w:p>
        </w:tc>
        <w:tc>
          <w:tcPr>
            <w:tcW w:w="887" w:type="dxa"/>
            <w:tcBorders>
              <w:top w:val="single" w:sz="4" w:space="0" w:color="auto"/>
              <w:left w:val="nil"/>
              <w:bottom w:val="single" w:sz="4" w:space="0" w:color="auto"/>
              <w:right w:val="nil"/>
            </w:tcBorders>
            <w:shd w:val="clear" w:color="auto" w:fill="BFBFBF" w:themeFill="background1" w:themeFillShade="BF"/>
            <w:vAlign w:val="center"/>
          </w:tcPr>
          <w:p w:rsidR="00194E5A" w:rsidRPr="0010463D" w:rsidRDefault="00194E5A" w:rsidP="00EA67BC">
            <w:pPr>
              <w:jc w:val="left"/>
              <w:rPr>
                <w:sz w:val="18"/>
                <w:szCs w:val="18"/>
              </w:rPr>
            </w:pPr>
          </w:p>
        </w:tc>
        <w:tc>
          <w:tcPr>
            <w:tcW w:w="1027" w:type="dxa"/>
            <w:tcBorders>
              <w:top w:val="single" w:sz="4" w:space="0" w:color="auto"/>
              <w:left w:val="nil"/>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95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2153" w:type="dxa"/>
            <w:tcBorders>
              <w:top w:val="single" w:sz="4" w:space="0" w:color="auto"/>
              <w:left w:val="nil"/>
              <w:bottom w:val="single" w:sz="4" w:space="0" w:color="auto"/>
              <w:right w:val="single" w:sz="4" w:space="0" w:color="auto"/>
            </w:tcBorders>
            <w:shd w:val="clear" w:color="auto" w:fill="BFBFBF" w:themeFill="background1" w:themeFillShade="BF"/>
          </w:tcPr>
          <w:p w:rsidR="00194E5A" w:rsidRPr="0010463D" w:rsidRDefault="00194E5A" w:rsidP="00193B40">
            <w:pPr>
              <w:jc w:val="center"/>
              <w:rPr>
                <w:sz w:val="18"/>
                <w:szCs w:val="18"/>
                <w:highlight w:val="green"/>
              </w:rPr>
            </w:pPr>
          </w:p>
        </w:tc>
      </w:tr>
      <w:tr w:rsidR="009F69FF"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971B3E" w:rsidRDefault="009F69FF" w:rsidP="00EA67BC">
            <w:pPr>
              <w:jc w:val="left"/>
              <w:rPr>
                <w:sz w:val="18"/>
                <w:szCs w:val="18"/>
              </w:rPr>
            </w:pPr>
            <w:r w:rsidRPr="00971B3E">
              <w:rPr>
                <w:sz w:val="18"/>
                <w:szCs w:val="18"/>
              </w:rPr>
              <w:t>1,2 dichloorbenzeen</w:t>
            </w:r>
            <w:r w:rsidRPr="00971B3E" w:rsidDel="00EE46A7">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EA67BC" w:rsidRDefault="009F69FF" w:rsidP="00EA67BC">
            <w:pPr>
              <w:jc w:val="left"/>
              <w:rPr>
                <w:sz w:val="18"/>
                <w:szCs w:val="18"/>
              </w:rPr>
            </w:pPr>
            <w:r w:rsidRPr="00EA67BC">
              <w:rPr>
                <w:sz w:val="18"/>
                <w:szCs w:val="18"/>
              </w:rPr>
              <w:t>µg/l</w:t>
            </w:r>
            <w:r w:rsidRPr="00EA67BC" w:rsidDel="00EE46A7">
              <w:rPr>
                <w:sz w:val="18"/>
                <w:szCs w:val="18"/>
              </w:rPr>
              <w:t xml:space="preserve"> </w:t>
            </w:r>
          </w:p>
        </w:tc>
        <w:tc>
          <w:tcPr>
            <w:tcW w:w="956" w:type="dxa"/>
            <w:vMerge w:val="restart"/>
            <w:tcBorders>
              <w:top w:val="single" w:sz="4" w:space="0" w:color="auto"/>
              <w:left w:val="single" w:sz="4" w:space="0" w:color="auto"/>
              <w:right w:val="single" w:sz="4" w:space="0" w:color="auto"/>
            </w:tcBorders>
            <w:vAlign w:val="center"/>
          </w:tcPr>
          <w:p w:rsidR="009F69FF" w:rsidRPr="00EA67BC" w:rsidRDefault="00D46DC8" w:rsidP="00EA67BC">
            <w:pPr>
              <w:jc w:val="left"/>
              <w:rPr>
                <w:sz w:val="18"/>
                <w:szCs w:val="18"/>
              </w:rPr>
            </w:pPr>
            <w:r w:rsidRPr="00EA67BC">
              <w:rPr>
                <w:sz w:val="18"/>
                <w:szCs w:val="18"/>
              </w:rPr>
              <w:t>20</w:t>
            </w:r>
          </w:p>
        </w:tc>
        <w:tc>
          <w:tcPr>
            <w:tcW w:w="887" w:type="dxa"/>
            <w:vMerge w:val="restart"/>
            <w:tcBorders>
              <w:top w:val="single" w:sz="4" w:space="0" w:color="auto"/>
              <w:left w:val="single" w:sz="4" w:space="0" w:color="auto"/>
              <w:right w:val="single" w:sz="4" w:space="0" w:color="auto"/>
            </w:tcBorders>
            <w:vAlign w:val="center"/>
          </w:tcPr>
          <w:p w:rsidR="009F69FF" w:rsidRPr="00EA67BC" w:rsidRDefault="00D46DC8" w:rsidP="00EA67BC">
            <w:pPr>
              <w:jc w:val="left"/>
              <w:rPr>
                <w:sz w:val="18"/>
                <w:szCs w:val="18"/>
              </w:rPr>
            </w:pPr>
            <w:r w:rsidRPr="00EA67BC">
              <w:rPr>
                <w:sz w:val="18"/>
                <w:szCs w:val="18"/>
              </w:rPr>
              <w:t>GS</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EA67BC" w:rsidRDefault="009F69FF" w:rsidP="00EA67BC">
            <w:pPr>
              <w:jc w:val="left"/>
              <w:rPr>
                <w:sz w:val="18"/>
                <w:szCs w:val="18"/>
              </w:rPr>
            </w:pPr>
            <w:r w:rsidRPr="00EA67BC">
              <w:rPr>
                <w:sz w:val="18"/>
                <w:szCs w:val="18"/>
              </w:rPr>
              <w:t>25</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EA67BC" w:rsidRDefault="009F69FF" w:rsidP="00EA67BC">
            <w:pPr>
              <w:jc w:val="left"/>
              <w:rPr>
                <w:sz w:val="18"/>
                <w:szCs w:val="18"/>
              </w:rPr>
            </w:pPr>
            <w:r w:rsidRPr="00EA67BC">
              <w:rPr>
                <w:sz w:val="18"/>
                <w:szCs w:val="18"/>
              </w:rPr>
              <w:t>BV</w:t>
            </w:r>
          </w:p>
        </w:tc>
        <w:tc>
          <w:tcPr>
            <w:tcW w:w="2153" w:type="dxa"/>
            <w:vMerge w:val="restart"/>
            <w:tcBorders>
              <w:top w:val="single" w:sz="4" w:space="0" w:color="auto"/>
              <w:left w:val="single" w:sz="4" w:space="0" w:color="auto"/>
              <w:right w:val="single" w:sz="4" w:space="0" w:color="auto"/>
            </w:tcBorders>
            <w:vAlign w:val="center"/>
          </w:tcPr>
          <w:p w:rsidR="009F69FF" w:rsidRPr="00EA67BC" w:rsidRDefault="00EA67BC" w:rsidP="00193B40">
            <w:pPr>
              <w:jc w:val="center"/>
              <w:rPr>
                <w:sz w:val="18"/>
                <w:szCs w:val="18"/>
              </w:rPr>
            </w:pPr>
            <w:r w:rsidRPr="00EA67BC">
              <w:rPr>
                <w:sz w:val="18"/>
                <w:szCs w:val="18"/>
              </w:rPr>
              <w:t>Nieuwe norm obv metingen VTE</w:t>
            </w:r>
          </w:p>
        </w:tc>
      </w:tr>
      <w:tr w:rsidR="009F69FF"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971B3E" w:rsidRDefault="009F69FF" w:rsidP="00EA67BC">
            <w:pPr>
              <w:jc w:val="left"/>
              <w:rPr>
                <w:sz w:val="18"/>
                <w:szCs w:val="18"/>
              </w:rPr>
            </w:pPr>
            <w:r w:rsidRPr="00971B3E">
              <w:rPr>
                <w:sz w:val="18"/>
                <w:szCs w:val="18"/>
              </w:rPr>
              <w:t>1,3-dichloorbenzeen</w:t>
            </w:r>
            <w:r w:rsidRPr="00971B3E" w:rsidDel="00EE46A7">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EA67BC" w:rsidRDefault="009F69FF" w:rsidP="00EA67BC">
            <w:pPr>
              <w:jc w:val="left"/>
              <w:rPr>
                <w:sz w:val="18"/>
                <w:szCs w:val="18"/>
              </w:rPr>
            </w:pPr>
            <w:r w:rsidRPr="00EA67BC">
              <w:rPr>
                <w:sz w:val="18"/>
                <w:szCs w:val="18"/>
              </w:rPr>
              <w:t>µg/l</w:t>
            </w:r>
            <w:r w:rsidRPr="00EA67BC" w:rsidDel="00EE46A7">
              <w:rPr>
                <w:sz w:val="18"/>
                <w:szCs w:val="18"/>
              </w:rPr>
              <w:t xml:space="preserve"> </w:t>
            </w:r>
          </w:p>
        </w:tc>
        <w:tc>
          <w:tcPr>
            <w:tcW w:w="956" w:type="dxa"/>
            <w:vMerge/>
            <w:tcBorders>
              <w:left w:val="single" w:sz="4" w:space="0" w:color="auto"/>
              <w:right w:val="single" w:sz="4" w:space="0" w:color="auto"/>
            </w:tcBorders>
            <w:vAlign w:val="center"/>
          </w:tcPr>
          <w:p w:rsidR="009F69FF" w:rsidRPr="00EA67BC" w:rsidRDefault="009F69FF" w:rsidP="00EA67BC">
            <w:pPr>
              <w:jc w:val="left"/>
              <w:rPr>
                <w:sz w:val="18"/>
                <w:szCs w:val="18"/>
              </w:rPr>
            </w:pPr>
          </w:p>
        </w:tc>
        <w:tc>
          <w:tcPr>
            <w:tcW w:w="887" w:type="dxa"/>
            <w:vMerge/>
            <w:tcBorders>
              <w:left w:val="single" w:sz="4" w:space="0" w:color="auto"/>
              <w:right w:val="single" w:sz="4" w:space="0" w:color="auto"/>
            </w:tcBorders>
            <w:vAlign w:val="center"/>
          </w:tcPr>
          <w:p w:rsidR="009F69FF" w:rsidRPr="00EA67BC" w:rsidRDefault="009F69FF" w:rsidP="00EA67BC">
            <w:pPr>
              <w:jc w:val="left"/>
              <w:rPr>
                <w:sz w:val="18"/>
                <w:szCs w:val="18"/>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EA67BC" w:rsidRDefault="009F69FF" w:rsidP="00EA67BC">
            <w:pPr>
              <w:jc w:val="left"/>
              <w:rPr>
                <w:sz w:val="18"/>
                <w:szCs w:val="18"/>
              </w:rPr>
            </w:pPr>
          </w:p>
        </w:tc>
        <w:tc>
          <w:tcPr>
            <w:tcW w:w="95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EA67BC" w:rsidRDefault="009F69FF" w:rsidP="00EA67BC">
            <w:pPr>
              <w:jc w:val="left"/>
              <w:rPr>
                <w:sz w:val="18"/>
                <w:szCs w:val="18"/>
              </w:rPr>
            </w:pPr>
          </w:p>
        </w:tc>
        <w:tc>
          <w:tcPr>
            <w:tcW w:w="2153" w:type="dxa"/>
            <w:vMerge/>
            <w:tcBorders>
              <w:left w:val="single" w:sz="4" w:space="0" w:color="auto"/>
              <w:right w:val="single" w:sz="4" w:space="0" w:color="auto"/>
            </w:tcBorders>
            <w:vAlign w:val="center"/>
          </w:tcPr>
          <w:p w:rsidR="009F69FF" w:rsidRPr="00EA67BC" w:rsidRDefault="009F69FF" w:rsidP="00193B40">
            <w:pPr>
              <w:jc w:val="center"/>
              <w:rPr>
                <w:sz w:val="18"/>
                <w:szCs w:val="18"/>
              </w:rPr>
            </w:pPr>
          </w:p>
        </w:tc>
      </w:tr>
      <w:tr w:rsidR="009F69FF"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971B3E" w:rsidRDefault="009F69FF" w:rsidP="00EA67BC">
            <w:pPr>
              <w:jc w:val="left"/>
              <w:rPr>
                <w:sz w:val="18"/>
                <w:szCs w:val="18"/>
              </w:rPr>
            </w:pPr>
            <w:r w:rsidRPr="00971B3E">
              <w:rPr>
                <w:sz w:val="18"/>
                <w:szCs w:val="18"/>
              </w:rPr>
              <w:t>1,4-dichloorbenzeen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EA67BC" w:rsidRDefault="009F69FF" w:rsidP="00EA67BC">
            <w:pPr>
              <w:jc w:val="left"/>
              <w:rPr>
                <w:sz w:val="18"/>
                <w:szCs w:val="18"/>
              </w:rPr>
            </w:pPr>
            <w:r w:rsidRPr="00EA67BC">
              <w:rPr>
                <w:sz w:val="18"/>
                <w:szCs w:val="18"/>
              </w:rPr>
              <w:t>µg/l</w:t>
            </w:r>
            <w:r w:rsidRPr="00EA67BC" w:rsidDel="00EE46A7">
              <w:rPr>
                <w:sz w:val="18"/>
                <w:szCs w:val="18"/>
              </w:rPr>
              <w:t xml:space="preserve"> </w:t>
            </w:r>
          </w:p>
        </w:tc>
        <w:tc>
          <w:tcPr>
            <w:tcW w:w="956" w:type="dxa"/>
            <w:vMerge/>
            <w:tcBorders>
              <w:left w:val="single" w:sz="4" w:space="0" w:color="auto"/>
              <w:bottom w:val="single" w:sz="4" w:space="0" w:color="auto"/>
              <w:right w:val="single" w:sz="4" w:space="0" w:color="auto"/>
            </w:tcBorders>
            <w:vAlign w:val="center"/>
          </w:tcPr>
          <w:p w:rsidR="009F69FF" w:rsidRPr="00EA67BC" w:rsidRDefault="009F69FF" w:rsidP="00EA67BC">
            <w:pPr>
              <w:jc w:val="left"/>
              <w:rPr>
                <w:sz w:val="18"/>
                <w:szCs w:val="18"/>
              </w:rPr>
            </w:pPr>
          </w:p>
        </w:tc>
        <w:tc>
          <w:tcPr>
            <w:tcW w:w="887" w:type="dxa"/>
            <w:vMerge/>
            <w:tcBorders>
              <w:left w:val="single" w:sz="4" w:space="0" w:color="auto"/>
              <w:bottom w:val="single" w:sz="4" w:space="0" w:color="auto"/>
              <w:right w:val="single" w:sz="4" w:space="0" w:color="auto"/>
            </w:tcBorders>
            <w:vAlign w:val="center"/>
          </w:tcPr>
          <w:p w:rsidR="009F69FF" w:rsidRPr="00EA67BC" w:rsidRDefault="009F69FF" w:rsidP="00EA67BC">
            <w:pPr>
              <w:jc w:val="left"/>
              <w:rPr>
                <w:sz w:val="18"/>
                <w:szCs w:val="18"/>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EA67BC" w:rsidRDefault="009F69FF" w:rsidP="00EA67BC">
            <w:pPr>
              <w:jc w:val="left"/>
              <w:rPr>
                <w:sz w:val="18"/>
                <w:szCs w:val="18"/>
              </w:rPr>
            </w:pPr>
          </w:p>
        </w:tc>
        <w:tc>
          <w:tcPr>
            <w:tcW w:w="95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EA67BC" w:rsidRDefault="009F69FF" w:rsidP="00EA67BC">
            <w:pPr>
              <w:jc w:val="left"/>
              <w:rPr>
                <w:sz w:val="18"/>
                <w:szCs w:val="18"/>
              </w:rPr>
            </w:pPr>
          </w:p>
        </w:tc>
        <w:tc>
          <w:tcPr>
            <w:tcW w:w="2153" w:type="dxa"/>
            <w:vMerge/>
            <w:tcBorders>
              <w:left w:val="single" w:sz="4" w:space="0" w:color="auto"/>
              <w:bottom w:val="single" w:sz="4" w:space="0" w:color="auto"/>
              <w:right w:val="single" w:sz="4" w:space="0" w:color="auto"/>
            </w:tcBorders>
            <w:vAlign w:val="center"/>
          </w:tcPr>
          <w:p w:rsidR="009F69FF" w:rsidRPr="00EA67BC" w:rsidRDefault="009F69FF" w:rsidP="00193B40">
            <w:pPr>
              <w:jc w:val="center"/>
              <w:rPr>
                <w:sz w:val="18"/>
                <w:szCs w:val="18"/>
              </w:rPr>
            </w:pPr>
          </w:p>
        </w:tc>
      </w:tr>
      <w:tr w:rsidR="009F69FF"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971B3E" w:rsidRDefault="009F69FF" w:rsidP="00EA67BC">
            <w:pPr>
              <w:jc w:val="left"/>
              <w:rPr>
                <w:sz w:val="18"/>
                <w:szCs w:val="18"/>
              </w:rPr>
            </w:pPr>
            <w:r w:rsidRPr="00971B3E">
              <w:rPr>
                <w:sz w:val="18"/>
                <w:szCs w:val="18"/>
              </w:rPr>
              <w:t>1,2,3-trichloorbenzeen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EA67BC" w:rsidRDefault="009F69FF" w:rsidP="00EA67BC">
            <w:pPr>
              <w:jc w:val="left"/>
              <w:rPr>
                <w:sz w:val="18"/>
                <w:szCs w:val="18"/>
              </w:rPr>
            </w:pPr>
            <w:r w:rsidRPr="00EA67BC">
              <w:rPr>
                <w:sz w:val="18"/>
                <w:szCs w:val="18"/>
              </w:rPr>
              <w:t>µg/l</w:t>
            </w:r>
          </w:p>
        </w:tc>
        <w:tc>
          <w:tcPr>
            <w:tcW w:w="956" w:type="dxa"/>
            <w:vMerge w:val="restart"/>
            <w:tcBorders>
              <w:top w:val="single" w:sz="4" w:space="0" w:color="auto"/>
              <w:left w:val="single" w:sz="4" w:space="0" w:color="auto"/>
              <w:right w:val="single" w:sz="4" w:space="0" w:color="auto"/>
            </w:tcBorders>
            <w:vAlign w:val="center"/>
          </w:tcPr>
          <w:p w:rsidR="009F69FF" w:rsidRPr="00EA67BC" w:rsidRDefault="00D46DC8" w:rsidP="00EA67BC">
            <w:pPr>
              <w:jc w:val="left"/>
              <w:rPr>
                <w:sz w:val="18"/>
                <w:szCs w:val="18"/>
              </w:rPr>
            </w:pPr>
            <w:r w:rsidRPr="00EA67BC">
              <w:rPr>
                <w:sz w:val="18"/>
                <w:szCs w:val="18"/>
              </w:rPr>
              <w:t>0,4</w:t>
            </w:r>
          </w:p>
        </w:tc>
        <w:tc>
          <w:tcPr>
            <w:tcW w:w="887" w:type="dxa"/>
            <w:vMerge w:val="restart"/>
            <w:tcBorders>
              <w:top w:val="single" w:sz="4" w:space="0" w:color="auto"/>
              <w:left w:val="single" w:sz="4" w:space="0" w:color="auto"/>
              <w:right w:val="single" w:sz="4" w:space="0" w:color="auto"/>
            </w:tcBorders>
            <w:vAlign w:val="center"/>
          </w:tcPr>
          <w:p w:rsidR="009F69FF" w:rsidRPr="00EA67BC" w:rsidRDefault="00D46DC8" w:rsidP="00EA67BC">
            <w:pPr>
              <w:jc w:val="left"/>
              <w:rPr>
                <w:sz w:val="18"/>
                <w:szCs w:val="18"/>
              </w:rPr>
            </w:pPr>
            <w:r w:rsidRPr="00EA67BC">
              <w:rPr>
                <w:sz w:val="18"/>
                <w:szCs w:val="18"/>
              </w:rPr>
              <w:t>GS</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EA67BC" w:rsidRDefault="00193B40" w:rsidP="00EA67BC">
            <w:pPr>
              <w:jc w:val="left"/>
              <w:rPr>
                <w:sz w:val="18"/>
                <w:szCs w:val="18"/>
              </w:rPr>
            </w:pPr>
            <w:r w:rsidRPr="00EA67BC">
              <w:rPr>
                <w:sz w:val="18"/>
                <w:szCs w:val="18"/>
              </w:rPr>
              <w:t>4</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EA67BC" w:rsidRDefault="009F69FF" w:rsidP="00EA67BC">
            <w:pPr>
              <w:jc w:val="left"/>
              <w:rPr>
                <w:sz w:val="18"/>
                <w:szCs w:val="18"/>
              </w:rPr>
            </w:pPr>
            <w:r w:rsidRPr="00EA67BC">
              <w:rPr>
                <w:sz w:val="18"/>
                <w:szCs w:val="18"/>
              </w:rPr>
              <w:t>BV</w:t>
            </w:r>
          </w:p>
        </w:tc>
        <w:tc>
          <w:tcPr>
            <w:tcW w:w="2153" w:type="dxa"/>
            <w:vMerge w:val="restart"/>
            <w:tcBorders>
              <w:top w:val="single" w:sz="4" w:space="0" w:color="auto"/>
              <w:left w:val="single" w:sz="4" w:space="0" w:color="auto"/>
              <w:right w:val="single" w:sz="4" w:space="0" w:color="auto"/>
            </w:tcBorders>
            <w:vAlign w:val="center"/>
          </w:tcPr>
          <w:p w:rsidR="009F69FF" w:rsidRPr="00EA67BC" w:rsidRDefault="00EA67BC" w:rsidP="00193B40">
            <w:pPr>
              <w:jc w:val="center"/>
              <w:rPr>
                <w:sz w:val="18"/>
                <w:szCs w:val="18"/>
              </w:rPr>
            </w:pPr>
            <w:r w:rsidRPr="00EA67BC">
              <w:rPr>
                <w:sz w:val="18"/>
                <w:szCs w:val="18"/>
              </w:rPr>
              <w:t>Nieuwe norm obv metingen VTE</w:t>
            </w:r>
          </w:p>
        </w:tc>
      </w:tr>
      <w:tr w:rsidR="009F69FF"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971B3E" w:rsidRDefault="009F69FF" w:rsidP="00EA67BC">
            <w:pPr>
              <w:jc w:val="left"/>
              <w:rPr>
                <w:sz w:val="18"/>
                <w:szCs w:val="18"/>
              </w:rPr>
            </w:pPr>
            <w:r w:rsidRPr="00971B3E">
              <w:rPr>
                <w:sz w:val="18"/>
                <w:szCs w:val="18"/>
              </w:rPr>
              <w:t>1,2,4-trichloorbenzeen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9FF" w:rsidRPr="0010463D" w:rsidRDefault="009F69FF" w:rsidP="00EA67BC">
            <w:pPr>
              <w:jc w:val="left"/>
              <w:rPr>
                <w:sz w:val="18"/>
                <w:szCs w:val="18"/>
              </w:rPr>
            </w:pPr>
            <w:r w:rsidRPr="0010463D">
              <w:rPr>
                <w:sz w:val="18"/>
                <w:szCs w:val="18"/>
              </w:rPr>
              <w:t>µg/l</w:t>
            </w:r>
          </w:p>
        </w:tc>
        <w:tc>
          <w:tcPr>
            <w:tcW w:w="956" w:type="dxa"/>
            <w:vMerge/>
            <w:tcBorders>
              <w:left w:val="single" w:sz="4" w:space="0" w:color="auto"/>
              <w:bottom w:val="single" w:sz="4" w:space="0" w:color="auto"/>
              <w:right w:val="single" w:sz="4" w:space="0" w:color="auto"/>
            </w:tcBorders>
            <w:vAlign w:val="center"/>
          </w:tcPr>
          <w:p w:rsidR="009F69FF" w:rsidRPr="0010463D" w:rsidRDefault="009F69FF" w:rsidP="00EA67BC">
            <w:pPr>
              <w:jc w:val="left"/>
              <w:rPr>
                <w:sz w:val="18"/>
                <w:szCs w:val="18"/>
              </w:rPr>
            </w:pPr>
          </w:p>
        </w:tc>
        <w:tc>
          <w:tcPr>
            <w:tcW w:w="887" w:type="dxa"/>
            <w:vMerge/>
            <w:tcBorders>
              <w:left w:val="single" w:sz="4" w:space="0" w:color="auto"/>
              <w:bottom w:val="single" w:sz="4" w:space="0" w:color="auto"/>
              <w:right w:val="single" w:sz="4" w:space="0" w:color="auto"/>
            </w:tcBorders>
            <w:vAlign w:val="center"/>
          </w:tcPr>
          <w:p w:rsidR="009F69FF" w:rsidRPr="0010463D" w:rsidRDefault="009F69FF" w:rsidP="00EA67BC">
            <w:pPr>
              <w:jc w:val="left"/>
              <w:rPr>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F69FF" w:rsidRPr="0010463D" w:rsidRDefault="009F69FF" w:rsidP="00EA67BC">
            <w:pPr>
              <w:jc w:val="left"/>
              <w:rPr>
                <w:sz w:val="18"/>
                <w:szCs w:val="18"/>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9F69FF" w:rsidRPr="0010463D" w:rsidRDefault="009F69FF" w:rsidP="00EA67BC">
            <w:pPr>
              <w:jc w:val="left"/>
              <w:rPr>
                <w:sz w:val="18"/>
                <w:szCs w:val="18"/>
              </w:rPr>
            </w:pPr>
          </w:p>
        </w:tc>
        <w:tc>
          <w:tcPr>
            <w:tcW w:w="2153" w:type="dxa"/>
            <w:vMerge/>
            <w:tcBorders>
              <w:left w:val="single" w:sz="4" w:space="0" w:color="auto"/>
              <w:bottom w:val="single" w:sz="4" w:space="0" w:color="auto"/>
              <w:right w:val="single" w:sz="4" w:space="0" w:color="auto"/>
            </w:tcBorders>
          </w:tcPr>
          <w:p w:rsidR="009F69FF" w:rsidRPr="0010463D" w:rsidRDefault="009F69FF" w:rsidP="00193B40">
            <w:pPr>
              <w:jc w:val="center"/>
              <w:rPr>
                <w:sz w:val="18"/>
                <w:szCs w:val="18"/>
              </w:rPr>
            </w:pP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194E5A" w:rsidRPr="00971B3E" w:rsidRDefault="00194E5A" w:rsidP="00EA67BC">
            <w:pPr>
              <w:jc w:val="left"/>
              <w:rPr>
                <w:sz w:val="18"/>
                <w:szCs w:val="18"/>
              </w:rPr>
            </w:pPr>
            <w:r w:rsidRPr="00971B3E">
              <w:rPr>
                <w:sz w:val="18"/>
                <w:szCs w:val="18"/>
              </w:rPr>
              <w:t>vluchtige gechloreerde verbindingen</w:t>
            </w:r>
          </w:p>
        </w:tc>
        <w:tc>
          <w:tcPr>
            <w:tcW w:w="851" w:type="dxa"/>
            <w:tcBorders>
              <w:top w:val="single" w:sz="4" w:space="0" w:color="auto"/>
              <w:left w:val="nil"/>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956" w:type="dxa"/>
            <w:tcBorders>
              <w:top w:val="single" w:sz="4" w:space="0" w:color="auto"/>
              <w:left w:val="nil"/>
              <w:bottom w:val="single" w:sz="4" w:space="0" w:color="auto"/>
              <w:right w:val="nil"/>
            </w:tcBorders>
            <w:shd w:val="clear" w:color="auto" w:fill="BFBFBF" w:themeFill="background1" w:themeFillShade="BF"/>
            <w:vAlign w:val="center"/>
          </w:tcPr>
          <w:p w:rsidR="00194E5A" w:rsidRPr="0010463D" w:rsidRDefault="00194E5A" w:rsidP="00EA67BC">
            <w:pPr>
              <w:jc w:val="left"/>
              <w:rPr>
                <w:sz w:val="18"/>
                <w:szCs w:val="18"/>
              </w:rPr>
            </w:pPr>
          </w:p>
        </w:tc>
        <w:tc>
          <w:tcPr>
            <w:tcW w:w="887" w:type="dxa"/>
            <w:tcBorders>
              <w:top w:val="single" w:sz="4" w:space="0" w:color="auto"/>
              <w:left w:val="nil"/>
              <w:bottom w:val="single" w:sz="4" w:space="0" w:color="auto"/>
              <w:right w:val="nil"/>
            </w:tcBorders>
            <w:shd w:val="clear" w:color="auto" w:fill="BFBFBF" w:themeFill="background1" w:themeFillShade="BF"/>
            <w:vAlign w:val="center"/>
          </w:tcPr>
          <w:p w:rsidR="00194E5A" w:rsidRPr="0010463D" w:rsidRDefault="00194E5A" w:rsidP="00EA67BC">
            <w:pPr>
              <w:jc w:val="left"/>
              <w:rPr>
                <w:sz w:val="18"/>
                <w:szCs w:val="18"/>
              </w:rPr>
            </w:pPr>
          </w:p>
        </w:tc>
        <w:tc>
          <w:tcPr>
            <w:tcW w:w="1027" w:type="dxa"/>
            <w:tcBorders>
              <w:top w:val="single" w:sz="4" w:space="0" w:color="auto"/>
              <w:left w:val="nil"/>
              <w:bottom w:val="single" w:sz="4" w:space="0" w:color="auto"/>
              <w:right w:val="nil"/>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95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r w:rsidRPr="0010463D">
              <w:rPr>
                <w:sz w:val="18"/>
                <w:szCs w:val="18"/>
              </w:rPr>
              <w:t> </w:t>
            </w:r>
          </w:p>
        </w:tc>
        <w:tc>
          <w:tcPr>
            <w:tcW w:w="2153" w:type="dxa"/>
            <w:tcBorders>
              <w:top w:val="single" w:sz="4" w:space="0" w:color="auto"/>
              <w:left w:val="nil"/>
              <w:bottom w:val="single" w:sz="4" w:space="0" w:color="auto"/>
              <w:right w:val="single" w:sz="4" w:space="0" w:color="auto"/>
            </w:tcBorders>
            <w:shd w:val="clear" w:color="auto" w:fill="BFBFBF" w:themeFill="background1" w:themeFillShade="BF"/>
          </w:tcPr>
          <w:p w:rsidR="00194E5A" w:rsidRPr="0010463D" w:rsidRDefault="00194E5A" w:rsidP="00193B40">
            <w:pPr>
              <w:jc w:val="center"/>
              <w:rPr>
                <w:sz w:val="18"/>
                <w:szCs w:val="18"/>
              </w:rPr>
            </w:pP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Dichloormethaan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20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3B40" w:rsidP="00EA67BC">
            <w:pPr>
              <w:jc w:val="left"/>
              <w:rPr>
                <w:sz w:val="18"/>
                <w:szCs w:val="18"/>
              </w:rPr>
            </w:pPr>
            <w:r w:rsidRPr="0010463D">
              <w:rPr>
                <w:sz w:val="18"/>
                <w:szCs w:val="18"/>
              </w:rPr>
              <w:t>100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metingen VTE</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lastRenderedPageBreak/>
              <w:t>Trichloormethaan (chlororform)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2,5</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3B40" w:rsidP="00EA67BC">
            <w:pPr>
              <w:jc w:val="left"/>
              <w:rPr>
                <w:sz w:val="18"/>
                <w:szCs w:val="18"/>
              </w:rPr>
            </w:pPr>
            <w:r w:rsidRPr="0010463D">
              <w:rPr>
                <w:sz w:val="18"/>
                <w:szCs w:val="18"/>
              </w:rPr>
              <w:t>25</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vAlign w:val="center"/>
          </w:tcPr>
          <w:p w:rsidR="00194E5A" w:rsidRPr="0010463D" w:rsidRDefault="00EA67BC" w:rsidP="00EA67BC">
            <w:pPr>
              <w:jc w:val="center"/>
              <w:rPr>
                <w:sz w:val="18"/>
                <w:szCs w:val="18"/>
              </w:rPr>
            </w:pPr>
            <w:r>
              <w:rPr>
                <w:sz w:val="18"/>
                <w:szCs w:val="18"/>
              </w:rPr>
              <w:t>Nieuwe norm obv metingen VTE</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cis-1,2-dichlooretheen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3B40" w:rsidP="00EA67BC">
            <w:pPr>
              <w:jc w:val="left"/>
              <w:rPr>
                <w:sz w:val="18"/>
                <w:szCs w:val="18"/>
              </w:rPr>
            </w:pPr>
            <w:r w:rsidRPr="0010463D">
              <w:rPr>
                <w:sz w:val="18"/>
                <w:szCs w:val="18"/>
              </w:rPr>
              <w:t>20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Pr>
                <w:sz w:val="18"/>
                <w:szCs w:val="18"/>
              </w:rPr>
              <w:t>Nieuwe norm obv metingen VTE</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Trichloorethyleen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20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971B3E" w:rsidP="00193B40">
            <w:pPr>
              <w:jc w:val="center"/>
              <w:rPr>
                <w:sz w:val="18"/>
                <w:szCs w:val="18"/>
              </w:rPr>
            </w:pPr>
            <w:r>
              <w:rPr>
                <w:sz w:val="18"/>
                <w:szCs w:val="18"/>
              </w:rPr>
              <w:t>Nieuwe norm obv vergunde producten</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Tetrachloorethyleen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GS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20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971B3E" w:rsidP="00193B40">
            <w:pPr>
              <w:jc w:val="center"/>
              <w:rPr>
                <w:sz w:val="18"/>
                <w:szCs w:val="18"/>
              </w:rPr>
            </w:pPr>
            <w:r>
              <w:rPr>
                <w:sz w:val="18"/>
                <w:szCs w:val="18"/>
              </w:rPr>
              <w:t>Nieuwe norm obv vergunde producten</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971B3E" w:rsidRDefault="00194E5A" w:rsidP="00EA67BC">
            <w:pPr>
              <w:jc w:val="left"/>
              <w:rPr>
                <w:sz w:val="18"/>
                <w:szCs w:val="18"/>
              </w:rPr>
            </w:pPr>
            <w:r w:rsidRPr="00971B3E">
              <w:rPr>
                <w:sz w:val="18"/>
                <w:szCs w:val="18"/>
              </w:rPr>
              <w:t>Trichloorethaan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µg/l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D46DC8" w:rsidP="00EA67BC">
            <w:pPr>
              <w:jc w:val="left"/>
              <w:rPr>
                <w:sz w:val="18"/>
                <w:szCs w:val="18"/>
              </w:rPr>
            </w:pPr>
            <w:r w:rsidRPr="0010463D">
              <w:rPr>
                <w:sz w:val="18"/>
                <w:szCs w:val="18"/>
              </w:rPr>
              <w:t>-</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50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971B3E" w:rsidP="00193B40">
            <w:pPr>
              <w:jc w:val="center"/>
              <w:rPr>
                <w:sz w:val="18"/>
                <w:szCs w:val="18"/>
              </w:rPr>
            </w:pPr>
            <w:r>
              <w:rPr>
                <w:sz w:val="18"/>
                <w:szCs w:val="18"/>
              </w:rPr>
              <w:t>Nieuwe norm obv vergunde producten</w:t>
            </w: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highlight w:val="yellow"/>
              </w:rPr>
            </w:pPr>
            <w:r w:rsidRPr="0010463D">
              <w:rPr>
                <w:sz w:val="18"/>
                <w:szCs w:val="18"/>
              </w:rPr>
              <w:t>Varia </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p>
        </w:tc>
        <w:tc>
          <w:tcPr>
            <w:tcW w:w="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4E5A" w:rsidRPr="0010463D" w:rsidRDefault="00194E5A" w:rsidP="00EA67BC">
            <w:pPr>
              <w:jc w:val="left"/>
              <w:rPr>
                <w:sz w:val="18"/>
                <w:szCs w:val="18"/>
              </w:rPr>
            </w:pPr>
          </w:p>
        </w:tc>
        <w:tc>
          <w:tcPr>
            <w:tcW w:w="8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4E5A" w:rsidRPr="0010463D" w:rsidRDefault="00194E5A" w:rsidP="00EA67BC">
            <w:pPr>
              <w:jc w:val="left"/>
              <w:rPr>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94E5A" w:rsidRPr="0010463D" w:rsidRDefault="00194E5A" w:rsidP="00EA67BC">
            <w:pPr>
              <w:jc w:val="left"/>
              <w:rPr>
                <w:sz w:val="18"/>
                <w:szCs w:val="18"/>
              </w:rPr>
            </w:pPr>
          </w:p>
        </w:tc>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4E5A" w:rsidRPr="0010463D" w:rsidRDefault="00194E5A" w:rsidP="00193B40">
            <w:pPr>
              <w:jc w:val="center"/>
              <w:rPr>
                <w:sz w:val="18"/>
                <w:szCs w:val="18"/>
              </w:rPr>
            </w:pPr>
          </w:p>
        </w:tc>
      </w:tr>
      <w:tr w:rsidR="00194E5A" w:rsidRPr="0010463D" w:rsidTr="00EA67BC">
        <w:trPr>
          <w:cantSplit/>
          <w:trHeight w:val="22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Detergenten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mg/l</w:t>
            </w:r>
          </w:p>
        </w:tc>
        <w:tc>
          <w:tcPr>
            <w:tcW w:w="956"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rsidR="00194E5A" w:rsidRPr="0010463D" w:rsidRDefault="00194E5A" w:rsidP="00EA67BC">
            <w:pPr>
              <w:jc w:val="left"/>
              <w:rPr>
                <w:sz w:val="18"/>
                <w:szCs w:val="18"/>
              </w:rPr>
            </w:pPr>
            <w:r w:rsidRPr="0010463D">
              <w:rPr>
                <w:sz w:val="18"/>
                <w:szCs w:val="18"/>
              </w:rPr>
              <w:t>BV</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3</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5A" w:rsidRPr="0010463D" w:rsidRDefault="00194E5A" w:rsidP="00EA67BC">
            <w:pPr>
              <w:jc w:val="left"/>
              <w:rPr>
                <w:sz w:val="18"/>
                <w:szCs w:val="18"/>
              </w:rPr>
            </w:pPr>
            <w:r w:rsidRPr="0010463D">
              <w:rPr>
                <w:sz w:val="18"/>
                <w:szCs w:val="18"/>
              </w:rPr>
              <w:t>BV</w:t>
            </w:r>
          </w:p>
        </w:tc>
        <w:tc>
          <w:tcPr>
            <w:tcW w:w="2153" w:type="dxa"/>
            <w:tcBorders>
              <w:top w:val="single" w:sz="4" w:space="0" w:color="auto"/>
              <w:left w:val="single" w:sz="4" w:space="0" w:color="auto"/>
              <w:bottom w:val="single" w:sz="4" w:space="0" w:color="auto"/>
              <w:right w:val="single" w:sz="4" w:space="0" w:color="auto"/>
            </w:tcBorders>
          </w:tcPr>
          <w:p w:rsidR="00194E5A" w:rsidRPr="0010463D" w:rsidRDefault="00EA67BC" w:rsidP="00193B40">
            <w:pPr>
              <w:jc w:val="center"/>
              <w:rPr>
                <w:sz w:val="18"/>
                <w:szCs w:val="18"/>
              </w:rPr>
            </w:pPr>
            <w:r w:rsidRPr="0010463D">
              <w:rPr>
                <w:sz w:val="18"/>
                <w:szCs w:val="18"/>
              </w:rPr>
              <w:t>Bestaande norm</w:t>
            </w:r>
          </w:p>
        </w:tc>
      </w:tr>
    </w:tbl>
    <w:p w:rsidR="009B1676" w:rsidRDefault="009B1676" w:rsidP="001B3335">
      <w:pPr>
        <w:pStyle w:val="voetnoottabel"/>
        <w:spacing w:line="240" w:lineRule="auto"/>
        <w:ind w:left="0" w:firstLine="0"/>
        <w:contextualSpacing/>
        <w:rPr>
          <w:sz w:val="18"/>
        </w:rPr>
      </w:pPr>
    </w:p>
    <w:p w:rsidR="009B1676" w:rsidRPr="00971B3E" w:rsidRDefault="009B1676" w:rsidP="009B1676">
      <w:pPr>
        <w:pStyle w:val="voetnoottabel"/>
        <w:spacing w:line="240" w:lineRule="auto"/>
        <w:contextualSpacing/>
        <w:rPr>
          <w:sz w:val="18"/>
        </w:rPr>
      </w:pPr>
      <w:r w:rsidRPr="00971B3E">
        <w:rPr>
          <w:sz w:val="18"/>
        </w:rPr>
        <w:t>BV :</w:t>
      </w:r>
      <w:r w:rsidRPr="00971B3E">
        <w:rPr>
          <w:sz w:val="18"/>
        </w:rPr>
        <w:tab/>
        <w:t>bijzondere vergunningsvoorwaarde</w:t>
      </w:r>
    </w:p>
    <w:p w:rsidR="009B1676" w:rsidRPr="00971B3E" w:rsidRDefault="009B1676" w:rsidP="009B1676">
      <w:pPr>
        <w:pStyle w:val="voetnoottabel"/>
        <w:spacing w:line="240" w:lineRule="auto"/>
        <w:contextualSpacing/>
        <w:rPr>
          <w:sz w:val="18"/>
        </w:rPr>
      </w:pPr>
      <w:r w:rsidRPr="00971B3E">
        <w:rPr>
          <w:sz w:val="18"/>
        </w:rPr>
        <w:t xml:space="preserve">GS : </w:t>
      </w:r>
      <w:r w:rsidRPr="00971B3E">
        <w:rPr>
          <w:sz w:val="18"/>
        </w:rPr>
        <w:tab/>
        <w:t>indelingscriterium gevaarlijke stoffen</w:t>
      </w:r>
    </w:p>
    <w:p w:rsidR="00971B3E" w:rsidRDefault="009B1676" w:rsidP="00971B3E">
      <w:pPr>
        <w:pStyle w:val="voetnoottabel"/>
        <w:rPr>
          <w:sz w:val="18"/>
        </w:rPr>
      </w:pPr>
      <w:r w:rsidRPr="00971B3E">
        <w:rPr>
          <w:sz w:val="18"/>
        </w:rPr>
        <w:t>SV :</w:t>
      </w:r>
      <w:r w:rsidRPr="00971B3E">
        <w:rPr>
          <w:sz w:val="18"/>
        </w:rPr>
        <w:tab/>
        <w:t>sectorale milieuvergunningsvoorwaarde</w:t>
      </w:r>
      <w:r w:rsidR="00971B3E" w:rsidRPr="00971B3E">
        <w:rPr>
          <w:sz w:val="18"/>
        </w:rPr>
        <w:t xml:space="preserve"> zoals opgenomen in bijlage 5.3.2 van Vlarem II</w:t>
      </w:r>
    </w:p>
    <w:p w:rsidR="00971B3E" w:rsidRPr="00971B3E" w:rsidRDefault="001B3335" w:rsidP="00971B3E">
      <w:pPr>
        <w:pStyle w:val="voetnoottabel"/>
        <w:rPr>
          <w:sz w:val="18"/>
        </w:rPr>
      </w:pPr>
      <w:r w:rsidRPr="00971B3E">
        <w:rPr>
          <w:sz w:val="18"/>
        </w:rPr>
        <w:t xml:space="preserve">VTA: </w:t>
      </w:r>
      <w:r w:rsidR="00971B3E" w:rsidRPr="00971B3E">
        <w:rPr>
          <w:sz w:val="18"/>
        </w:rPr>
        <w:tab/>
        <w:t>Vopak Terminal ACS</w:t>
      </w:r>
    </w:p>
    <w:p w:rsidR="00971B3E" w:rsidRPr="00971B3E" w:rsidRDefault="00971B3E" w:rsidP="00971B3E">
      <w:pPr>
        <w:pStyle w:val="voetnoottabel"/>
        <w:spacing w:line="240" w:lineRule="auto"/>
        <w:contextualSpacing/>
        <w:jc w:val="left"/>
        <w:rPr>
          <w:sz w:val="18"/>
        </w:rPr>
      </w:pPr>
      <w:r w:rsidRPr="00971B3E">
        <w:rPr>
          <w:sz w:val="18"/>
        </w:rPr>
        <w:t xml:space="preserve">VTE: </w:t>
      </w:r>
      <w:r w:rsidRPr="00971B3E">
        <w:rPr>
          <w:sz w:val="18"/>
        </w:rPr>
        <w:tab/>
      </w:r>
      <w:fldSimple w:instr=" REF klant \h  \* MERGEFORMAT ">
        <w:r w:rsidR="00F077DA" w:rsidRPr="00F077DA">
          <w:rPr>
            <w:sz w:val="18"/>
          </w:rPr>
          <w:t xml:space="preserve">Vopak Terminal Eurotank NV </w:t>
        </w:r>
      </w:fldSimple>
    </w:p>
    <w:p w:rsidR="00821B2F" w:rsidRPr="00821B2F" w:rsidRDefault="00821B2F" w:rsidP="00821B2F">
      <w:pPr>
        <w:rPr>
          <w:lang w:val="nl-NL"/>
        </w:rPr>
      </w:pPr>
    </w:p>
    <w:p w:rsidR="00821B2F" w:rsidRPr="00821B2F" w:rsidRDefault="00821B2F" w:rsidP="00821B2F">
      <w:pPr>
        <w:rPr>
          <w:lang w:val="nl-NL"/>
        </w:rPr>
      </w:pPr>
    </w:p>
    <w:p w:rsidR="00821B2F" w:rsidRPr="00821B2F" w:rsidRDefault="00821B2F" w:rsidP="00821B2F">
      <w:pPr>
        <w:rPr>
          <w:lang w:val="nl-NL"/>
        </w:rPr>
      </w:pPr>
    </w:p>
    <w:p w:rsidR="00971B3E" w:rsidRDefault="00971B3E">
      <w:pPr>
        <w:keepLines w:val="0"/>
        <w:spacing w:before="0" w:after="0" w:line="240" w:lineRule="auto"/>
        <w:jc w:val="left"/>
        <w:rPr>
          <w:lang w:val="nl-NL"/>
        </w:rPr>
      </w:pPr>
      <w:r>
        <w:rPr>
          <w:lang w:val="nl-NL"/>
        </w:rPr>
        <w:br w:type="page"/>
      </w:r>
    </w:p>
    <w:p w:rsidR="00617415" w:rsidRDefault="00301E20">
      <w:pPr>
        <w:keepNext/>
        <w:rPr>
          <w:lang w:val="nl-NL"/>
        </w:rPr>
      </w:pPr>
      <w:r>
        <w:rPr>
          <w:lang w:val="nl-NL"/>
        </w:rPr>
        <w:lastRenderedPageBreak/>
        <w:t xml:space="preserve">Ook het lozingsdebiet kan van jaar tot jaar zeer sterk variëren daar dit afhankelijk is van de neerslagintensiteit en de totale hoeveelheid neerslag op jaarbasis. Om deze variabelen te ondervangen wordt het in de toekomst te vergunnen lozingsdebiet afgestemd op maximale lozingsdebieten welke in het verleden zijn voorgekomen en uiteraard ook rekening houdend met de bijkomende verharde oppervlakte die zal aangelegd worden. </w:t>
      </w:r>
    </w:p>
    <w:p w:rsidR="00617415" w:rsidRDefault="00301E20">
      <w:pPr>
        <w:keepNext/>
        <w:rPr>
          <w:lang w:val="nl-NL"/>
        </w:rPr>
      </w:pPr>
      <w:r>
        <w:rPr>
          <w:lang w:val="nl-NL"/>
        </w:rPr>
        <w:t>De beoogde maximale lozingsdebieten bedragen:</w:t>
      </w:r>
    </w:p>
    <w:p w:rsidR="00617415" w:rsidRDefault="00301E20">
      <w:pPr>
        <w:pStyle w:val="ListParagraph"/>
        <w:keepNext/>
        <w:keepLines/>
        <w:numPr>
          <w:ilvl w:val="0"/>
          <w:numId w:val="97"/>
        </w:numPr>
        <w:rPr>
          <w:lang w:val="nl-NL"/>
        </w:rPr>
      </w:pPr>
      <w:r>
        <w:rPr>
          <w:lang w:val="nl-NL"/>
        </w:rPr>
        <w:t>30 m³/u</w:t>
      </w:r>
    </w:p>
    <w:p w:rsidR="00617415" w:rsidRDefault="00301E20">
      <w:pPr>
        <w:pStyle w:val="ListParagraph"/>
        <w:keepNext/>
        <w:keepLines/>
        <w:numPr>
          <w:ilvl w:val="0"/>
          <w:numId w:val="97"/>
        </w:numPr>
        <w:rPr>
          <w:lang w:val="nl-NL"/>
        </w:rPr>
      </w:pPr>
      <w:r>
        <w:rPr>
          <w:lang w:val="nl-NL"/>
        </w:rPr>
        <w:t>600 m³/d</w:t>
      </w:r>
    </w:p>
    <w:p w:rsidR="00617415" w:rsidRDefault="00301E20">
      <w:pPr>
        <w:pStyle w:val="ListParagraph"/>
        <w:keepNext/>
        <w:keepLines/>
        <w:numPr>
          <w:ilvl w:val="0"/>
          <w:numId w:val="97"/>
        </w:numPr>
        <w:rPr>
          <w:lang w:val="nl-NL"/>
        </w:rPr>
      </w:pPr>
      <w:r>
        <w:rPr>
          <w:lang w:val="nl-NL"/>
        </w:rPr>
        <w:t>130.000 m³/j</w:t>
      </w:r>
    </w:p>
    <w:p w:rsidR="00DD1863" w:rsidRDefault="008D2AEF">
      <w:pPr>
        <w:pStyle w:val="tit-5"/>
        <w:outlineLvl w:val="0"/>
        <w:rPr>
          <w:lang w:val="nl-NL"/>
        </w:rPr>
      </w:pPr>
      <w:r>
        <w:rPr>
          <w:lang w:val="nl-NL"/>
        </w:rPr>
        <w:t>evaluatie</w:t>
      </w:r>
    </w:p>
    <w:p w:rsidR="00617415" w:rsidRDefault="000242EA">
      <w:pPr>
        <w:keepNext/>
        <w:rPr>
          <w:lang w:val="nl-NL"/>
        </w:rPr>
      </w:pPr>
      <w:r>
        <w:rPr>
          <w:lang w:val="nl-NL"/>
        </w:rPr>
        <w:t xml:space="preserve">De evaluatie van de aan te vragen lozingsvoorwaarden is er op gericht om na te gaan </w:t>
      </w:r>
      <w:r w:rsidR="008327CD">
        <w:rPr>
          <w:lang w:val="nl-NL"/>
        </w:rPr>
        <w:t>of het toekennen van de gevraagde normen kan leiden tot een situatie waarbij er een onaanvaardbare impact op de kanaaldokken optreedt.</w:t>
      </w:r>
    </w:p>
    <w:p w:rsidR="00DA544A" w:rsidRDefault="008C3D07" w:rsidP="00DF272F">
      <w:pPr>
        <w:keepNext/>
        <w:rPr>
          <w:lang w:val="nl-NL"/>
        </w:rPr>
      </w:pPr>
      <w:r>
        <w:rPr>
          <w:lang w:val="nl-NL"/>
        </w:rPr>
        <w:t xml:space="preserve">In een worstcase zou men kunnen veronderstellen dat </w:t>
      </w:r>
      <w:r w:rsidR="00C325A0">
        <w:rPr>
          <w:lang w:val="nl-NL"/>
        </w:rPr>
        <w:fldChar w:fldCharType="begin"/>
      </w:r>
      <w:r>
        <w:rPr>
          <w:lang w:val="nl-NL"/>
        </w:rPr>
        <w:instrText xml:space="preserve"> klant </w:instrText>
      </w:r>
      <w:r w:rsidR="00C325A0">
        <w:rPr>
          <w:lang w:val="nl-NL"/>
        </w:rPr>
        <w:fldChar w:fldCharType="separate"/>
      </w:r>
      <w:r w:rsidR="008102D8">
        <w:t xml:space="preserve">Vopak Terminal Eurotank NV </w:t>
      </w:r>
      <w:r w:rsidR="00C325A0">
        <w:rPr>
          <w:lang w:val="nl-NL"/>
        </w:rPr>
        <w:fldChar w:fldCharType="end"/>
      </w:r>
      <w:r>
        <w:rPr>
          <w:lang w:val="nl-NL"/>
        </w:rPr>
        <w:t xml:space="preserve"> continu </w:t>
      </w:r>
      <w:r w:rsidRPr="00F8459F">
        <w:rPr>
          <w:lang w:val="nl-NL"/>
        </w:rPr>
        <w:t>afvalwater zou lozen à rato van het maximale debiet en waarbij de gehaltes aan de parameters net voldoen aan de beoogde lozingsnorm</w:t>
      </w:r>
      <w:r>
        <w:rPr>
          <w:lang w:val="nl-NL"/>
        </w:rPr>
        <w:t xml:space="preserve">. De impact van een dergelijke worstcase situatie met dezelfde formule als vermeld op p. </w:t>
      </w:r>
      <w:r w:rsidR="00C325A0">
        <w:rPr>
          <w:lang w:val="nl-NL"/>
        </w:rPr>
        <w:fldChar w:fldCharType="begin"/>
      </w:r>
      <w:r>
        <w:rPr>
          <w:lang w:val="nl-NL"/>
        </w:rPr>
        <w:instrText xml:space="preserve"> PAGEREF formule_impact \h </w:instrText>
      </w:r>
      <w:r w:rsidR="00C325A0">
        <w:rPr>
          <w:lang w:val="nl-NL"/>
        </w:rPr>
      </w:r>
      <w:r w:rsidR="00C325A0">
        <w:rPr>
          <w:lang w:val="nl-NL"/>
        </w:rPr>
        <w:fldChar w:fldCharType="separate"/>
      </w:r>
      <w:r w:rsidR="008102D8">
        <w:rPr>
          <w:noProof/>
          <w:lang w:val="nl-NL"/>
        </w:rPr>
        <w:t>VIII.11</w:t>
      </w:r>
      <w:r w:rsidR="00C325A0">
        <w:rPr>
          <w:lang w:val="nl-NL"/>
        </w:rPr>
        <w:fldChar w:fldCharType="end"/>
      </w:r>
      <w:r>
        <w:rPr>
          <w:lang w:val="nl-NL"/>
        </w:rPr>
        <w:t xml:space="preserve">, met dien verstande dat Cge = beoogde lozingsnorm en Qe = beoogd </w:t>
      </w:r>
      <w:r w:rsidR="00BA5D8D">
        <w:rPr>
          <w:lang w:val="nl-NL"/>
        </w:rPr>
        <w:t>maximaal jaar</w:t>
      </w:r>
      <w:r>
        <w:rPr>
          <w:lang w:val="nl-NL"/>
        </w:rPr>
        <w:t>debiet.</w:t>
      </w:r>
    </w:p>
    <w:p w:rsidR="00BA02A8" w:rsidRDefault="008C3D07" w:rsidP="00DF272F">
      <w:pPr>
        <w:keepNext/>
        <w:rPr>
          <w:lang w:val="nl-NL"/>
        </w:rPr>
      </w:pPr>
      <w:r>
        <w:rPr>
          <w:lang w:val="nl-NL"/>
        </w:rPr>
        <w:t xml:space="preserve">De voor de worstcase berekende bijdragen worden weergegeven in </w:t>
      </w:r>
      <w:r w:rsidRPr="00144494">
        <w:rPr>
          <w:lang w:val="nl-NL"/>
        </w:rPr>
        <w:t>tabel</w:t>
      </w:r>
      <w:r w:rsidR="00144494" w:rsidRPr="00144494">
        <w:rPr>
          <w:lang w:val="nl-NL"/>
        </w:rPr>
        <w:t xml:space="preserve"> </w:t>
      </w:r>
      <w:fldSimple w:instr=" REF t_water_impact_lozingsvwdn \h  \* MERGEFORMAT ">
        <w:r w:rsidR="008102D8">
          <w:t>VIII.1.4</w:t>
        </w:r>
      </w:fldSimple>
      <w:r w:rsidR="00301E20" w:rsidRPr="00144494">
        <w:rPr>
          <w:rStyle w:val="FootnoteReference"/>
          <w:lang w:val="nl-NL"/>
        </w:rPr>
        <w:footnoteReference w:id="50"/>
      </w:r>
      <w:r w:rsidRPr="00144494">
        <w:rPr>
          <w:lang w:val="nl-NL"/>
        </w:rPr>
        <w:t>.</w:t>
      </w:r>
    </w:p>
    <w:p w:rsidR="00DA544A" w:rsidRPr="008D4205" w:rsidRDefault="00BA02A8" w:rsidP="00DF272F">
      <w:pPr>
        <w:keepNext/>
        <w:rPr>
          <w:sz w:val="16"/>
          <w:szCs w:val="16"/>
          <w:u w:val="single"/>
          <w:lang w:val="nl-NL"/>
        </w:rPr>
      </w:pPr>
      <w:r w:rsidRPr="008D4205">
        <w:rPr>
          <w:sz w:val="16"/>
          <w:szCs w:val="16"/>
          <w:u w:val="single"/>
          <w:lang w:val="nl-NL"/>
        </w:rPr>
        <w:t>Legende</w:t>
      </w:r>
      <w:r w:rsidR="008D4205" w:rsidRPr="008D4205">
        <w:rPr>
          <w:sz w:val="16"/>
          <w:szCs w:val="16"/>
          <w:u w:val="single"/>
          <w:lang w:val="nl-NL"/>
        </w:rPr>
        <w:t xml:space="preserve"> voor in tabel </w:t>
      </w:r>
      <w:fldSimple w:instr=" REF t_water_impact_lozingsvwdn \h  \* MERGEFORMAT ">
        <w:r w:rsidR="00F077DA" w:rsidRPr="00F077DA">
          <w:rPr>
            <w:sz w:val="16"/>
            <w:szCs w:val="16"/>
            <w:u w:val="single"/>
          </w:rPr>
          <w:t>VIII.1.4</w:t>
        </w:r>
      </w:fldSimple>
      <w:r w:rsidR="008D4205" w:rsidRPr="008D4205">
        <w:rPr>
          <w:sz w:val="16"/>
          <w:szCs w:val="16"/>
          <w:u w:val="single"/>
          <w:lang w:val="nl-NL"/>
        </w:rPr>
        <w:t xml:space="preserve"> </w:t>
      </w:r>
      <w:r w:rsidRPr="008D4205">
        <w:rPr>
          <w:sz w:val="16"/>
          <w:szCs w:val="16"/>
          <w:u w:val="single"/>
          <w:lang w:val="nl-NL"/>
        </w:rPr>
        <w:t>:</w:t>
      </w:r>
    </w:p>
    <w:p w:rsidR="00BA02A8" w:rsidRPr="00144494" w:rsidRDefault="00BA02A8" w:rsidP="00BA02A8">
      <w:pPr>
        <w:pStyle w:val="voetnoottabel"/>
        <w:keepNext/>
        <w:widowContro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50"/>
        <w:gridCol w:w="7360"/>
      </w:tblGrid>
      <w:tr w:rsidR="00052D6F" w:rsidTr="00052D6F">
        <w:tc>
          <w:tcPr>
            <w:tcW w:w="959" w:type="dxa"/>
          </w:tcPr>
          <w:p w:rsidR="00052D6F" w:rsidRPr="00052D6F" w:rsidRDefault="00052D6F">
            <w:pPr>
              <w:keepLines w:val="0"/>
              <w:spacing w:before="0" w:after="0" w:line="240" w:lineRule="auto"/>
              <w:jc w:val="left"/>
              <w:rPr>
                <w:rFonts w:asciiTheme="minorHAnsi" w:hAnsiTheme="minorHAnsi" w:cstheme="minorHAnsi"/>
                <w:sz w:val="16"/>
                <w:szCs w:val="16"/>
              </w:rPr>
            </w:pPr>
            <w:r w:rsidRPr="00052D6F">
              <w:rPr>
                <w:rFonts w:asciiTheme="minorHAnsi" w:hAnsiTheme="minorHAnsi" w:cstheme="minorHAnsi"/>
                <w:sz w:val="16"/>
                <w:szCs w:val="16"/>
                <w:lang w:val="nl-NL"/>
              </w:rPr>
              <w:t>A.N.</w:t>
            </w:r>
          </w:p>
        </w:tc>
        <w:tc>
          <w:tcPr>
            <w:tcW w:w="850" w:type="dxa"/>
          </w:tcPr>
          <w:p w:rsidR="00052D6F" w:rsidRPr="00052D6F" w:rsidRDefault="00052D6F">
            <w:pPr>
              <w:keepLines w:val="0"/>
              <w:spacing w:before="0" w:after="0" w:line="240" w:lineRule="auto"/>
              <w:jc w:val="left"/>
              <w:rPr>
                <w:rFonts w:asciiTheme="minorHAnsi" w:hAnsiTheme="minorHAnsi" w:cstheme="minorHAnsi"/>
                <w:sz w:val="16"/>
                <w:szCs w:val="16"/>
              </w:rPr>
            </w:pPr>
          </w:p>
        </w:tc>
        <w:tc>
          <w:tcPr>
            <w:tcW w:w="7360" w:type="dxa"/>
          </w:tcPr>
          <w:p w:rsidR="006E7FF9" w:rsidRPr="00052D6F" w:rsidRDefault="00052D6F" w:rsidP="006E7FF9">
            <w:pPr>
              <w:keepLines w:val="0"/>
              <w:spacing w:before="0" w:after="0" w:line="240" w:lineRule="auto"/>
              <w:jc w:val="left"/>
              <w:rPr>
                <w:rFonts w:asciiTheme="minorHAnsi" w:hAnsiTheme="minorHAnsi" w:cstheme="minorHAnsi"/>
                <w:sz w:val="16"/>
                <w:szCs w:val="16"/>
              </w:rPr>
            </w:pPr>
            <w:r w:rsidRPr="00052D6F">
              <w:rPr>
                <w:rFonts w:asciiTheme="minorHAnsi" w:hAnsiTheme="minorHAnsi" w:cstheme="minorHAnsi"/>
                <w:sz w:val="16"/>
                <w:szCs w:val="16"/>
                <w:lang w:val="nl-NL"/>
              </w:rPr>
              <w:t>Aangevraagde norm</w:t>
            </w:r>
          </w:p>
        </w:tc>
      </w:tr>
      <w:tr w:rsidR="006E7FF9" w:rsidTr="00052D6F">
        <w:tc>
          <w:tcPr>
            <w:tcW w:w="959" w:type="dxa"/>
          </w:tcPr>
          <w:p w:rsidR="006E7FF9" w:rsidRPr="00052D6F" w:rsidRDefault="006E7FF9">
            <w:pPr>
              <w:keepLines w:val="0"/>
              <w:spacing w:before="0" w:after="0" w:line="240" w:lineRule="auto"/>
              <w:jc w:val="left"/>
              <w:rPr>
                <w:rFonts w:asciiTheme="minorHAnsi" w:hAnsiTheme="minorHAnsi" w:cstheme="minorHAnsi"/>
                <w:sz w:val="16"/>
                <w:szCs w:val="16"/>
              </w:rPr>
            </w:pPr>
            <w:r>
              <w:rPr>
                <w:rFonts w:asciiTheme="minorHAnsi" w:hAnsiTheme="minorHAnsi" w:cstheme="minorHAnsi"/>
                <w:sz w:val="16"/>
                <w:szCs w:val="16"/>
              </w:rPr>
              <w:t>Type A.N.</w:t>
            </w:r>
          </w:p>
        </w:tc>
        <w:tc>
          <w:tcPr>
            <w:tcW w:w="850" w:type="dxa"/>
          </w:tcPr>
          <w:p w:rsidR="006E7FF9" w:rsidRPr="00052D6F" w:rsidRDefault="006E7FF9">
            <w:pPr>
              <w:keepLines w:val="0"/>
              <w:spacing w:before="0" w:after="0" w:line="240" w:lineRule="auto"/>
              <w:jc w:val="left"/>
              <w:rPr>
                <w:rFonts w:asciiTheme="minorHAnsi" w:hAnsiTheme="minorHAnsi" w:cstheme="minorHAnsi"/>
                <w:sz w:val="16"/>
                <w:szCs w:val="16"/>
              </w:rPr>
            </w:pPr>
            <w:r>
              <w:rPr>
                <w:rFonts w:asciiTheme="minorHAnsi" w:hAnsiTheme="minorHAnsi" w:cstheme="minorHAnsi"/>
                <w:sz w:val="16"/>
                <w:szCs w:val="16"/>
              </w:rPr>
              <w:t>SV</w:t>
            </w:r>
          </w:p>
        </w:tc>
        <w:tc>
          <w:tcPr>
            <w:tcW w:w="7360" w:type="dxa"/>
          </w:tcPr>
          <w:p w:rsidR="006E7FF9" w:rsidRDefault="006E7FF9">
            <w:pPr>
              <w:keepLines w:val="0"/>
              <w:spacing w:before="0" w:after="0" w:line="240" w:lineRule="auto"/>
              <w:jc w:val="left"/>
              <w:rPr>
                <w:rFonts w:asciiTheme="minorHAnsi" w:hAnsiTheme="minorHAnsi" w:cstheme="minorHAnsi"/>
                <w:sz w:val="16"/>
                <w:szCs w:val="16"/>
              </w:rPr>
            </w:pPr>
            <w:r>
              <w:rPr>
                <w:rFonts w:asciiTheme="minorHAnsi" w:hAnsiTheme="minorHAnsi" w:cstheme="minorHAnsi"/>
                <w:sz w:val="16"/>
                <w:szCs w:val="16"/>
              </w:rPr>
              <w:t>Sectorale voorwaarde</w:t>
            </w:r>
            <w:r w:rsidR="00BD332B">
              <w:rPr>
                <w:rFonts w:asciiTheme="minorHAnsi" w:hAnsiTheme="minorHAnsi" w:cstheme="minorHAnsi"/>
                <w:sz w:val="16"/>
                <w:szCs w:val="16"/>
              </w:rPr>
              <w:t xml:space="preserve"> (bijlage 5.3.2 °53 Vlarem II)</w:t>
            </w:r>
          </w:p>
        </w:tc>
      </w:tr>
      <w:tr w:rsidR="006E7FF9" w:rsidTr="00052D6F">
        <w:tc>
          <w:tcPr>
            <w:tcW w:w="959" w:type="dxa"/>
          </w:tcPr>
          <w:p w:rsidR="006E7FF9" w:rsidRPr="00052D6F" w:rsidRDefault="006E7FF9">
            <w:pPr>
              <w:keepLines w:val="0"/>
              <w:spacing w:before="0" w:after="0" w:line="240" w:lineRule="auto"/>
              <w:jc w:val="left"/>
              <w:rPr>
                <w:rFonts w:asciiTheme="minorHAnsi" w:hAnsiTheme="minorHAnsi" w:cstheme="minorHAnsi"/>
                <w:sz w:val="16"/>
                <w:szCs w:val="16"/>
              </w:rPr>
            </w:pPr>
          </w:p>
        </w:tc>
        <w:tc>
          <w:tcPr>
            <w:tcW w:w="850" w:type="dxa"/>
          </w:tcPr>
          <w:p w:rsidR="006E7FF9" w:rsidRPr="00052D6F" w:rsidRDefault="006E7FF9">
            <w:pPr>
              <w:keepLines w:val="0"/>
              <w:spacing w:before="0" w:after="0" w:line="240" w:lineRule="auto"/>
              <w:jc w:val="left"/>
              <w:rPr>
                <w:rFonts w:asciiTheme="minorHAnsi" w:hAnsiTheme="minorHAnsi" w:cstheme="minorHAnsi"/>
                <w:sz w:val="16"/>
                <w:szCs w:val="16"/>
              </w:rPr>
            </w:pPr>
            <w:r>
              <w:rPr>
                <w:rFonts w:asciiTheme="minorHAnsi" w:hAnsiTheme="minorHAnsi" w:cstheme="minorHAnsi"/>
                <w:sz w:val="16"/>
                <w:szCs w:val="16"/>
              </w:rPr>
              <w:t>BV</w:t>
            </w:r>
          </w:p>
        </w:tc>
        <w:tc>
          <w:tcPr>
            <w:tcW w:w="7360" w:type="dxa"/>
          </w:tcPr>
          <w:p w:rsidR="006E7FF9" w:rsidRDefault="006E7FF9">
            <w:pPr>
              <w:keepLines w:val="0"/>
              <w:spacing w:before="0" w:after="0" w:line="240" w:lineRule="auto"/>
              <w:jc w:val="left"/>
              <w:rPr>
                <w:rFonts w:asciiTheme="minorHAnsi" w:hAnsiTheme="minorHAnsi" w:cstheme="minorHAnsi"/>
                <w:sz w:val="16"/>
                <w:szCs w:val="16"/>
              </w:rPr>
            </w:pPr>
            <w:r>
              <w:rPr>
                <w:rFonts w:asciiTheme="minorHAnsi" w:hAnsiTheme="minorHAnsi" w:cstheme="minorHAnsi"/>
                <w:sz w:val="16"/>
                <w:szCs w:val="16"/>
              </w:rPr>
              <w:t>Bijzondere voorwaarde</w:t>
            </w:r>
          </w:p>
        </w:tc>
      </w:tr>
      <w:tr w:rsidR="00052D6F" w:rsidTr="00052D6F">
        <w:tc>
          <w:tcPr>
            <w:tcW w:w="959" w:type="dxa"/>
          </w:tcPr>
          <w:p w:rsidR="00052D6F" w:rsidRPr="00052D6F" w:rsidRDefault="00052D6F">
            <w:pPr>
              <w:keepLines w:val="0"/>
              <w:spacing w:before="0" w:after="0" w:line="240" w:lineRule="auto"/>
              <w:jc w:val="left"/>
              <w:rPr>
                <w:rFonts w:asciiTheme="minorHAnsi" w:hAnsiTheme="minorHAnsi" w:cstheme="minorHAnsi"/>
                <w:sz w:val="16"/>
                <w:szCs w:val="16"/>
              </w:rPr>
            </w:pPr>
            <w:r w:rsidRPr="00052D6F">
              <w:rPr>
                <w:rFonts w:asciiTheme="minorHAnsi" w:hAnsiTheme="minorHAnsi" w:cstheme="minorHAnsi"/>
                <w:sz w:val="16"/>
                <w:szCs w:val="16"/>
              </w:rPr>
              <w:t>TW:</w:t>
            </w:r>
          </w:p>
        </w:tc>
        <w:tc>
          <w:tcPr>
            <w:tcW w:w="850" w:type="dxa"/>
          </w:tcPr>
          <w:p w:rsidR="00052D6F" w:rsidRPr="00052D6F" w:rsidRDefault="00052D6F">
            <w:pPr>
              <w:keepLines w:val="0"/>
              <w:spacing w:before="0" w:after="0" w:line="240" w:lineRule="auto"/>
              <w:jc w:val="left"/>
              <w:rPr>
                <w:rFonts w:asciiTheme="minorHAnsi" w:hAnsiTheme="minorHAnsi" w:cstheme="minorHAnsi"/>
                <w:sz w:val="16"/>
                <w:szCs w:val="16"/>
              </w:rPr>
            </w:pPr>
          </w:p>
        </w:tc>
        <w:tc>
          <w:tcPr>
            <w:tcW w:w="7360" w:type="dxa"/>
          </w:tcPr>
          <w:p w:rsidR="00052D6F" w:rsidRPr="00052D6F" w:rsidRDefault="00052D6F">
            <w:pPr>
              <w:keepLines w:val="0"/>
              <w:spacing w:before="0" w:after="0" w:line="240" w:lineRule="auto"/>
              <w:jc w:val="left"/>
              <w:rPr>
                <w:rFonts w:asciiTheme="minorHAnsi" w:hAnsiTheme="minorHAnsi" w:cstheme="minorHAnsi"/>
                <w:sz w:val="16"/>
                <w:szCs w:val="16"/>
              </w:rPr>
            </w:pPr>
            <w:r>
              <w:rPr>
                <w:rFonts w:asciiTheme="minorHAnsi" w:hAnsiTheme="minorHAnsi" w:cstheme="minorHAnsi"/>
                <w:sz w:val="16"/>
                <w:szCs w:val="16"/>
              </w:rPr>
              <w:t>T</w:t>
            </w:r>
            <w:r w:rsidRPr="00052D6F">
              <w:rPr>
                <w:rFonts w:asciiTheme="minorHAnsi" w:hAnsiTheme="minorHAnsi" w:cstheme="minorHAnsi"/>
                <w:sz w:val="16"/>
                <w:szCs w:val="16"/>
              </w:rPr>
              <w:t>oetsingswaarde</w:t>
            </w:r>
          </w:p>
        </w:tc>
      </w:tr>
      <w:tr w:rsidR="00052D6F" w:rsidTr="00052D6F">
        <w:tc>
          <w:tcPr>
            <w:tcW w:w="959" w:type="dxa"/>
          </w:tcPr>
          <w:p w:rsidR="00052D6F" w:rsidRPr="00052D6F" w:rsidRDefault="00052D6F">
            <w:pPr>
              <w:keepLines w:val="0"/>
              <w:spacing w:before="0" w:after="0" w:line="240" w:lineRule="auto"/>
              <w:jc w:val="left"/>
              <w:rPr>
                <w:rFonts w:asciiTheme="minorHAnsi" w:hAnsiTheme="minorHAnsi" w:cstheme="minorHAnsi"/>
                <w:sz w:val="16"/>
                <w:szCs w:val="16"/>
              </w:rPr>
            </w:pPr>
            <w:r w:rsidRPr="00052D6F">
              <w:rPr>
                <w:rFonts w:asciiTheme="minorHAnsi" w:hAnsiTheme="minorHAnsi" w:cstheme="minorHAnsi"/>
                <w:sz w:val="16"/>
                <w:szCs w:val="16"/>
              </w:rPr>
              <w:t>Type TW:</w:t>
            </w:r>
          </w:p>
        </w:tc>
        <w:tc>
          <w:tcPr>
            <w:tcW w:w="850" w:type="dxa"/>
          </w:tcPr>
          <w:p w:rsidR="00052D6F" w:rsidRPr="00052D6F" w:rsidRDefault="00052D6F">
            <w:pPr>
              <w:keepLines w:val="0"/>
              <w:spacing w:before="0" w:after="0" w:line="240" w:lineRule="auto"/>
              <w:jc w:val="left"/>
              <w:rPr>
                <w:rFonts w:asciiTheme="minorHAnsi" w:hAnsiTheme="minorHAnsi" w:cstheme="minorHAnsi"/>
                <w:sz w:val="16"/>
                <w:szCs w:val="16"/>
              </w:rPr>
            </w:pPr>
            <w:r w:rsidRPr="00052D6F">
              <w:rPr>
                <w:rFonts w:asciiTheme="minorHAnsi" w:hAnsiTheme="minorHAnsi" w:cstheme="minorHAnsi"/>
                <w:sz w:val="16"/>
                <w:szCs w:val="16"/>
              </w:rPr>
              <w:t>B-MKN:</w:t>
            </w:r>
          </w:p>
        </w:tc>
        <w:tc>
          <w:tcPr>
            <w:tcW w:w="7360" w:type="dxa"/>
          </w:tcPr>
          <w:p w:rsidR="00052D6F" w:rsidRPr="00052D6F" w:rsidRDefault="00052D6F">
            <w:pPr>
              <w:keepLines w:val="0"/>
              <w:spacing w:before="0" w:after="0" w:line="240" w:lineRule="auto"/>
              <w:jc w:val="left"/>
              <w:rPr>
                <w:rFonts w:asciiTheme="minorHAnsi" w:hAnsiTheme="minorHAnsi" w:cstheme="minorHAnsi"/>
                <w:sz w:val="16"/>
                <w:szCs w:val="16"/>
              </w:rPr>
            </w:pPr>
            <w:r>
              <w:rPr>
                <w:rFonts w:asciiTheme="minorHAnsi" w:hAnsiTheme="minorHAnsi" w:cstheme="minorHAnsi"/>
                <w:sz w:val="16"/>
                <w:szCs w:val="16"/>
              </w:rPr>
              <w:t>B</w:t>
            </w:r>
            <w:r w:rsidRPr="00052D6F">
              <w:rPr>
                <w:rFonts w:asciiTheme="minorHAnsi" w:hAnsiTheme="minorHAnsi" w:cstheme="minorHAnsi"/>
                <w:sz w:val="16"/>
                <w:szCs w:val="16"/>
              </w:rPr>
              <w:t>asismilieukwaliteitsnorm</w:t>
            </w:r>
          </w:p>
        </w:tc>
      </w:tr>
      <w:tr w:rsidR="00052D6F" w:rsidTr="00052D6F">
        <w:tc>
          <w:tcPr>
            <w:tcW w:w="959" w:type="dxa"/>
          </w:tcPr>
          <w:p w:rsidR="00052D6F" w:rsidRPr="00052D6F" w:rsidRDefault="00052D6F">
            <w:pPr>
              <w:keepLines w:val="0"/>
              <w:spacing w:before="0" w:after="0" w:line="240" w:lineRule="auto"/>
              <w:jc w:val="left"/>
              <w:rPr>
                <w:rFonts w:asciiTheme="minorHAnsi" w:hAnsiTheme="minorHAnsi" w:cstheme="minorHAnsi"/>
                <w:sz w:val="16"/>
                <w:szCs w:val="16"/>
              </w:rPr>
            </w:pPr>
          </w:p>
        </w:tc>
        <w:tc>
          <w:tcPr>
            <w:tcW w:w="850" w:type="dxa"/>
          </w:tcPr>
          <w:p w:rsidR="00052D6F" w:rsidRPr="00052D6F" w:rsidRDefault="00052D6F">
            <w:pPr>
              <w:keepLines w:val="0"/>
              <w:spacing w:before="0" w:after="0" w:line="240" w:lineRule="auto"/>
              <w:jc w:val="left"/>
              <w:rPr>
                <w:rFonts w:asciiTheme="minorHAnsi" w:hAnsiTheme="minorHAnsi" w:cstheme="minorHAnsi"/>
                <w:sz w:val="16"/>
                <w:szCs w:val="16"/>
              </w:rPr>
            </w:pPr>
            <w:r w:rsidRPr="00052D6F">
              <w:rPr>
                <w:rFonts w:asciiTheme="minorHAnsi" w:hAnsiTheme="minorHAnsi" w:cstheme="minorHAnsi"/>
                <w:sz w:val="16"/>
                <w:szCs w:val="16"/>
              </w:rPr>
              <w:t>MTR:</w:t>
            </w:r>
          </w:p>
        </w:tc>
        <w:tc>
          <w:tcPr>
            <w:tcW w:w="7360" w:type="dxa"/>
          </w:tcPr>
          <w:p w:rsidR="00052D6F" w:rsidRPr="00052D6F" w:rsidRDefault="00052D6F" w:rsidP="00052D6F">
            <w:pPr>
              <w:pStyle w:val="voetnoottabel"/>
              <w:keepNext/>
              <w:widowControl/>
              <w:rPr>
                <w:rFonts w:asciiTheme="minorHAnsi" w:hAnsiTheme="minorHAnsi" w:cstheme="minorHAnsi"/>
                <w:szCs w:val="16"/>
              </w:rPr>
            </w:pPr>
            <w:r>
              <w:rPr>
                <w:rFonts w:asciiTheme="minorHAnsi" w:hAnsiTheme="minorHAnsi" w:cstheme="minorHAnsi"/>
                <w:szCs w:val="16"/>
              </w:rPr>
              <w:t>M</w:t>
            </w:r>
            <w:r w:rsidRPr="00052D6F">
              <w:rPr>
                <w:rFonts w:asciiTheme="minorHAnsi" w:hAnsiTheme="minorHAnsi" w:cstheme="minorHAnsi"/>
                <w:szCs w:val="16"/>
              </w:rPr>
              <w:t>aximaal toelaatbaar risiconiveau (Nederlandse ad hoc norm)</w:t>
            </w:r>
          </w:p>
        </w:tc>
      </w:tr>
      <w:tr w:rsidR="00052D6F" w:rsidTr="00052D6F">
        <w:tc>
          <w:tcPr>
            <w:tcW w:w="959" w:type="dxa"/>
          </w:tcPr>
          <w:p w:rsidR="00052D6F" w:rsidRPr="00052D6F" w:rsidRDefault="00052D6F">
            <w:pPr>
              <w:keepLines w:val="0"/>
              <w:spacing w:before="0" w:after="0" w:line="240" w:lineRule="auto"/>
              <w:jc w:val="left"/>
              <w:rPr>
                <w:rFonts w:asciiTheme="minorHAnsi" w:hAnsiTheme="minorHAnsi" w:cstheme="minorHAnsi"/>
                <w:sz w:val="16"/>
                <w:szCs w:val="16"/>
              </w:rPr>
            </w:pPr>
          </w:p>
        </w:tc>
        <w:tc>
          <w:tcPr>
            <w:tcW w:w="850" w:type="dxa"/>
          </w:tcPr>
          <w:p w:rsidR="00052D6F" w:rsidRPr="00052D6F" w:rsidRDefault="00052D6F">
            <w:pPr>
              <w:keepLines w:val="0"/>
              <w:spacing w:before="0" w:after="0" w:line="240" w:lineRule="auto"/>
              <w:jc w:val="left"/>
              <w:rPr>
                <w:rFonts w:asciiTheme="minorHAnsi" w:hAnsiTheme="minorHAnsi" w:cstheme="minorHAnsi"/>
                <w:sz w:val="16"/>
                <w:szCs w:val="16"/>
              </w:rPr>
            </w:pPr>
            <w:r w:rsidRPr="00052D6F">
              <w:rPr>
                <w:rFonts w:asciiTheme="minorHAnsi" w:hAnsiTheme="minorHAnsi" w:cstheme="minorHAnsi"/>
                <w:sz w:val="16"/>
                <w:szCs w:val="16"/>
              </w:rPr>
              <w:t>*:</w:t>
            </w:r>
          </w:p>
        </w:tc>
        <w:tc>
          <w:tcPr>
            <w:tcW w:w="7360" w:type="dxa"/>
          </w:tcPr>
          <w:p w:rsidR="00052D6F" w:rsidRPr="00052D6F" w:rsidRDefault="00052D6F">
            <w:pPr>
              <w:keepLines w:val="0"/>
              <w:spacing w:before="0" w:after="0" w:line="240" w:lineRule="auto"/>
              <w:jc w:val="left"/>
              <w:rPr>
                <w:rFonts w:asciiTheme="minorHAnsi" w:hAnsiTheme="minorHAnsi" w:cstheme="minorHAnsi"/>
                <w:sz w:val="16"/>
                <w:szCs w:val="16"/>
              </w:rPr>
            </w:pPr>
            <w:r w:rsidRPr="00052D6F">
              <w:rPr>
                <w:rFonts w:asciiTheme="minorHAnsi" w:hAnsiTheme="minorHAnsi" w:cstheme="minorHAnsi"/>
                <w:sz w:val="16"/>
                <w:szCs w:val="16"/>
              </w:rPr>
              <w:t>De basismilieukwaliteitsnormen voor metalen refereren in beginsel naar de opgeloste fracties van metalen. De doelstellingen voor opgeloste fracties kunnen evenwel m.b.v. de evenwichtspartitiemethode omgerekend worden naar waarden die betrekking hebben op totale gehaltes. Deze laatste stemmen overeen met het indelingscriterium GS. Gezien de effluentconcentraties betrekking hebben op totale gehaltes, wordt dan ook aan deze laatste waarde getoetst.</w:t>
            </w:r>
          </w:p>
        </w:tc>
      </w:tr>
      <w:tr w:rsidR="00052D6F" w:rsidTr="00052D6F">
        <w:tc>
          <w:tcPr>
            <w:tcW w:w="959" w:type="dxa"/>
          </w:tcPr>
          <w:p w:rsidR="00052D6F" w:rsidRPr="00052D6F" w:rsidRDefault="00052D6F" w:rsidP="00024541">
            <w:pPr>
              <w:pStyle w:val="voetnoottabel"/>
              <w:keepNext/>
              <w:rPr>
                <w:rFonts w:asciiTheme="minorHAnsi" w:hAnsiTheme="minorHAnsi" w:cstheme="minorHAnsi"/>
                <w:szCs w:val="16"/>
              </w:rPr>
            </w:pPr>
            <w:r w:rsidRPr="00052D6F">
              <w:rPr>
                <w:rFonts w:asciiTheme="minorHAnsi" w:hAnsiTheme="minorHAnsi" w:cstheme="minorHAnsi"/>
                <w:szCs w:val="16"/>
              </w:rPr>
              <w:t xml:space="preserve">Cv: </w:t>
            </w:r>
          </w:p>
        </w:tc>
        <w:tc>
          <w:tcPr>
            <w:tcW w:w="850" w:type="dxa"/>
          </w:tcPr>
          <w:p w:rsidR="00052D6F" w:rsidRPr="00052D6F" w:rsidRDefault="00052D6F" w:rsidP="00024541">
            <w:pPr>
              <w:pStyle w:val="voetnoottabel"/>
              <w:keepNext/>
              <w:rPr>
                <w:rFonts w:asciiTheme="minorHAnsi" w:hAnsiTheme="minorHAnsi" w:cstheme="minorHAnsi"/>
                <w:szCs w:val="16"/>
              </w:rPr>
            </w:pPr>
          </w:p>
        </w:tc>
        <w:tc>
          <w:tcPr>
            <w:tcW w:w="7360" w:type="dxa"/>
          </w:tcPr>
          <w:p w:rsidR="00052D6F" w:rsidRPr="00052D6F" w:rsidRDefault="00052D6F" w:rsidP="00052D6F">
            <w:pPr>
              <w:pStyle w:val="voetnoottabel"/>
              <w:keepNext/>
              <w:ind w:left="0" w:firstLine="0"/>
              <w:rPr>
                <w:rFonts w:asciiTheme="minorHAnsi" w:hAnsiTheme="minorHAnsi" w:cstheme="minorHAnsi"/>
                <w:szCs w:val="16"/>
              </w:rPr>
            </w:pPr>
            <w:r>
              <w:rPr>
                <w:rFonts w:asciiTheme="minorHAnsi" w:hAnsiTheme="minorHAnsi" w:cstheme="minorHAnsi"/>
                <w:szCs w:val="16"/>
              </w:rPr>
              <w:t>B</w:t>
            </w:r>
            <w:r w:rsidRPr="00052D6F">
              <w:rPr>
                <w:rFonts w:asciiTheme="minorHAnsi" w:hAnsiTheme="minorHAnsi" w:cstheme="minorHAnsi"/>
                <w:szCs w:val="16"/>
              </w:rPr>
              <w:t>erekende concentratieverhoging veroorzaakt door de lozing van VTE</w:t>
            </w:r>
          </w:p>
        </w:tc>
      </w:tr>
      <w:tr w:rsidR="00052D6F" w:rsidTr="00052D6F">
        <w:tc>
          <w:tcPr>
            <w:tcW w:w="959" w:type="dxa"/>
          </w:tcPr>
          <w:p w:rsidR="00052D6F" w:rsidRPr="00052D6F" w:rsidRDefault="00052D6F">
            <w:pPr>
              <w:keepLines w:val="0"/>
              <w:spacing w:before="0" w:after="0" w:line="240" w:lineRule="auto"/>
              <w:jc w:val="left"/>
              <w:rPr>
                <w:rFonts w:asciiTheme="minorHAnsi" w:hAnsiTheme="minorHAnsi" w:cstheme="minorHAnsi"/>
                <w:sz w:val="16"/>
                <w:szCs w:val="16"/>
              </w:rPr>
            </w:pPr>
            <w:r w:rsidRPr="00052D6F">
              <w:rPr>
                <w:rFonts w:asciiTheme="minorHAnsi" w:hAnsiTheme="minorHAnsi" w:cstheme="minorHAnsi"/>
                <w:sz w:val="16"/>
                <w:szCs w:val="16"/>
              </w:rPr>
              <w:t>%TW</w:t>
            </w:r>
          </w:p>
        </w:tc>
        <w:tc>
          <w:tcPr>
            <w:tcW w:w="850" w:type="dxa"/>
          </w:tcPr>
          <w:p w:rsidR="00052D6F" w:rsidRPr="00052D6F" w:rsidRDefault="00052D6F">
            <w:pPr>
              <w:keepLines w:val="0"/>
              <w:spacing w:before="0" w:after="0" w:line="240" w:lineRule="auto"/>
              <w:jc w:val="left"/>
              <w:rPr>
                <w:rFonts w:asciiTheme="minorHAnsi" w:hAnsiTheme="minorHAnsi" w:cstheme="minorHAnsi"/>
                <w:sz w:val="16"/>
                <w:szCs w:val="16"/>
              </w:rPr>
            </w:pPr>
          </w:p>
        </w:tc>
        <w:tc>
          <w:tcPr>
            <w:tcW w:w="7360" w:type="dxa"/>
          </w:tcPr>
          <w:p w:rsidR="00052D6F" w:rsidRPr="00052D6F" w:rsidRDefault="00052D6F">
            <w:pPr>
              <w:keepLines w:val="0"/>
              <w:spacing w:before="0" w:after="0" w:line="240" w:lineRule="auto"/>
              <w:jc w:val="left"/>
              <w:rPr>
                <w:rFonts w:asciiTheme="minorHAnsi" w:hAnsiTheme="minorHAnsi" w:cstheme="minorHAnsi"/>
                <w:sz w:val="16"/>
                <w:szCs w:val="16"/>
              </w:rPr>
            </w:pPr>
            <w:r>
              <w:rPr>
                <w:rFonts w:asciiTheme="minorHAnsi" w:hAnsiTheme="minorHAnsi" w:cstheme="minorHAnsi"/>
                <w:sz w:val="16"/>
                <w:szCs w:val="16"/>
              </w:rPr>
              <w:t>P</w:t>
            </w:r>
            <w:r w:rsidRPr="00052D6F">
              <w:rPr>
                <w:rFonts w:asciiTheme="minorHAnsi" w:hAnsiTheme="minorHAnsi" w:cstheme="minorHAnsi"/>
                <w:sz w:val="16"/>
                <w:szCs w:val="16"/>
              </w:rPr>
              <w:t>rocentueel aandeel berekende concentratieverhoging vs. TW</w:t>
            </w:r>
          </w:p>
        </w:tc>
      </w:tr>
    </w:tbl>
    <w:p w:rsidR="00024541" w:rsidRDefault="00024541">
      <w:pPr>
        <w:keepLines w:val="0"/>
        <w:spacing w:before="0" w:after="0" w:line="240" w:lineRule="auto"/>
        <w:jc w:val="left"/>
      </w:pPr>
    </w:p>
    <w:p w:rsidR="00024541" w:rsidRPr="008C3D07" w:rsidRDefault="00024541" w:rsidP="00024541">
      <w:pPr>
        <w:rPr>
          <w:lang w:val="nl-NL"/>
        </w:rPr>
      </w:pPr>
      <w:r>
        <w:rPr>
          <w:lang w:val="nl-NL"/>
        </w:rPr>
        <w:t>Uit de worstcase simulatie blijkt dat de impact van de lozing in een dergelijk geval nog steeds als (zeer) beperkt te beoordelen is. Voor geen enkele parameter wordt immers een immissiebijdrage van meer dan 10% begroot. Het is zelfs zo dat voor de meeste parameters de worstcase impact zelfs als verwaarloosbaar te beschouwen is.</w:t>
      </w:r>
    </w:p>
    <w:p w:rsidR="00BA02A8" w:rsidRDefault="00BA02A8">
      <w:pPr>
        <w:keepLines w:val="0"/>
        <w:spacing w:before="0" w:after="0" w:line="240" w:lineRule="auto"/>
        <w:jc w:val="left"/>
        <w:rPr>
          <w:b/>
          <w:sz w:val="18"/>
          <w:szCs w:val="18"/>
          <w:lang w:val="nl-NL"/>
        </w:rPr>
      </w:pPr>
      <w:r>
        <w:br w:type="page"/>
      </w:r>
    </w:p>
    <w:p w:rsidR="00144494" w:rsidRDefault="00144494" w:rsidP="00BA02A8">
      <w:pPr>
        <w:pStyle w:val="tabel0"/>
      </w:pPr>
      <w:r>
        <w:lastRenderedPageBreak/>
        <w:t xml:space="preserve">Tabel </w:t>
      </w:r>
      <w:r w:rsidR="00C325A0">
        <w:fldChar w:fldCharType="begin"/>
      </w:r>
      <w:r>
        <w:instrText xml:space="preserve"> REF t_water_impact_lozingsvwdn \h </w:instrText>
      </w:r>
      <w:r w:rsidR="00C325A0">
        <w:fldChar w:fldCharType="separate"/>
      </w:r>
      <w:r w:rsidR="008102D8">
        <w:t>VIII.1.</w:t>
      </w:r>
      <w:r w:rsidR="008102D8">
        <w:rPr>
          <w:noProof/>
        </w:rPr>
        <w:t>4</w:t>
      </w:r>
      <w:r w:rsidR="00C325A0">
        <w:fldChar w:fldCharType="end"/>
      </w:r>
      <w:r>
        <w:tab/>
        <w:t>Worstcase impact lozing bedrijfsafvalwater</w:t>
      </w:r>
    </w:p>
    <w:tbl>
      <w:tblPr>
        <w:tblW w:w="10488" w:type="dxa"/>
        <w:tblInd w:w="-731" w:type="dxa"/>
        <w:tblLayout w:type="fixed"/>
        <w:tblCellMar>
          <w:left w:w="70" w:type="dxa"/>
          <w:right w:w="70" w:type="dxa"/>
        </w:tblCellMar>
        <w:tblLook w:val="04A0"/>
      </w:tblPr>
      <w:tblGrid>
        <w:gridCol w:w="1657"/>
        <w:gridCol w:w="779"/>
        <w:gridCol w:w="639"/>
        <w:gridCol w:w="605"/>
        <w:gridCol w:w="605"/>
        <w:gridCol w:w="755"/>
        <w:gridCol w:w="908"/>
        <w:gridCol w:w="908"/>
        <w:gridCol w:w="908"/>
        <w:gridCol w:w="908"/>
        <w:gridCol w:w="908"/>
        <w:gridCol w:w="908"/>
      </w:tblGrid>
      <w:tr w:rsidR="00DA544A" w:rsidRPr="006E7FF9" w:rsidTr="00024541">
        <w:trPr>
          <w:cantSplit/>
          <w:trHeight w:val="255"/>
          <w:tblHeader/>
        </w:trPr>
        <w:tc>
          <w:tcPr>
            <w:tcW w:w="165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544A" w:rsidRPr="000173BF" w:rsidRDefault="00A34A14" w:rsidP="00BA02A8">
            <w:pPr>
              <w:keepNext/>
              <w:spacing w:after="0" w:line="240" w:lineRule="auto"/>
              <w:jc w:val="left"/>
              <w:rPr>
                <w:rFonts w:cs="Calibri"/>
                <w:b/>
                <w:i/>
                <w:sz w:val="16"/>
                <w:szCs w:val="16"/>
              </w:rPr>
            </w:pPr>
            <w:r w:rsidRPr="000173BF">
              <w:rPr>
                <w:rFonts w:cs="Calibri"/>
                <w:b/>
                <w:i/>
                <w:sz w:val="16"/>
                <w:szCs w:val="16"/>
              </w:rPr>
              <w:t>Parameter</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A544A" w:rsidRPr="000173BF" w:rsidRDefault="00A34A14" w:rsidP="00BA02A8">
            <w:pPr>
              <w:keepNext/>
              <w:spacing w:after="0" w:line="240" w:lineRule="auto"/>
              <w:jc w:val="left"/>
              <w:rPr>
                <w:rFonts w:cs="Calibri"/>
                <w:b/>
                <w:sz w:val="16"/>
                <w:szCs w:val="16"/>
              </w:rPr>
            </w:pPr>
            <w:r w:rsidRPr="000173BF">
              <w:rPr>
                <w:rFonts w:cs="Calibri"/>
                <w:b/>
                <w:sz w:val="16"/>
                <w:szCs w:val="16"/>
              </w:rPr>
              <w:t> Eenheid</w:t>
            </w:r>
          </w:p>
        </w:tc>
        <w:tc>
          <w:tcPr>
            <w:tcW w:w="63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544A" w:rsidRPr="000173BF" w:rsidRDefault="00A34A14" w:rsidP="00BA02A8">
            <w:pPr>
              <w:keepNext/>
              <w:spacing w:after="0" w:line="240" w:lineRule="auto"/>
              <w:jc w:val="left"/>
              <w:rPr>
                <w:rFonts w:cs="Calibri"/>
                <w:b/>
                <w:sz w:val="16"/>
                <w:szCs w:val="16"/>
              </w:rPr>
            </w:pPr>
            <w:r w:rsidRPr="000173BF">
              <w:rPr>
                <w:rFonts w:cs="Calibri"/>
                <w:b/>
                <w:sz w:val="16"/>
                <w:szCs w:val="16"/>
              </w:rPr>
              <w:t>A.N.</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544A" w:rsidRPr="000173BF" w:rsidRDefault="00A34A14" w:rsidP="00BA02A8">
            <w:pPr>
              <w:keepNext/>
              <w:spacing w:after="0" w:line="240" w:lineRule="auto"/>
              <w:jc w:val="left"/>
              <w:rPr>
                <w:rFonts w:cs="Calibri"/>
                <w:b/>
                <w:sz w:val="16"/>
                <w:szCs w:val="16"/>
              </w:rPr>
            </w:pPr>
            <w:r w:rsidRPr="000173BF">
              <w:rPr>
                <w:rFonts w:cs="Calibri"/>
                <w:b/>
                <w:sz w:val="16"/>
                <w:szCs w:val="16"/>
              </w:rPr>
              <w:t>type</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544A" w:rsidRPr="000173BF" w:rsidRDefault="00A34A14" w:rsidP="00BA02A8">
            <w:pPr>
              <w:keepNext/>
              <w:spacing w:after="0" w:line="240" w:lineRule="auto"/>
              <w:jc w:val="center"/>
              <w:rPr>
                <w:rFonts w:cs="Calibri"/>
                <w:b/>
                <w:sz w:val="16"/>
                <w:szCs w:val="16"/>
              </w:rPr>
            </w:pPr>
            <w:r w:rsidRPr="000173BF">
              <w:rPr>
                <w:rFonts w:cs="Calibri"/>
                <w:b/>
                <w:sz w:val="16"/>
                <w:szCs w:val="16"/>
              </w:rPr>
              <w:t>TW</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544A" w:rsidRPr="000173BF" w:rsidRDefault="00A34A14" w:rsidP="00BA02A8">
            <w:pPr>
              <w:keepNext/>
              <w:spacing w:after="0" w:line="240" w:lineRule="auto"/>
              <w:jc w:val="center"/>
              <w:rPr>
                <w:rFonts w:cs="Calibri"/>
                <w:b/>
                <w:sz w:val="16"/>
                <w:szCs w:val="16"/>
              </w:rPr>
            </w:pPr>
            <w:r w:rsidRPr="000173BF">
              <w:rPr>
                <w:rFonts w:cs="Calibri"/>
                <w:b/>
                <w:sz w:val="16"/>
                <w:szCs w:val="16"/>
              </w:rPr>
              <w:t>Type</w:t>
            </w:r>
          </w:p>
        </w:tc>
        <w:tc>
          <w:tcPr>
            <w:tcW w:w="1816"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544A" w:rsidRPr="000173BF" w:rsidRDefault="00A34A14" w:rsidP="00BA02A8">
            <w:pPr>
              <w:keepNext/>
              <w:spacing w:after="0" w:line="240" w:lineRule="auto"/>
              <w:jc w:val="center"/>
              <w:rPr>
                <w:rFonts w:cs="Calibri"/>
                <w:b/>
                <w:sz w:val="16"/>
                <w:szCs w:val="16"/>
              </w:rPr>
            </w:pPr>
            <w:r w:rsidRPr="000173BF">
              <w:rPr>
                <w:rFonts w:cs="Calibri"/>
                <w:b/>
                <w:sz w:val="16"/>
                <w:szCs w:val="16"/>
              </w:rPr>
              <w:t>Impact thv 5de Havendok</w:t>
            </w:r>
          </w:p>
        </w:tc>
        <w:tc>
          <w:tcPr>
            <w:tcW w:w="1816"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544A" w:rsidRPr="000173BF" w:rsidRDefault="00A34A14" w:rsidP="00BA02A8">
            <w:pPr>
              <w:keepNext/>
              <w:spacing w:after="0" w:line="240" w:lineRule="auto"/>
              <w:jc w:val="center"/>
              <w:rPr>
                <w:rFonts w:cs="Calibri"/>
                <w:b/>
                <w:sz w:val="16"/>
                <w:szCs w:val="16"/>
              </w:rPr>
            </w:pPr>
            <w:r w:rsidRPr="000173BF">
              <w:rPr>
                <w:rFonts w:cs="Calibri"/>
                <w:b/>
                <w:sz w:val="16"/>
                <w:szCs w:val="16"/>
              </w:rPr>
              <w:t>Impact thv Hansadok</w:t>
            </w:r>
          </w:p>
        </w:tc>
        <w:tc>
          <w:tcPr>
            <w:tcW w:w="1816"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544A" w:rsidRPr="000173BF" w:rsidRDefault="00A34A14" w:rsidP="00BA02A8">
            <w:pPr>
              <w:keepNext/>
              <w:spacing w:after="0" w:line="240" w:lineRule="auto"/>
              <w:jc w:val="center"/>
              <w:rPr>
                <w:rFonts w:cs="Calibri"/>
                <w:b/>
                <w:sz w:val="16"/>
                <w:szCs w:val="16"/>
              </w:rPr>
            </w:pPr>
            <w:r w:rsidRPr="000173BF">
              <w:rPr>
                <w:rFonts w:cs="Calibri"/>
                <w:b/>
                <w:sz w:val="16"/>
                <w:szCs w:val="16"/>
              </w:rPr>
              <w:t>Impact thv Zwaaikom</w:t>
            </w:r>
          </w:p>
        </w:tc>
      </w:tr>
      <w:tr w:rsidR="00DA544A" w:rsidRPr="006E7FF9" w:rsidTr="00024541">
        <w:trPr>
          <w:cantSplit/>
          <w:trHeight w:val="255"/>
          <w:tblHeader/>
        </w:trPr>
        <w:tc>
          <w:tcPr>
            <w:tcW w:w="165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544A" w:rsidRPr="000173BF" w:rsidRDefault="00DA544A" w:rsidP="00BA02A8">
            <w:pPr>
              <w:keepNext/>
              <w:spacing w:after="0" w:line="240" w:lineRule="auto"/>
              <w:rPr>
                <w:rFonts w:cs="Calibri"/>
                <w:b/>
                <w:i/>
                <w:sz w:val="16"/>
                <w:szCs w:val="16"/>
              </w:rPr>
            </w:pPr>
          </w:p>
        </w:tc>
        <w:tc>
          <w:tcPr>
            <w:tcW w:w="77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A544A" w:rsidRPr="000173BF" w:rsidRDefault="00DA544A" w:rsidP="00BA02A8">
            <w:pPr>
              <w:keepNext/>
              <w:spacing w:after="0" w:line="240" w:lineRule="auto"/>
              <w:rPr>
                <w:rFonts w:cs="Calibri"/>
                <w:b/>
                <w:sz w:val="16"/>
                <w:szCs w:val="16"/>
              </w:rPr>
            </w:pPr>
          </w:p>
        </w:tc>
        <w:tc>
          <w:tcPr>
            <w:tcW w:w="63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544A" w:rsidRPr="000173BF" w:rsidRDefault="00DA544A" w:rsidP="00BA02A8">
            <w:pPr>
              <w:keepNext/>
              <w:spacing w:after="0" w:line="240" w:lineRule="auto"/>
              <w:rPr>
                <w:rFonts w:cs="Calibri"/>
                <w:b/>
                <w:sz w:val="16"/>
                <w:szCs w:val="16"/>
              </w:rPr>
            </w:pPr>
          </w:p>
        </w:tc>
        <w:tc>
          <w:tcPr>
            <w:tcW w:w="60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544A" w:rsidRPr="000173BF" w:rsidRDefault="00DA544A" w:rsidP="00BA02A8">
            <w:pPr>
              <w:keepNext/>
              <w:spacing w:after="0" w:line="240" w:lineRule="auto"/>
              <w:rPr>
                <w:rFonts w:cs="Calibri"/>
                <w:b/>
                <w:sz w:val="16"/>
                <w:szCs w:val="16"/>
              </w:rPr>
            </w:pPr>
          </w:p>
        </w:tc>
        <w:tc>
          <w:tcPr>
            <w:tcW w:w="60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544A" w:rsidRPr="000173BF" w:rsidRDefault="00DA544A" w:rsidP="00BA02A8">
            <w:pPr>
              <w:keepNext/>
              <w:spacing w:after="0" w:line="240" w:lineRule="auto"/>
              <w:jc w:val="center"/>
              <w:rPr>
                <w:rFonts w:cs="Calibri"/>
                <w:b/>
                <w:sz w:val="16"/>
                <w:szCs w:val="16"/>
              </w:rPr>
            </w:pPr>
          </w:p>
        </w:tc>
        <w:tc>
          <w:tcPr>
            <w:tcW w:w="75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544A" w:rsidRPr="000173BF" w:rsidRDefault="00DA544A" w:rsidP="00BA02A8">
            <w:pPr>
              <w:keepNext/>
              <w:spacing w:after="0" w:line="240" w:lineRule="auto"/>
              <w:rPr>
                <w:rFonts w:cs="Calibri"/>
                <w:b/>
                <w:sz w:val="16"/>
                <w:szCs w:val="16"/>
              </w:rPr>
            </w:pPr>
          </w:p>
        </w:tc>
        <w:tc>
          <w:tcPr>
            <w:tcW w:w="90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544A" w:rsidRPr="000173BF" w:rsidRDefault="00A34A14" w:rsidP="00BA02A8">
            <w:pPr>
              <w:keepNext/>
              <w:spacing w:after="0" w:line="240" w:lineRule="auto"/>
              <w:jc w:val="center"/>
              <w:rPr>
                <w:rFonts w:cs="Calibri"/>
                <w:b/>
                <w:sz w:val="16"/>
                <w:szCs w:val="16"/>
              </w:rPr>
            </w:pPr>
            <w:r w:rsidRPr="000173BF">
              <w:rPr>
                <w:rFonts w:cs="Calibri"/>
                <w:b/>
                <w:sz w:val="16"/>
                <w:szCs w:val="16"/>
              </w:rPr>
              <w:t>Cv</w:t>
            </w:r>
          </w:p>
        </w:tc>
        <w:tc>
          <w:tcPr>
            <w:tcW w:w="90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544A" w:rsidRPr="000173BF" w:rsidRDefault="00A34A14" w:rsidP="00BA02A8">
            <w:pPr>
              <w:keepNext/>
              <w:spacing w:after="0" w:line="240" w:lineRule="auto"/>
              <w:jc w:val="center"/>
              <w:rPr>
                <w:rFonts w:cs="Calibri"/>
                <w:b/>
                <w:sz w:val="16"/>
                <w:szCs w:val="16"/>
              </w:rPr>
            </w:pPr>
            <w:r w:rsidRPr="000173BF">
              <w:rPr>
                <w:rFonts w:cs="Calibri"/>
                <w:b/>
                <w:sz w:val="16"/>
                <w:szCs w:val="16"/>
              </w:rPr>
              <w:t>%TW</w:t>
            </w:r>
          </w:p>
        </w:tc>
        <w:tc>
          <w:tcPr>
            <w:tcW w:w="90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544A" w:rsidRPr="000173BF" w:rsidRDefault="00A34A14" w:rsidP="00BA02A8">
            <w:pPr>
              <w:keepNext/>
              <w:spacing w:after="0" w:line="240" w:lineRule="auto"/>
              <w:jc w:val="center"/>
              <w:rPr>
                <w:rFonts w:cs="Calibri"/>
                <w:b/>
                <w:sz w:val="16"/>
                <w:szCs w:val="16"/>
              </w:rPr>
            </w:pPr>
            <w:r w:rsidRPr="000173BF">
              <w:rPr>
                <w:rFonts w:cs="Calibri"/>
                <w:b/>
                <w:sz w:val="16"/>
                <w:szCs w:val="16"/>
              </w:rPr>
              <w:t>Cv</w:t>
            </w:r>
          </w:p>
        </w:tc>
        <w:tc>
          <w:tcPr>
            <w:tcW w:w="90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544A" w:rsidRPr="000173BF" w:rsidRDefault="00A34A14" w:rsidP="00BA02A8">
            <w:pPr>
              <w:keepNext/>
              <w:spacing w:after="0" w:line="240" w:lineRule="auto"/>
              <w:jc w:val="center"/>
              <w:rPr>
                <w:rFonts w:cs="Calibri"/>
                <w:b/>
                <w:sz w:val="16"/>
                <w:szCs w:val="16"/>
              </w:rPr>
            </w:pPr>
            <w:r w:rsidRPr="000173BF">
              <w:rPr>
                <w:rFonts w:cs="Calibri"/>
                <w:b/>
                <w:sz w:val="16"/>
                <w:szCs w:val="16"/>
              </w:rPr>
              <w:t>%TW</w:t>
            </w:r>
          </w:p>
        </w:tc>
        <w:tc>
          <w:tcPr>
            <w:tcW w:w="90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544A" w:rsidRPr="000173BF" w:rsidRDefault="00A34A14" w:rsidP="00BA02A8">
            <w:pPr>
              <w:keepNext/>
              <w:spacing w:after="0" w:line="240" w:lineRule="auto"/>
              <w:jc w:val="center"/>
              <w:rPr>
                <w:rFonts w:cs="Calibri"/>
                <w:b/>
                <w:sz w:val="16"/>
                <w:szCs w:val="16"/>
              </w:rPr>
            </w:pPr>
            <w:r w:rsidRPr="000173BF">
              <w:rPr>
                <w:rFonts w:cs="Calibri"/>
                <w:b/>
                <w:sz w:val="16"/>
                <w:szCs w:val="16"/>
              </w:rPr>
              <w:t>Cv</w:t>
            </w:r>
          </w:p>
        </w:tc>
        <w:tc>
          <w:tcPr>
            <w:tcW w:w="90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544A" w:rsidRPr="000173BF" w:rsidRDefault="00A34A14" w:rsidP="00BA02A8">
            <w:pPr>
              <w:keepNext/>
              <w:spacing w:after="0" w:line="240" w:lineRule="auto"/>
              <w:jc w:val="center"/>
              <w:rPr>
                <w:rFonts w:cs="Calibri"/>
                <w:b/>
                <w:sz w:val="16"/>
                <w:szCs w:val="16"/>
              </w:rPr>
            </w:pPr>
            <w:r w:rsidRPr="000173BF">
              <w:rPr>
                <w:rFonts w:cs="Calibri"/>
                <w:b/>
                <w:sz w:val="16"/>
                <w:szCs w:val="16"/>
              </w:rPr>
              <w:t>%TW</w:t>
            </w:r>
          </w:p>
        </w:tc>
      </w:tr>
      <w:tr w:rsidR="00DA544A" w:rsidRPr="008D4205" w:rsidTr="00BA02A8">
        <w:trPr>
          <w:trHeight w:val="255"/>
        </w:trPr>
        <w:tc>
          <w:tcPr>
            <w:tcW w:w="10488" w:type="dxa"/>
            <w:gridSpan w:val="12"/>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bottom"/>
            <w:hideMark/>
          </w:tcPr>
          <w:p w:rsidR="00DA544A" w:rsidRPr="000173BF" w:rsidRDefault="00DA544A" w:rsidP="00BA02A8">
            <w:pPr>
              <w:keepNext/>
              <w:jc w:val="left"/>
              <w:rPr>
                <w:rFonts w:cs="Calibri"/>
                <w:sz w:val="16"/>
                <w:szCs w:val="16"/>
              </w:rPr>
            </w:pPr>
            <w:r w:rsidRPr="000173BF">
              <w:rPr>
                <w:rFonts w:cs="Calibri"/>
                <w:sz w:val="16"/>
                <w:szCs w:val="16"/>
              </w:rPr>
              <w:t>Algemeen verontreinigende parameters</w:t>
            </w:r>
          </w:p>
        </w:tc>
      </w:tr>
      <w:tr w:rsidR="000173BF" w:rsidRPr="008D4205" w:rsidTr="000173BF">
        <w:trPr>
          <w:trHeight w:val="255"/>
        </w:trPr>
        <w:tc>
          <w:tcPr>
            <w:tcW w:w="165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ZS</w:t>
            </w:r>
          </w:p>
        </w:tc>
        <w:tc>
          <w:tcPr>
            <w:tcW w:w="779" w:type="dxa"/>
            <w:tcBorders>
              <w:top w:val="single" w:sz="4" w:space="0" w:color="auto"/>
              <w:left w:val="nil"/>
              <w:bottom w:val="single" w:sz="8" w:space="0" w:color="auto"/>
              <w:right w:val="single" w:sz="4" w:space="0" w:color="auto"/>
            </w:tcBorders>
            <w:vAlign w:val="bottom"/>
          </w:tcPr>
          <w:p w:rsidR="000173BF" w:rsidRPr="000173BF" w:rsidRDefault="000173BF">
            <w:pPr>
              <w:rPr>
                <w:rFonts w:cs="Calibri"/>
                <w:color w:val="000000"/>
                <w:sz w:val="16"/>
                <w:szCs w:val="16"/>
              </w:rPr>
            </w:pPr>
            <w:r w:rsidRPr="000173BF">
              <w:rPr>
                <w:rFonts w:cs="Calibri"/>
                <w:color w:val="000000"/>
                <w:sz w:val="16"/>
                <w:szCs w:val="16"/>
              </w:rPr>
              <w:t>mg/l</w:t>
            </w:r>
          </w:p>
        </w:tc>
        <w:tc>
          <w:tcPr>
            <w:tcW w:w="63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120</w:t>
            </w:r>
          </w:p>
        </w:tc>
        <w:tc>
          <w:tcPr>
            <w:tcW w:w="605" w:type="dxa"/>
            <w:tcBorders>
              <w:top w:val="single" w:sz="4" w:space="0" w:color="auto"/>
              <w:left w:val="single" w:sz="4" w:space="0" w:color="auto"/>
              <w:bottom w:val="single" w:sz="8" w:space="0" w:color="auto"/>
              <w:right w:val="nil"/>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BV/SV</w:t>
            </w:r>
          </w:p>
        </w:tc>
        <w:tc>
          <w:tcPr>
            <w:tcW w:w="6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50</w:t>
            </w:r>
          </w:p>
        </w:tc>
        <w:tc>
          <w:tcPr>
            <w:tcW w:w="755" w:type="dxa"/>
            <w:tcBorders>
              <w:top w:val="single" w:sz="4" w:space="0" w:color="auto"/>
              <w:left w:val="nil"/>
              <w:bottom w:val="single" w:sz="8"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B-MKN</w:t>
            </w:r>
          </w:p>
        </w:tc>
        <w:tc>
          <w:tcPr>
            <w:tcW w:w="9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7,57E-02</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3,79E-02</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tcBorders>
              <w:top w:val="single" w:sz="4" w:space="0" w:color="auto"/>
              <w:left w:val="nil"/>
              <w:bottom w:val="single" w:sz="8"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9,18E-02</w:t>
            </w:r>
          </w:p>
        </w:tc>
        <w:tc>
          <w:tcPr>
            <w:tcW w:w="90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r>
      <w:tr w:rsidR="000173BF" w:rsidRPr="008D4205" w:rsidTr="000173BF">
        <w:trPr>
          <w:trHeight w:val="255"/>
        </w:trPr>
        <w:tc>
          <w:tcPr>
            <w:tcW w:w="1657" w:type="dxa"/>
            <w:tcBorders>
              <w:top w:val="nil"/>
              <w:left w:val="single" w:sz="4" w:space="0" w:color="auto"/>
              <w:bottom w:val="single" w:sz="8" w:space="0" w:color="auto"/>
              <w:right w:val="single" w:sz="8"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BS</w:t>
            </w:r>
          </w:p>
        </w:tc>
        <w:tc>
          <w:tcPr>
            <w:tcW w:w="779" w:type="dxa"/>
            <w:tcBorders>
              <w:top w:val="nil"/>
              <w:left w:val="nil"/>
              <w:bottom w:val="single" w:sz="8" w:space="0" w:color="auto"/>
              <w:right w:val="single" w:sz="4" w:space="0" w:color="auto"/>
            </w:tcBorders>
            <w:vAlign w:val="bottom"/>
          </w:tcPr>
          <w:p w:rsidR="000173BF" w:rsidRPr="000173BF" w:rsidRDefault="000173BF">
            <w:pPr>
              <w:rPr>
                <w:rFonts w:cs="Calibri"/>
                <w:color w:val="000000"/>
                <w:sz w:val="16"/>
                <w:szCs w:val="16"/>
              </w:rPr>
            </w:pPr>
            <w:r w:rsidRPr="000173BF">
              <w:rPr>
                <w:rFonts w:cs="Calibri"/>
                <w:color w:val="000000"/>
                <w:sz w:val="16"/>
                <w:szCs w:val="16"/>
              </w:rPr>
              <w:t>mg/l</w:t>
            </w:r>
          </w:p>
        </w:tc>
        <w:tc>
          <w:tcPr>
            <w:tcW w:w="639" w:type="dxa"/>
            <w:tcBorders>
              <w:top w:val="nil"/>
              <w:left w:val="single" w:sz="4" w:space="0" w:color="auto"/>
              <w:bottom w:val="single" w:sz="8" w:space="0" w:color="auto"/>
              <w:right w:val="single" w:sz="4"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0,5</w:t>
            </w:r>
          </w:p>
        </w:tc>
        <w:tc>
          <w:tcPr>
            <w:tcW w:w="605" w:type="dxa"/>
            <w:tcBorders>
              <w:top w:val="nil"/>
              <w:left w:val="single" w:sz="4" w:space="0" w:color="auto"/>
              <w:bottom w:val="single" w:sz="8" w:space="0" w:color="auto"/>
              <w:right w:val="nil"/>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BV/SV</w:t>
            </w:r>
          </w:p>
        </w:tc>
        <w:tc>
          <w:tcPr>
            <w:tcW w:w="605" w:type="dxa"/>
            <w:tcBorders>
              <w:top w:val="nil"/>
              <w:left w:val="single" w:sz="8" w:space="0" w:color="auto"/>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w:t>
            </w:r>
          </w:p>
        </w:tc>
        <w:tc>
          <w:tcPr>
            <w:tcW w:w="755" w:type="dxa"/>
            <w:tcBorders>
              <w:top w:val="nil"/>
              <w:left w:val="nil"/>
              <w:bottom w:val="single" w:sz="8"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3,16E-04</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1,58E-04</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w:t>
            </w:r>
          </w:p>
        </w:tc>
        <w:tc>
          <w:tcPr>
            <w:tcW w:w="908" w:type="dxa"/>
            <w:tcBorders>
              <w:top w:val="nil"/>
              <w:left w:val="nil"/>
              <w:bottom w:val="single" w:sz="8"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3,82E-04</w:t>
            </w:r>
          </w:p>
        </w:tc>
        <w:tc>
          <w:tcPr>
            <w:tcW w:w="908" w:type="dxa"/>
            <w:tcBorders>
              <w:top w:val="nil"/>
              <w:left w:val="single" w:sz="8" w:space="0" w:color="auto"/>
              <w:bottom w:val="single" w:sz="8" w:space="0" w:color="auto"/>
              <w:right w:val="single" w:sz="4"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w:t>
            </w:r>
          </w:p>
        </w:tc>
      </w:tr>
      <w:tr w:rsidR="000173BF" w:rsidRPr="008D4205" w:rsidTr="000173BF">
        <w:trPr>
          <w:trHeight w:val="255"/>
        </w:trPr>
        <w:tc>
          <w:tcPr>
            <w:tcW w:w="1657" w:type="dxa"/>
            <w:tcBorders>
              <w:top w:val="nil"/>
              <w:left w:val="single" w:sz="4" w:space="0" w:color="auto"/>
              <w:bottom w:val="nil"/>
              <w:right w:val="single" w:sz="8"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BZV</w:t>
            </w:r>
          </w:p>
        </w:tc>
        <w:tc>
          <w:tcPr>
            <w:tcW w:w="779" w:type="dxa"/>
            <w:tcBorders>
              <w:top w:val="nil"/>
              <w:left w:val="nil"/>
              <w:bottom w:val="nil"/>
              <w:right w:val="single" w:sz="4" w:space="0" w:color="auto"/>
            </w:tcBorders>
            <w:vAlign w:val="bottom"/>
          </w:tcPr>
          <w:p w:rsidR="000173BF" w:rsidRPr="000173BF" w:rsidRDefault="000173BF">
            <w:pPr>
              <w:rPr>
                <w:rFonts w:cs="Calibri"/>
                <w:color w:val="000000"/>
                <w:sz w:val="16"/>
                <w:szCs w:val="16"/>
              </w:rPr>
            </w:pPr>
            <w:r w:rsidRPr="000173BF">
              <w:rPr>
                <w:rFonts w:cs="Calibri"/>
                <w:color w:val="000000"/>
                <w:sz w:val="16"/>
                <w:szCs w:val="16"/>
              </w:rPr>
              <w:t>mg/l</w:t>
            </w:r>
          </w:p>
        </w:tc>
        <w:tc>
          <w:tcPr>
            <w:tcW w:w="639" w:type="dxa"/>
            <w:tcBorders>
              <w:top w:val="nil"/>
              <w:left w:val="single" w:sz="4" w:space="0" w:color="auto"/>
              <w:bottom w:val="nil"/>
              <w:right w:val="single" w:sz="4"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30</w:t>
            </w:r>
          </w:p>
        </w:tc>
        <w:tc>
          <w:tcPr>
            <w:tcW w:w="605" w:type="dxa"/>
            <w:tcBorders>
              <w:top w:val="nil"/>
              <w:left w:val="single" w:sz="4" w:space="0" w:color="auto"/>
              <w:bottom w:val="nil"/>
              <w:right w:val="nil"/>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BV</w:t>
            </w:r>
          </w:p>
        </w:tc>
        <w:tc>
          <w:tcPr>
            <w:tcW w:w="605" w:type="dxa"/>
            <w:tcBorders>
              <w:top w:val="nil"/>
              <w:left w:val="single" w:sz="8" w:space="0" w:color="auto"/>
              <w:bottom w:val="nil"/>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6</w:t>
            </w:r>
          </w:p>
        </w:tc>
        <w:tc>
          <w:tcPr>
            <w:tcW w:w="755" w:type="dxa"/>
            <w:tcBorders>
              <w:top w:val="nil"/>
              <w:left w:val="nil"/>
              <w:bottom w:val="nil"/>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B-MKN</w:t>
            </w:r>
          </w:p>
        </w:tc>
        <w:tc>
          <w:tcPr>
            <w:tcW w:w="908" w:type="dxa"/>
            <w:tcBorders>
              <w:top w:val="nil"/>
              <w:left w:val="single" w:sz="8" w:space="0" w:color="auto"/>
              <w:bottom w:val="nil"/>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1,89E-02</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tcBorders>
              <w:top w:val="nil"/>
              <w:left w:val="nil"/>
              <w:bottom w:val="nil"/>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9,47E-03</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tcBorders>
              <w:top w:val="nil"/>
              <w:left w:val="nil"/>
              <w:bottom w:val="nil"/>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2,29E-02</w:t>
            </w:r>
          </w:p>
        </w:tc>
        <w:tc>
          <w:tcPr>
            <w:tcW w:w="908" w:type="dxa"/>
            <w:tcBorders>
              <w:top w:val="nil"/>
              <w:left w:val="single" w:sz="8" w:space="0" w:color="auto"/>
              <w:bottom w:val="single" w:sz="8" w:space="0" w:color="auto"/>
              <w:right w:val="single" w:sz="4"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r>
      <w:tr w:rsidR="000173BF" w:rsidRPr="008D4205" w:rsidTr="000173BF">
        <w:trPr>
          <w:trHeight w:val="255"/>
        </w:trPr>
        <w:tc>
          <w:tcPr>
            <w:tcW w:w="165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CZV</w:t>
            </w:r>
          </w:p>
        </w:tc>
        <w:tc>
          <w:tcPr>
            <w:tcW w:w="779" w:type="dxa"/>
            <w:tcBorders>
              <w:top w:val="single" w:sz="8" w:space="0" w:color="auto"/>
              <w:left w:val="nil"/>
              <w:bottom w:val="single" w:sz="4" w:space="0" w:color="auto"/>
              <w:right w:val="single" w:sz="4" w:space="0" w:color="auto"/>
            </w:tcBorders>
            <w:vAlign w:val="bottom"/>
          </w:tcPr>
          <w:p w:rsidR="000173BF" w:rsidRPr="000173BF" w:rsidRDefault="000173BF">
            <w:pPr>
              <w:rPr>
                <w:rFonts w:cs="Calibri"/>
                <w:color w:val="000000"/>
                <w:sz w:val="16"/>
                <w:szCs w:val="16"/>
              </w:rPr>
            </w:pPr>
            <w:r w:rsidRPr="000173BF">
              <w:rPr>
                <w:rFonts w:cs="Calibri"/>
                <w:color w:val="000000"/>
                <w:sz w:val="16"/>
                <w:szCs w:val="16"/>
              </w:rPr>
              <w:t>mg/l</w:t>
            </w:r>
          </w:p>
        </w:tc>
        <w:tc>
          <w:tcPr>
            <w:tcW w:w="63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200</w:t>
            </w:r>
          </w:p>
        </w:tc>
        <w:tc>
          <w:tcPr>
            <w:tcW w:w="605" w:type="dxa"/>
            <w:tcBorders>
              <w:top w:val="single" w:sz="8" w:space="0" w:color="auto"/>
              <w:left w:val="single" w:sz="4" w:space="0" w:color="auto"/>
              <w:bottom w:val="single" w:sz="4" w:space="0" w:color="auto"/>
              <w:right w:val="nil"/>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BV</w:t>
            </w:r>
          </w:p>
        </w:tc>
        <w:tc>
          <w:tcPr>
            <w:tcW w:w="6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30</w:t>
            </w:r>
          </w:p>
        </w:tc>
        <w:tc>
          <w:tcPr>
            <w:tcW w:w="755" w:type="dxa"/>
            <w:tcBorders>
              <w:top w:val="single" w:sz="8" w:space="0" w:color="auto"/>
              <w:left w:val="nil"/>
              <w:bottom w:val="single" w:sz="4"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B-MKN</w:t>
            </w:r>
          </w:p>
        </w:tc>
        <w:tc>
          <w:tcPr>
            <w:tcW w:w="9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1,26E-01</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tcBorders>
              <w:top w:val="single" w:sz="8" w:space="0" w:color="auto"/>
              <w:left w:val="nil"/>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6,31E-02</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tcBorders>
              <w:top w:val="single" w:sz="8" w:space="0" w:color="auto"/>
              <w:left w:val="nil"/>
              <w:bottom w:val="single" w:sz="4"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1,53E-01</w:t>
            </w:r>
          </w:p>
        </w:tc>
        <w:tc>
          <w:tcPr>
            <w:tcW w:w="908" w:type="dxa"/>
            <w:tcBorders>
              <w:top w:val="nil"/>
              <w:left w:val="single" w:sz="8" w:space="0" w:color="auto"/>
              <w:bottom w:val="single" w:sz="4" w:space="0" w:color="auto"/>
              <w:right w:val="single" w:sz="4"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0,51%</w:t>
            </w:r>
          </w:p>
        </w:tc>
      </w:tr>
      <w:tr w:rsidR="00DA544A" w:rsidRPr="008D4205" w:rsidTr="00BA02A8">
        <w:trPr>
          <w:trHeight w:val="255"/>
        </w:trPr>
        <w:tc>
          <w:tcPr>
            <w:tcW w:w="10488" w:type="dxa"/>
            <w:gridSpan w:val="12"/>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bottom"/>
            <w:hideMark/>
          </w:tcPr>
          <w:p w:rsidR="00DA544A" w:rsidRPr="000173BF" w:rsidRDefault="00BA02A8" w:rsidP="00BA02A8">
            <w:pPr>
              <w:keepNext/>
              <w:spacing w:after="0" w:line="240" w:lineRule="auto"/>
              <w:jc w:val="left"/>
              <w:rPr>
                <w:rFonts w:cs="Calibri"/>
                <w:sz w:val="16"/>
                <w:szCs w:val="16"/>
              </w:rPr>
            </w:pPr>
            <w:r w:rsidRPr="000173BF">
              <w:rPr>
                <w:rFonts w:cs="Calibri"/>
                <w:sz w:val="16"/>
                <w:szCs w:val="16"/>
              </w:rPr>
              <w:t>Nutriënten</w:t>
            </w:r>
          </w:p>
        </w:tc>
      </w:tr>
      <w:tr w:rsidR="000173BF" w:rsidRPr="008D4205" w:rsidTr="000173BF">
        <w:trPr>
          <w:trHeight w:val="255"/>
        </w:trPr>
        <w:tc>
          <w:tcPr>
            <w:tcW w:w="165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Totaal N</w:t>
            </w:r>
          </w:p>
        </w:tc>
        <w:tc>
          <w:tcPr>
            <w:tcW w:w="779" w:type="dxa"/>
            <w:tcBorders>
              <w:top w:val="single" w:sz="4" w:space="0" w:color="auto"/>
              <w:left w:val="nil"/>
              <w:bottom w:val="single" w:sz="8"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mg/l</w:t>
            </w:r>
          </w:p>
        </w:tc>
        <w:tc>
          <w:tcPr>
            <w:tcW w:w="63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60</w:t>
            </w:r>
          </w:p>
        </w:tc>
        <w:tc>
          <w:tcPr>
            <w:tcW w:w="605" w:type="dxa"/>
            <w:tcBorders>
              <w:top w:val="single" w:sz="4" w:space="0" w:color="auto"/>
              <w:left w:val="single" w:sz="4" w:space="0" w:color="auto"/>
              <w:bottom w:val="single" w:sz="8"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1,8</w:t>
            </w:r>
          </w:p>
        </w:tc>
        <w:tc>
          <w:tcPr>
            <w:tcW w:w="755" w:type="dxa"/>
            <w:tcBorders>
              <w:top w:val="single" w:sz="4"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3,79E-02</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2,10%</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1,89E-02</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1,05%</w:t>
            </w:r>
          </w:p>
        </w:tc>
        <w:tc>
          <w:tcPr>
            <w:tcW w:w="908" w:type="dxa"/>
            <w:tcBorders>
              <w:top w:val="single" w:sz="4"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4,59E-02</w:t>
            </w:r>
          </w:p>
        </w:tc>
        <w:tc>
          <w:tcPr>
            <w:tcW w:w="90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2,55%</w:t>
            </w:r>
          </w:p>
        </w:tc>
      </w:tr>
      <w:tr w:rsidR="000173BF" w:rsidRPr="008D4205" w:rsidTr="000173BF">
        <w:trPr>
          <w:trHeight w:val="255"/>
        </w:trPr>
        <w:tc>
          <w:tcPr>
            <w:tcW w:w="165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Nitriet</w:t>
            </w:r>
          </w:p>
        </w:tc>
        <w:tc>
          <w:tcPr>
            <w:tcW w:w="779" w:type="dxa"/>
            <w:tcBorders>
              <w:top w:val="single" w:sz="4" w:space="0" w:color="auto"/>
              <w:left w:val="nil"/>
              <w:bottom w:val="single" w:sz="8"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mg/l</w:t>
            </w:r>
          </w:p>
        </w:tc>
        <w:tc>
          <w:tcPr>
            <w:tcW w:w="63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1</w:t>
            </w:r>
          </w:p>
        </w:tc>
        <w:tc>
          <w:tcPr>
            <w:tcW w:w="605" w:type="dxa"/>
            <w:tcBorders>
              <w:top w:val="single" w:sz="4" w:space="0" w:color="auto"/>
              <w:left w:val="single" w:sz="4" w:space="0" w:color="auto"/>
              <w:bottom w:val="single" w:sz="8"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0,2</w:t>
            </w:r>
          </w:p>
        </w:tc>
        <w:tc>
          <w:tcPr>
            <w:tcW w:w="755" w:type="dxa"/>
            <w:tcBorders>
              <w:top w:val="single" w:sz="4"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6,31E-04</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3,16E-04</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4"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7,65E-04</w:t>
            </w:r>
          </w:p>
        </w:tc>
        <w:tc>
          <w:tcPr>
            <w:tcW w:w="90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r>
      <w:tr w:rsidR="000173BF" w:rsidRPr="008D4205" w:rsidTr="000173BF">
        <w:trPr>
          <w:trHeight w:val="255"/>
        </w:trPr>
        <w:tc>
          <w:tcPr>
            <w:tcW w:w="165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Totaal P</w:t>
            </w:r>
          </w:p>
        </w:tc>
        <w:tc>
          <w:tcPr>
            <w:tcW w:w="779" w:type="dxa"/>
            <w:tcBorders>
              <w:top w:val="single" w:sz="8" w:space="0" w:color="auto"/>
              <w:left w:val="nil"/>
              <w:bottom w:val="single" w:sz="4"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mg/l</w:t>
            </w:r>
          </w:p>
        </w:tc>
        <w:tc>
          <w:tcPr>
            <w:tcW w:w="63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2</w:t>
            </w:r>
          </w:p>
        </w:tc>
        <w:tc>
          <w:tcPr>
            <w:tcW w:w="605" w:type="dxa"/>
            <w:tcBorders>
              <w:top w:val="single" w:sz="8" w:space="0" w:color="auto"/>
              <w:left w:val="single" w:sz="4" w:space="0" w:color="auto"/>
              <w:bottom w:val="single" w:sz="4"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0,11</w:t>
            </w:r>
          </w:p>
        </w:tc>
        <w:tc>
          <w:tcPr>
            <w:tcW w:w="755" w:type="dxa"/>
            <w:tcBorders>
              <w:top w:val="single" w:sz="8" w:space="0" w:color="auto"/>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1,26E-03</w:t>
            </w:r>
          </w:p>
        </w:tc>
        <w:tc>
          <w:tcPr>
            <w:tcW w:w="908" w:type="dxa"/>
            <w:tcBorders>
              <w:top w:val="single" w:sz="8" w:space="0" w:color="auto"/>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1,15%</w:t>
            </w:r>
          </w:p>
        </w:tc>
        <w:tc>
          <w:tcPr>
            <w:tcW w:w="908" w:type="dxa"/>
            <w:tcBorders>
              <w:top w:val="single" w:sz="8" w:space="0" w:color="auto"/>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6,31E-04</w:t>
            </w:r>
          </w:p>
        </w:tc>
        <w:tc>
          <w:tcPr>
            <w:tcW w:w="908" w:type="dxa"/>
            <w:tcBorders>
              <w:top w:val="single" w:sz="8" w:space="0" w:color="auto"/>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0,57%</w:t>
            </w:r>
          </w:p>
        </w:tc>
        <w:tc>
          <w:tcPr>
            <w:tcW w:w="908" w:type="dxa"/>
            <w:tcBorders>
              <w:top w:val="single" w:sz="8" w:space="0" w:color="auto"/>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1,53E-03</w:t>
            </w:r>
          </w:p>
        </w:tc>
        <w:tc>
          <w:tcPr>
            <w:tcW w:w="9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1,39%</w:t>
            </w:r>
          </w:p>
        </w:tc>
      </w:tr>
      <w:tr w:rsidR="00DA544A" w:rsidRPr="008D4205" w:rsidTr="00BA02A8">
        <w:trPr>
          <w:trHeight w:val="255"/>
        </w:trPr>
        <w:tc>
          <w:tcPr>
            <w:tcW w:w="10488" w:type="dxa"/>
            <w:gridSpan w:val="12"/>
            <w:tcBorders>
              <w:top w:val="single" w:sz="4"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DA544A" w:rsidRPr="009C1B60" w:rsidRDefault="00DA544A" w:rsidP="00BA02A8">
            <w:pPr>
              <w:keepNext/>
              <w:spacing w:after="0" w:line="240" w:lineRule="auto"/>
              <w:jc w:val="left"/>
              <w:rPr>
                <w:rFonts w:cs="Calibri"/>
                <w:sz w:val="16"/>
                <w:szCs w:val="16"/>
              </w:rPr>
            </w:pPr>
            <w:r w:rsidRPr="009C1B60">
              <w:rPr>
                <w:rFonts w:cs="Calibri"/>
                <w:sz w:val="16"/>
                <w:szCs w:val="16"/>
              </w:rPr>
              <w:t>Metalen</w:t>
            </w:r>
          </w:p>
        </w:tc>
      </w:tr>
      <w:tr w:rsidR="000173BF" w:rsidRPr="008D4205" w:rsidTr="000173BF">
        <w:trPr>
          <w:trHeight w:val="255"/>
        </w:trPr>
        <w:tc>
          <w:tcPr>
            <w:tcW w:w="165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Aluminium</w:t>
            </w:r>
          </w:p>
        </w:tc>
        <w:tc>
          <w:tcPr>
            <w:tcW w:w="779" w:type="dxa"/>
            <w:tcBorders>
              <w:top w:val="single" w:sz="4" w:space="0" w:color="auto"/>
              <w:left w:val="nil"/>
              <w:bottom w:val="single" w:sz="8"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µg/l</w:t>
            </w:r>
          </w:p>
        </w:tc>
        <w:tc>
          <w:tcPr>
            <w:tcW w:w="63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500</w:t>
            </w:r>
          </w:p>
        </w:tc>
        <w:tc>
          <w:tcPr>
            <w:tcW w:w="605" w:type="dxa"/>
            <w:tcBorders>
              <w:top w:val="single" w:sz="4" w:space="0" w:color="auto"/>
              <w:left w:val="single" w:sz="4" w:space="0" w:color="auto"/>
              <w:bottom w:val="single" w:sz="8"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w:t>
            </w:r>
          </w:p>
        </w:tc>
        <w:tc>
          <w:tcPr>
            <w:tcW w:w="755" w:type="dxa"/>
            <w:tcBorders>
              <w:top w:val="single" w:sz="4" w:space="0" w:color="auto"/>
              <w:left w:val="nil"/>
              <w:bottom w:val="single" w:sz="8"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MTR</w:t>
            </w:r>
          </w:p>
        </w:tc>
        <w:tc>
          <w:tcPr>
            <w:tcW w:w="9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3,16E-01</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2,63%</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1,58E-01</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1,31%</w:t>
            </w:r>
          </w:p>
        </w:tc>
        <w:tc>
          <w:tcPr>
            <w:tcW w:w="908" w:type="dxa"/>
            <w:tcBorders>
              <w:top w:val="single" w:sz="4" w:space="0" w:color="auto"/>
              <w:left w:val="nil"/>
              <w:bottom w:val="single" w:sz="8"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3,82E-01</w:t>
            </w:r>
          </w:p>
        </w:tc>
        <w:tc>
          <w:tcPr>
            <w:tcW w:w="9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3,19%</w:t>
            </w:r>
          </w:p>
        </w:tc>
      </w:tr>
      <w:tr w:rsidR="000173BF" w:rsidRPr="008D4205" w:rsidTr="000173BF">
        <w:trPr>
          <w:trHeight w:val="255"/>
        </w:trPr>
        <w:tc>
          <w:tcPr>
            <w:tcW w:w="1657" w:type="dxa"/>
            <w:tcBorders>
              <w:top w:val="nil"/>
              <w:left w:val="single" w:sz="8" w:space="0" w:color="auto"/>
              <w:bottom w:val="single" w:sz="8"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Arseen</w:t>
            </w:r>
          </w:p>
        </w:tc>
        <w:tc>
          <w:tcPr>
            <w:tcW w:w="779" w:type="dxa"/>
            <w:tcBorders>
              <w:top w:val="nil"/>
              <w:left w:val="nil"/>
              <w:bottom w:val="single" w:sz="8"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50</w:t>
            </w:r>
          </w:p>
        </w:tc>
        <w:tc>
          <w:tcPr>
            <w:tcW w:w="605" w:type="dxa"/>
            <w:tcBorders>
              <w:top w:val="nil"/>
              <w:left w:val="single" w:sz="4" w:space="0" w:color="auto"/>
              <w:bottom w:val="single" w:sz="8"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5</w:t>
            </w:r>
          </w:p>
        </w:tc>
        <w:tc>
          <w:tcPr>
            <w:tcW w:w="755" w:type="dxa"/>
            <w:tcBorders>
              <w:top w:val="nil"/>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3,16E-02</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0,63%</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1,58E-02</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3,82E-02</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0,76%</w:t>
            </w:r>
          </w:p>
        </w:tc>
      </w:tr>
      <w:tr w:rsidR="00B2320B" w:rsidRPr="008D4205" w:rsidTr="000173BF">
        <w:trPr>
          <w:trHeight w:val="255"/>
        </w:trPr>
        <w:tc>
          <w:tcPr>
            <w:tcW w:w="1657" w:type="dxa"/>
            <w:tcBorders>
              <w:top w:val="nil"/>
              <w:left w:val="single" w:sz="8" w:space="0" w:color="auto"/>
              <w:bottom w:val="single" w:sz="8" w:space="0" w:color="auto"/>
              <w:right w:val="single" w:sz="8" w:space="0" w:color="auto"/>
            </w:tcBorders>
            <w:shd w:val="clear" w:color="auto" w:fill="auto"/>
            <w:noWrap/>
            <w:vAlign w:val="bottom"/>
            <w:hideMark/>
          </w:tcPr>
          <w:p w:rsidR="00B2320B" w:rsidRPr="009C1B60" w:rsidRDefault="00B2320B">
            <w:pPr>
              <w:rPr>
                <w:rFonts w:cs="Calibri"/>
                <w:sz w:val="16"/>
                <w:szCs w:val="16"/>
              </w:rPr>
            </w:pPr>
            <w:r w:rsidRPr="009C1B60">
              <w:rPr>
                <w:rFonts w:cs="Calibri"/>
                <w:sz w:val="16"/>
                <w:szCs w:val="16"/>
              </w:rPr>
              <w:t>Ijzer</w:t>
            </w:r>
          </w:p>
        </w:tc>
        <w:tc>
          <w:tcPr>
            <w:tcW w:w="779" w:type="dxa"/>
            <w:tcBorders>
              <w:top w:val="nil"/>
              <w:left w:val="nil"/>
              <w:bottom w:val="single" w:sz="8" w:space="0" w:color="auto"/>
              <w:right w:val="single" w:sz="4" w:space="0" w:color="auto"/>
            </w:tcBorders>
            <w:vAlign w:val="bottom"/>
          </w:tcPr>
          <w:p w:rsidR="00B2320B" w:rsidRPr="009C1B60" w:rsidRDefault="00B2320B">
            <w:pPr>
              <w:rPr>
                <w:rFonts w:cs="Calibri"/>
                <w:sz w:val="16"/>
                <w:szCs w:val="16"/>
              </w:rPr>
            </w:pPr>
            <w:r w:rsidRPr="009C1B60">
              <w:rPr>
                <w:rFonts w:cs="Calibri"/>
                <w:sz w:val="16"/>
                <w:szCs w:val="16"/>
              </w:rPr>
              <w:t>µg/l</w:t>
            </w:r>
          </w:p>
        </w:tc>
        <w:tc>
          <w:tcPr>
            <w:tcW w:w="639" w:type="dxa"/>
            <w:tcBorders>
              <w:top w:val="nil"/>
              <w:left w:val="single" w:sz="4" w:space="0" w:color="auto"/>
              <w:bottom w:val="single" w:sz="8" w:space="0" w:color="auto"/>
              <w:right w:val="single" w:sz="4" w:space="0" w:color="auto"/>
            </w:tcBorders>
            <w:shd w:val="clear" w:color="auto" w:fill="auto"/>
            <w:noWrap/>
            <w:vAlign w:val="bottom"/>
            <w:hideMark/>
          </w:tcPr>
          <w:p w:rsidR="00B2320B" w:rsidRPr="009C1B60" w:rsidRDefault="00047826">
            <w:pPr>
              <w:rPr>
                <w:rFonts w:cs="Calibri"/>
                <w:sz w:val="16"/>
                <w:szCs w:val="16"/>
              </w:rPr>
            </w:pPr>
            <w:r>
              <w:rPr>
                <w:rFonts w:cs="Calibri"/>
                <w:sz w:val="16"/>
                <w:szCs w:val="16"/>
              </w:rPr>
              <w:t>6</w:t>
            </w:r>
            <w:r w:rsidR="00B2320B" w:rsidRPr="009C1B60">
              <w:rPr>
                <w:rFonts w:cs="Calibri"/>
                <w:sz w:val="16"/>
                <w:szCs w:val="16"/>
              </w:rPr>
              <w:t>000</w:t>
            </w:r>
          </w:p>
        </w:tc>
        <w:tc>
          <w:tcPr>
            <w:tcW w:w="605" w:type="dxa"/>
            <w:tcBorders>
              <w:top w:val="nil"/>
              <w:left w:val="single" w:sz="4" w:space="0" w:color="auto"/>
              <w:bottom w:val="single" w:sz="8" w:space="0" w:color="auto"/>
              <w:right w:val="nil"/>
            </w:tcBorders>
            <w:shd w:val="clear" w:color="auto" w:fill="auto"/>
            <w:noWrap/>
            <w:vAlign w:val="bottom"/>
            <w:hideMark/>
          </w:tcPr>
          <w:p w:rsidR="00B2320B" w:rsidRPr="009C1B60" w:rsidRDefault="00B2320B">
            <w:pPr>
              <w:rPr>
                <w:rFonts w:cs="Calibri"/>
                <w:sz w:val="16"/>
                <w:szCs w:val="16"/>
              </w:rPr>
            </w:pPr>
            <w:r w:rsidRPr="009C1B60">
              <w:rPr>
                <w:rFonts w:cs="Calibri"/>
                <w:sz w:val="16"/>
                <w:szCs w:val="16"/>
              </w:rPr>
              <w:t>BV</w:t>
            </w:r>
          </w:p>
        </w:tc>
        <w:tc>
          <w:tcPr>
            <w:tcW w:w="605" w:type="dxa"/>
            <w:tcBorders>
              <w:top w:val="nil"/>
              <w:left w:val="single" w:sz="8" w:space="0" w:color="auto"/>
              <w:bottom w:val="single" w:sz="8" w:space="0" w:color="auto"/>
              <w:right w:val="single" w:sz="8" w:space="0" w:color="auto"/>
            </w:tcBorders>
            <w:shd w:val="clear" w:color="auto" w:fill="auto"/>
            <w:noWrap/>
            <w:vAlign w:val="center"/>
            <w:hideMark/>
          </w:tcPr>
          <w:p w:rsidR="00B2320B" w:rsidRPr="009C1B60" w:rsidRDefault="00B2320B">
            <w:pPr>
              <w:jc w:val="center"/>
              <w:rPr>
                <w:rFonts w:cs="Calibri"/>
                <w:sz w:val="16"/>
                <w:szCs w:val="16"/>
              </w:rPr>
            </w:pPr>
            <w:r w:rsidRPr="009C1B60">
              <w:rPr>
                <w:rFonts w:cs="Calibri"/>
                <w:sz w:val="16"/>
                <w:szCs w:val="16"/>
              </w:rPr>
              <w:t>-</w:t>
            </w:r>
          </w:p>
        </w:tc>
        <w:tc>
          <w:tcPr>
            <w:tcW w:w="755" w:type="dxa"/>
            <w:tcBorders>
              <w:top w:val="nil"/>
              <w:left w:val="nil"/>
              <w:bottom w:val="single" w:sz="8" w:space="0" w:color="auto"/>
              <w:right w:val="nil"/>
            </w:tcBorders>
            <w:shd w:val="clear" w:color="auto" w:fill="auto"/>
            <w:noWrap/>
            <w:vAlign w:val="center"/>
            <w:hideMark/>
          </w:tcPr>
          <w:p w:rsidR="00B2320B" w:rsidRPr="009C1B60" w:rsidRDefault="00B2320B">
            <w:pPr>
              <w:jc w:val="center"/>
              <w:rPr>
                <w:rFonts w:cs="Calibri"/>
                <w:sz w:val="16"/>
                <w:szCs w:val="16"/>
              </w:rPr>
            </w:pPr>
            <w:r w:rsidRPr="009C1B60">
              <w:rPr>
                <w:rFonts w:cs="Calibri"/>
                <w:sz w:val="16"/>
                <w:szCs w:val="16"/>
              </w:rPr>
              <w:t>-</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B2320B" w:rsidRPr="00B2320B" w:rsidRDefault="00B2320B">
            <w:pPr>
              <w:jc w:val="center"/>
              <w:rPr>
                <w:rFonts w:cs="Calibri"/>
                <w:color w:val="000000"/>
                <w:sz w:val="16"/>
                <w:szCs w:val="16"/>
              </w:rPr>
            </w:pPr>
            <w:r w:rsidRPr="00B2320B">
              <w:rPr>
                <w:rFonts w:cs="Calibri"/>
                <w:color w:val="000000"/>
                <w:sz w:val="16"/>
                <w:szCs w:val="16"/>
              </w:rPr>
              <w:t>3,79E+00</w:t>
            </w:r>
          </w:p>
        </w:tc>
        <w:tc>
          <w:tcPr>
            <w:tcW w:w="908" w:type="dxa"/>
            <w:tcBorders>
              <w:top w:val="nil"/>
              <w:left w:val="nil"/>
              <w:bottom w:val="single" w:sz="8" w:space="0" w:color="auto"/>
              <w:right w:val="single" w:sz="8" w:space="0" w:color="auto"/>
            </w:tcBorders>
            <w:shd w:val="clear" w:color="auto" w:fill="auto"/>
            <w:noWrap/>
            <w:vAlign w:val="center"/>
            <w:hideMark/>
          </w:tcPr>
          <w:p w:rsidR="00B2320B" w:rsidRPr="00B2320B" w:rsidRDefault="00B2320B">
            <w:pPr>
              <w:jc w:val="center"/>
              <w:rPr>
                <w:rFonts w:cs="Calibri"/>
                <w:color w:val="000000"/>
                <w:sz w:val="16"/>
                <w:szCs w:val="16"/>
              </w:rPr>
            </w:pPr>
            <w:r w:rsidRPr="00B2320B">
              <w:rPr>
                <w:rFonts w:cs="Calibri"/>
                <w:color w:val="000000"/>
                <w:sz w:val="16"/>
                <w:szCs w:val="16"/>
              </w:rPr>
              <w:t>-</w:t>
            </w:r>
          </w:p>
        </w:tc>
        <w:tc>
          <w:tcPr>
            <w:tcW w:w="908" w:type="dxa"/>
            <w:tcBorders>
              <w:top w:val="nil"/>
              <w:left w:val="nil"/>
              <w:bottom w:val="single" w:sz="8" w:space="0" w:color="auto"/>
              <w:right w:val="single" w:sz="8" w:space="0" w:color="auto"/>
            </w:tcBorders>
            <w:shd w:val="clear" w:color="auto" w:fill="auto"/>
            <w:noWrap/>
            <w:vAlign w:val="center"/>
            <w:hideMark/>
          </w:tcPr>
          <w:p w:rsidR="00B2320B" w:rsidRPr="00B2320B" w:rsidRDefault="00B2320B">
            <w:pPr>
              <w:jc w:val="center"/>
              <w:rPr>
                <w:rFonts w:cs="Calibri"/>
                <w:color w:val="000000"/>
                <w:sz w:val="16"/>
                <w:szCs w:val="16"/>
              </w:rPr>
            </w:pPr>
            <w:r w:rsidRPr="00B2320B">
              <w:rPr>
                <w:rFonts w:cs="Calibri"/>
                <w:color w:val="000000"/>
                <w:sz w:val="16"/>
                <w:szCs w:val="16"/>
              </w:rPr>
              <w:t>1,89E+00</w:t>
            </w:r>
          </w:p>
        </w:tc>
        <w:tc>
          <w:tcPr>
            <w:tcW w:w="908" w:type="dxa"/>
            <w:tcBorders>
              <w:top w:val="nil"/>
              <w:left w:val="nil"/>
              <w:bottom w:val="single" w:sz="8" w:space="0" w:color="auto"/>
              <w:right w:val="single" w:sz="8" w:space="0" w:color="auto"/>
            </w:tcBorders>
            <w:shd w:val="clear" w:color="auto" w:fill="auto"/>
            <w:noWrap/>
            <w:vAlign w:val="center"/>
            <w:hideMark/>
          </w:tcPr>
          <w:p w:rsidR="00B2320B" w:rsidRPr="00B2320B" w:rsidRDefault="00B2320B">
            <w:pPr>
              <w:jc w:val="center"/>
              <w:rPr>
                <w:rFonts w:cs="Calibri"/>
                <w:color w:val="000000"/>
                <w:sz w:val="16"/>
                <w:szCs w:val="16"/>
              </w:rPr>
            </w:pPr>
            <w:r w:rsidRPr="00B2320B">
              <w:rPr>
                <w:rFonts w:cs="Calibri"/>
                <w:color w:val="000000"/>
                <w:sz w:val="16"/>
                <w:szCs w:val="16"/>
              </w:rPr>
              <w:t>-</w:t>
            </w:r>
          </w:p>
        </w:tc>
        <w:tc>
          <w:tcPr>
            <w:tcW w:w="908" w:type="dxa"/>
            <w:tcBorders>
              <w:top w:val="nil"/>
              <w:left w:val="nil"/>
              <w:bottom w:val="single" w:sz="8" w:space="0" w:color="auto"/>
              <w:right w:val="nil"/>
            </w:tcBorders>
            <w:shd w:val="clear" w:color="auto" w:fill="auto"/>
            <w:noWrap/>
            <w:vAlign w:val="center"/>
            <w:hideMark/>
          </w:tcPr>
          <w:p w:rsidR="00B2320B" w:rsidRPr="00B2320B" w:rsidRDefault="00B2320B">
            <w:pPr>
              <w:jc w:val="center"/>
              <w:rPr>
                <w:rFonts w:cs="Calibri"/>
                <w:color w:val="000000"/>
                <w:sz w:val="16"/>
                <w:szCs w:val="16"/>
              </w:rPr>
            </w:pPr>
            <w:r w:rsidRPr="00B2320B">
              <w:rPr>
                <w:rFonts w:cs="Calibri"/>
                <w:color w:val="000000"/>
                <w:sz w:val="16"/>
                <w:szCs w:val="16"/>
              </w:rPr>
              <w:t>4,59E+00</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B2320B" w:rsidRPr="00B2320B" w:rsidRDefault="00B2320B">
            <w:pPr>
              <w:jc w:val="center"/>
              <w:rPr>
                <w:rFonts w:cs="Calibri"/>
                <w:color w:val="000000"/>
                <w:sz w:val="16"/>
                <w:szCs w:val="16"/>
              </w:rPr>
            </w:pPr>
            <w:r w:rsidRPr="00B2320B">
              <w:rPr>
                <w:rFonts w:cs="Calibri"/>
                <w:color w:val="000000"/>
                <w:sz w:val="16"/>
                <w:szCs w:val="16"/>
              </w:rPr>
              <w:t>-</w:t>
            </w:r>
          </w:p>
        </w:tc>
      </w:tr>
      <w:tr w:rsidR="000173BF" w:rsidRPr="008D4205" w:rsidTr="000173BF">
        <w:trPr>
          <w:trHeight w:val="255"/>
        </w:trPr>
        <w:tc>
          <w:tcPr>
            <w:tcW w:w="1657" w:type="dxa"/>
            <w:tcBorders>
              <w:top w:val="nil"/>
              <w:left w:val="single" w:sz="8" w:space="0" w:color="auto"/>
              <w:bottom w:val="single" w:sz="4"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Koper</w:t>
            </w:r>
          </w:p>
        </w:tc>
        <w:tc>
          <w:tcPr>
            <w:tcW w:w="779" w:type="dxa"/>
            <w:tcBorders>
              <w:top w:val="nil"/>
              <w:left w:val="nil"/>
              <w:bottom w:val="single" w:sz="4"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200</w:t>
            </w:r>
          </w:p>
        </w:tc>
        <w:tc>
          <w:tcPr>
            <w:tcW w:w="605" w:type="dxa"/>
            <w:tcBorders>
              <w:top w:val="nil"/>
              <w:left w:val="single" w:sz="4" w:space="0" w:color="auto"/>
              <w:bottom w:val="single" w:sz="4"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50</w:t>
            </w:r>
          </w:p>
        </w:tc>
        <w:tc>
          <w:tcPr>
            <w:tcW w:w="755"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1,26E-01</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6,31E-02</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1,53E-01</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r>
      <w:tr w:rsidR="000173BF" w:rsidRPr="008D4205" w:rsidTr="000173BF">
        <w:trPr>
          <w:trHeight w:val="255"/>
        </w:trPr>
        <w:tc>
          <w:tcPr>
            <w:tcW w:w="1657" w:type="dxa"/>
            <w:tcBorders>
              <w:top w:val="nil"/>
              <w:left w:val="single" w:sz="8" w:space="0" w:color="auto"/>
              <w:bottom w:val="single" w:sz="4"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Lood</w:t>
            </w:r>
          </w:p>
        </w:tc>
        <w:tc>
          <w:tcPr>
            <w:tcW w:w="779" w:type="dxa"/>
            <w:tcBorders>
              <w:top w:val="nil"/>
              <w:left w:val="nil"/>
              <w:bottom w:val="single" w:sz="4"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200</w:t>
            </w:r>
          </w:p>
        </w:tc>
        <w:tc>
          <w:tcPr>
            <w:tcW w:w="605" w:type="dxa"/>
            <w:tcBorders>
              <w:top w:val="nil"/>
              <w:left w:val="single" w:sz="4" w:space="0" w:color="auto"/>
              <w:bottom w:val="single" w:sz="4"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50</w:t>
            </w:r>
          </w:p>
        </w:tc>
        <w:tc>
          <w:tcPr>
            <w:tcW w:w="755"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1,26E-01</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6,31E-02</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1,53E-01</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r>
      <w:tr w:rsidR="000173BF" w:rsidRPr="008D4205" w:rsidTr="000173BF">
        <w:trPr>
          <w:trHeight w:val="255"/>
        </w:trPr>
        <w:tc>
          <w:tcPr>
            <w:tcW w:w="1657" w:type="dxa"/>
            <w:tcBorders>
              <w:top w:val="nil"/>
              <w:left w:val="single" w:sz="8" w:space="0" w:color="auto"/>
              <w:bottom w:val="single" w:sz="4"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Mangaan</w:t>
            </w:r>
          </w:p>
        </w:tc>
        <w:tc>
          <w:tcPr>
            <w:tcW w:w="779" w:type="dxa"/>
            <w:tcBorders>
              <w:top w:val="nil"/>
              <w:left w:val="nil"/>
              <w:bottom w:val="single" w:sz="4"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200</w:t>
            </w:r>
          </w:p>
        </w:tc>
        <w:tc>
          <w:tcPr>
            <w:tcW w:w="605" w:type="dxa"/>
            <w:tcBorders>
              <w:top w:val="nil"/>
              <w:left w:val="single" w:sz="4" w:space="0" w:color="auto"/>
              <w:bottom w:val="single" w:sz="4"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31</w:t>
            </w:r>
          </w:p>
        </w:tc>
        <w:tc>
          <w:tcPr>
            <w:tcW w:w="755"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MTR</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1,26E-01</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6,31E-02</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1,53E-01</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r>
      <w:tr w:rsidR="000173BF" w:rsidRPr="008D4205" w:rsidTr="000173BF">
        <w:trPr>
          <w:trHeight w:val="255"/>
        </w:trPr>
        <w:tc>
          <w:tcPr>
            <w:tcW w:w="1657" w:type="dxa"/>
            <w:tcBorders>
              <w:top w:val="nil"/>
              <w:left w:val="single" w:sz="8" w:space="0" w:color="auto"/>
              <w:bottom w:val="single" w:sz="4"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Nikkel</w:t>
            </w:r>
          </w:p>
        </w:tc>
        <w:tc>
          <w:tcPr>
            <w:tcW w:w="779" w:type="dxa"/>
            <w:tcBorders>
              <w:top w:val="nil"/>
              <w:left w:val="nil"/>
              <w:bottom w:val="single" w:sz="4"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200</w:t>
            </w:r>
          </w:p>
        </w:tc>
        <w:tc>
          <w:tcPr>
            <w:tcW w:w="605" w:type="dxa"/>
            <w:tcBorders>
              <w:top w:val="nil"/>
              <w:left w:val="single" w:sz="4" w:space="0" w:color="auto"/>
              <w:bottom w:val="single" w:sz="4"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30</w:t>
            </w:r>
          </w:p>
        </w:tc>
        <w:tc>
          <w:tcPr>
            <w:tcW w:w="755"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1,26E-01</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6,31E-02</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1,53E-01</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0,51%</w:t>
            </w:r>
          </w:p>
        </w:tc>
      </w:tr>
      <w:tr w:rsidR="000173BF" w:rsidRPr="008D4205" w:rsidTr="000173BF">
        <w:trPr>
          <w:trHeight w:val="255"/>
        </w:trPr>
        <w:tc>
          <w:tcPr>
            <w:tcW w:w="1657" w:type="dxa"/>
            <w:tcBorders>
              <w:top w:val="nil"/>
              <w:left w:val="single" w:sz="8" w:space="0" w:color="auto"/>
              <w:bottom w:val="single" w:sz="4" w:space="0" w:color="auto"/>
              <w:right w:val="single" w:sz="8"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Zink</w:t>
            </w:r>
          </w:p>
        </w:tc>
        <w:tc>
          <w:tcPr>
            <w:tcW w:w="779" w:type="dxa"/>
            <w:tcBorders>
              <w:top w:val="nil"/>
              <w:left w:val="nil"/>
              <w:bottom w:val="single" w:sz="4"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2000</w:t>
            </w:r>
          </w:p>
        </w:tc>
        <w:tc>
          <w:tcPr>
            <w:tcW w:w="605" w:type="dxa"/>
            <w:tcBorders>
              <w:top w:val="nil"/>
              <w:left w:val="single" w:sz="4" w:space="0" w:color="auto"/>
              <w:bottom w:val="single" w:sz="4"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200</w:t>
            </w:r>
          </w:p>
        </w:tc>
        <w:tc>
          <w:tcPr>
            <w:tcW w:w="755" w:type="dxa"/>
            <w:tcBorders>
              <w:top w:val="nil"/>
              <w:left w:val="nil"/>
              <w:bottom w:val="single" w:sz="4"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B-MKN*</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1,26E+00</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0,63%</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6,31E-01</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tcBorders>
              <w:top w:val="nil"/>
              <w:left w:val="nil"/>
              <w:bottom w:val="single" w:sz="4"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1,53E+00</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0,76%</w:t>
            </w:r>
          </w:p>
        </w:tc>
      </w:tr>
      <w:tr w:rsidR="000173BF" w:rsidRPr="008D4205" w:rsidTr="000173BF">
        <w:trPr>
          <w:trHeight w:val="255"/>
        </w:trPr>
        <w:tc>
          <w:tcPr>
            <w:tcW w:w="10488" w:type="dxa"/>
            <w:gridSpan w:val="12"/>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rsidR="000173BF" w:rsidRPr="009C1B60" w:rsidRDefault="000173BF" w:rsidP="000173BF">
            <w:pPr>
              <w:jc w:val="left"/>
              <w:rPr>
                <w:rFonts w:cs="Calibri"/>
                <w:sz w:val="16"/>
                <w:szCs w:val="16"/>
              </w:rPr>
            </w:pPr>
            <w:r w:rsidRPr="009C1B60">
              <w:rPr>
                <w:rFonts w:cs="Calibri"/>
                <w:sz w:val="16"/>
                <w:szCs w:val="16"/>
              </w:rPr>
              <w:t>MAK’s</w:t>
            </w:r>
          </w:p>
        </w:tc>
      </w:tr>
      <w:tr w:rsidR="000173BF" w:rsidRPr="008D4205" w:rsidTr="000173BF">
        <w:trPr>
          <w:trHeight w:val="255"/>
        </w:trPr>
        <w:tc>
          <w:tcPr>
            <w:tcW w:w="1657" w:type="dxa"/>
            <w:tcBorders>
              <w:top w:val="nil"/>
              <w:left w:val="single" w:sz="8" w:space="0" w:color="auto"/>
              <w:bottom w:val="single" w:sz="4"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Benzeen</w:t>
            </w:r>
          </w:p>
        </w:tc>
        <w:tc>
          <w:tcPr>
            <w:tcW w:w="779" w:type="dxa"/>
            <w:tcBorders>
              <w:top w:val="nil"/>
              <w:left w:val="nil"/>
              <w:bottom w:val="single" w:sz="4" w:space="0" w:color="auto"/>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20</w:t>
            </w:r>
          </w:p>
        </w:tc>
        <w:tc>
          <w:tcPr>
            <w:tcW w:w="605" w:type="dxa"/>
            <w:tcBorders>
              <w:top w:val="nil"/>
              <w:left w:val="single" w:sz="4" w:space="0" w:color="auto"/>
              <w:bottom w:val="single" w:sz="4" w:space="0" w:color="auto"/>
              <w:right w:val="nil"/>
            </w:tcBorders>
            <w:shd w:val="clear" w:color="auto" w:fill="auto"/>
            <w:noWrap/>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10</w:t>
            </w:r>
          </w:p>
        </w:tc>
        <w:tc>
          <w:tcPr>
            <w:tcW w:w="755"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1,26E-02</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6,31E-03</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1,53E-02</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r>
      <w:tr w:rsidR="000173BF" w:rsidRPr="008D4205" w:rsidTr="000173BF">
        <w:trPr>
          <w:trHeight w:val="255"/>
        </w:trPr>
        <w:tc>
          <w:tcPr>
            <w:tcW w:w="1657" w:type="dxa"/>
            <w:tcBorders>
              <w:top w:val="nil"/>
              <w:left w:val="single" w:sz="8" w:space="0" w:color="auto"/>
              <w:bottom w:val="single" w:sz="4"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isopropylbenzeen</w:t>
            </w:r>
          </w:p>
        </w:tc>
        <w:tc>
          <w:tcPr>
            <w:tcW w:w="779" w:type="dxa"/>
            <w:tcBorders>
              <w:top w:val="nil"/>
              <w:left w:val="nil"/>
              <w:bottom w:val="single" w:sz="4" w:space="0" w:color="auto"/>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10</w:t>
            </w:r>
          </w:p>
        </w:tc>
        <w:tc>
          <w:tcPr>
            <w:tcW w:w="605" w:type="dxa"/>
            <w:tcBorders>
              <w:top w:val="nil"/>
              <w:left w:val="single" w:sz="4" w:space="0" w:color="auto"/>
              <w:bottom w:val="single" w:sz="4" w:space="0" w:color="auto"/>
              <w:right w:val="nil"/>
            </w:tcBorders>
            <w:shd w:val="clear" w:color="auto" w:fill="auto"/>
            <w:noWrap/>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w:t>
            </w:r>
          </w:p>
        </w:tc>
        <w:tc>
          <w:tcPr>
            <w:tcW w:w="755"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6,31E-03</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0,63%</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3,16E-03</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7,65E-03</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0,76%</w:t>
            </w:r>
          </w:p>
        </w:tc>
      </w:tr>
      <w:tr w:rsidR="000173BF" w:rsidRPr="008D4205" w:rsidTr="000173BF">
        <w:trPr>
          <w:trHeight w:val="255"/>
        </w:trPr>
        <w:tc>
          <w:tcPr>
            <w:tcW w:w="1657" w:type="dxa"/>
            <w:tcBorders>
              <w:top w:val="nil"/>
              <w:left w:val="single" w:sz="8" w:space="0" w:color="auto"/>
              <w:bottom w:val="single" w:sz="4"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Xyleen</w:t>
            </w:r>
          </w:p>
        </w:tc>
        <w:tc>
          <w:tcPr>
            <w:tcW w:w="779" w:type="dxa"/>
            <w:tcBorders>
              <w:top w:val="nil"/>
              <w:left w:val="nil"/>
              <w:bottom w:val="single" w:sz="4" w:space="0" w:color="auto"/>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20</w:t>
            </w:r>
          </w:p>
        </w:tc>
        <w:tc>
          <w:tcPr>
            <w:tcW w:w="605" w:type="dxa"/>
            <w:tcBorders>
              <w:top w:val="nil"/>
              <w:left w:val="single" w:sz="4" w:space="0" w:color="auto"/>
              <w:bottom w:val="single" w:sz="4" w:space="0" w:color="auto"/>
              <w:right w:val="nil"/>
            </w:tcBorders>
            <w:shd w:val="clear" w:color="auto" w:fill="auto"/>
            <w:noWrap/>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4</w:t>
            </w:r>
          </w:p>
        </w:tc>
        <w:tc>
          <w:tcPr>
            <w:tcW w:w="755"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1,26E-02</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6,31E-03</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1,53E-02</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r>
      <w:tr w:rsidR="000173BF" w:rsidRPr="008D4205" w:rsidTr="000173BF">
        <w:trPr>
          <w:trHeight w:val="255"/>
        </w:trPr>
        <w:tc>
          <w:tcPr>
            <w:tcW w:w="1657" w:type="dxa"/>
            <w:tcBorders>
              <w:top w:val="nil"/>
              <w:left w:val="single" w:sz="8" w:space="0" w:color="auto"/>
              <w:bottom w:val="single" w:sz="4"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MAK's (som)</w:t>
            </w:r>
          </w:p>
        </w:tc>
        <w:tc>
          <w:tcPr>
            <w:tcW w:w="779" w:type="dxa"/>
            <w:tcBorders>
              <w:top w:val="nil"/>
              <w:left w:val="nil"/>
              <w:bottom w:val="single" w:sz="4" w:space="0" w:color="auto"/>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30</w:t>
            </w:r>
          </w:p>
        </w:tc>
        <w:tc>
          <w:tcPr>
            <w:tcW w:w="605" w:type="dxa"/>
            <w:tcBorders>
              <w:top w:val="nil"/>
              <w:left w:val="single" w:sz="4" w:space="0" w:color="auto"/>
              <w:bottom w:val="single" w:sz="4" w:space="0" w:color="auto"/>
              <w:right w:val="nil"/>
            </w:tcBorders>
            <w:shd w:val="clear" w:color="auto" w:fill="auto"/>
            <w:noWrap/>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755"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1,89E-02</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9,47E-03</w:t>
            </w:r>
          </w:p>
        </w:tc>
        <w:tc>
          <w:tcPr>
            <w:tcW w:w="908" w:type="dxa"/>
            <w:tcBorders>
              <w:top w:val="nil"/>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908"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2,29E-02</w:t>
            </w:r>
          </w:p>
        </w:tc>
        <w:tc>
          <w:tcPr>
            <w:tcW w:w="908" w:type="dxa"/>
            <w:tcBorders>
              <w:top w:val="nil"/>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r>
      <w:tr w:rsidR="00DA544A" w:rsidRPr="008D4205" w:rsidTr="00BA02A8">
        <w:trPr>
          <w:trHeight w:val="255"/>
        </w:trPr>
        <w:tc>
          <w:tcPr>
            <w:tcW w:w="10488" w:type="dxa"/>
            <w:gridSpan w:val="12"/>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bottom"/>
            <w:hideMark/>
          </w:tcPr>
          <w:p w:rsidR="00DA544A" w:rsidRPr="009C1B60" w:rsidRDefault="00DA544A" w:rsidP="00BA02A8">
            <w:pPr>
              <w:keepNext/>
              <w:spacing w:after="0" w:line="240" w:lineRule="auto"/>
              <w:jc w:val="left"/>
              <w:rPr>
                <w:rFonts w:cs="Calibri"/>
                <w:sz w:val="16"/>
                <w:szCs w:val="16"/>
              </w:rPr>
            </w:pPr>
            <w:r w:rsidRPr="009C1B60">
              <w:rPr>
                <w:rFonts w:cs="Calibri"/>
                <w:sz w:val="16"/>
                <w:szCs w:val="16"/>
              </w:rPr>
              <w:t>PAK’s</w:t>
            </w:r>
          </w:p>
        </w:tc>
      </w:tr>
      <w:tr w:rsidR="000173BF" w:rsidRPr="008D4205" w:rsidTr="000173BF">
        <w:trPr>
          <w:trHeight w:val="255"/>
        </w:trPr>
        <w:tc>
          <w:tcPr>
            <w:tcW w:w="1657" w:type="dxa"/>
            <w:tcBorders>
              <w:top w:val="nil"/>
              <w:left w:val="single" w:sz="4" w:space="0" w:color="auto"/>
              <w:bottom w:val="single" w:sz="8" w:space="0" w:color="auto"/>
              <w:right w:val="single" w:sz="8"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Acenafteen</w:t>
            </w:r>
          </w:p>
        </w:tc>
        <w:tc>
          <w:tcPr>
            <w:tcW w:w="779" w:type="dxa"/>
            <w:tcBorders>
              <w:top w:val="nil"/>
              <w:left w:val="nil"/>
              <w:bottom w:val="single" w:sz="8" w:space="0" w:color="auto"/>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0,6</w:t>
            </w:r>
          </w:p>
        </w:tc>
        <w:tc>
          <w:tcPr>
            <w:tcW w:w="605" w:type="dxa"/>
            <w:tcBorders>
              <w:top w:val="nil"/>
              <w:left w:val="single" w:sz="4" w:space="0" w:color="auto"/>
              <w:bottom w:val="single" w:sz="8" w:space="0" w:color="auto"/>
              <w:right w:val="nil"/>
            </w:tcBorders>
            <w:shd w:val="clear" w:color="auto" w:fill="auto"/>
            <w:noWrap/>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0,06</w:t>
            </w:r>
          </w:p>
        </w:tc>
        <w:tc>
          <w:tcPr>
            <w:tcW w:w="755" w:type="dxa"/>
            <w:tcBorders>
              <w:top w:val="nil"/>
              <w:left w:val="nil"/>
              <w:bottom w:val="single" w:sz="8"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B-MKN</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3,79E-04</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0,63%</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1,89E-04</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tcBorders>
              <w:top w:val="nil"/>
              <w:left w:val="nil"/>
              <w:bottom w:val="single" w:sz="8"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4,59E-04</w:t>
            </w:r>
          </w:p>
        </w:tc>
        <w:tc>
          <w:tcPr>
            <w:tcW w:w="908" w:type="dxa"/>
            <w:tcBorders>
              <w:top w:val="nil"/>
              <w:left w:val="single" w:sz="8" w:space="0" w:color="auto"/>
              <w:bottom w:val="single" w:sz="8" w:space="0" w:color="auto"/>
              <w:right w:val="single" w:sz="4"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0,76%</w:t>
            </w:r>
          </w:p>
        </w:tc>
      </w:tr>
      <w:tr w:rsidR="000173BF" w:rsidRPr="008D4205" w:rsidTr="000173BF">
        <w:trPr>
          <w:trHeight w:val="255"/>
        </w:trPr>
        <w:tc>
          <w:tcPr>
            <w:tcW w:w="1657" w:type="dxa"/>
            <w:tcBorders>
              <w:top w:val="nil"/>
              <w:left w:val="single" w:sz="4" w:space="0" w:color="auto"/>
              <w:bottom w:val="single" w:sz="8" w:space="0" w:color="auto"/>
              <w:right w:val="single" w:sz="8"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Fenanthreen</w:t>
            </w:r>
          </w:p>
        </w:tc>
        <w:tc>
          <w:tcPr>
            <w:tcW w:w="779" w:type="dxa"/>
            <w:tcBorders>
              <w:top w:val="nil"/>
              <w:left w:val="nil"/>
              <w:bottom w:val="single" w:sz="8" w:space="0" w:color="auto"/>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1</w:t>
            </w:r>
          </w:p>
        </w:tc>
        <w:tc>
          <w:tcPr>
            <w:tcW w:w="605" w:type="dxa"/>
            <w:tcBorders>
              <w:top w:val="nil"/>
              <w:left w:val="single" w:sz="4" w:space="0" w:color="auto"/>
              <w:bottom w:val="single" w:sz="8" w:space="0" w:color="auto"/>
              <w:right w:val="nil"/>
            </w:tcBorders>
            <w:shd w:val="clear" w:color="auto" w:fill="auto"/>
            <w:noWrap/>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0,1</w:t>
            </w:r>
          </w:p>
        </w:tc>
        <w:tc>
          <w:tcPr>
            <w:tcW w:w="755" w:type="dxa"/>
            <w:tcBorders>
              <w:top w:val="nil"/>
              <w:left w:val="nil"/>
              <w:bottom w:val="single" w:sz="8"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B-MKN</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6,31E-04</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0,63%</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3,16E-04</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tcBorders>
              <w:top w:val="nil"/>
              <w:left w:val="nil"/>
              <w:bottom w:val="single" w:sz="8"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7,65E-04</w:t>
            </w:r>
          </w:p>
        </w:tc>
        <w:tc>
          <w:tcPr>
            <w:tcW w:w="908" w:type="dxa"/>
            <w:tcBorders>
              <w:top w:val="nil"/>
              <w:left w:val="single" w:sz="8" w:space="0" w:color="auto"/>
              <w:bottom w:val="single" w:sz="8" w:space="0" w:color="auto"/>
              <w:right w:val="single" w:sz="4"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0,76%</w:t>
            </w:r>
          </w:p>
        </w:tc>
      </w:tr>
      <w:tr w:rsidR="000173BF" w:rsidRPr="008D4205" w:rsidTr="000173BF">
        <w:trPr>
          <w:trHeight w:val="255"/>
        </w:trPr>
        <w:tc>
          <w:tcPr>
            <w:tcW w:w="1657" w:type="dxa"/>
            <w:tcBorders>
              <w:top w:val="nil"/>
              <w:left w:val="single" w:sz="4" w:space="0" w:color="auto"/>
              <w:bottom w:val="nil"/>
              <w:right w:val="single" w:sz="8"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Fluorantheen</w:t>
            </w:r>
          </w:p>
        </w:tc>
        <w:tc>
          <w:tcPr>
            <w:tcW w:w="779" w:type="dxa"/>
            <w:tcBorders>
              <w:top w:val="nil"/>
              <w:left w:val="nil"/>
              <w:bottom w:val="nil"/>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nil"/>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0,5</w:t>
            </w:r>
          </w:p>
        </w:tc>
        <w:tc>
          <w:tcPr>
            <w:tcW w:w="605" w:type="dxa"/>
            <w:tcBorders>
              <w:top w:val="nil"/>
              <w:left w:val="single" w:sz="4" w:space="0" w:color="auto"/>
              <w:bottom w:val="nil"/>
              <w:right w:val="nil"/>
            </w:tcBorders>
            <w:shd w:val="clear" w:color="auto" w:fill="auto"/>
            <w:noWrap/>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nil"/>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0,1</w:t>
            </w:r>
          </w:p>
        </w:tc>
        <w:tc>
          <w:tcPr>
            <w:tcW w:w="755" w:type="dxa"/>
            <w:tcBorders>
              <w:top w:val="nil"/>
              <w:left w:val="nil"/>
              <w:bottom w:val="nil"/>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B-MKN</w:t>
            </w:r>
          </w:p>
        </w:tc>
        <w:tc>
          <w:tcPr>
            <w:tcW w:w="908" w:type="dxa"/>
            <w:tcBorders>
              <w:top w:val="nil"/>
              <w:left w:val="single" w:sz="8" w:space="0" w:color="auto"/>
              <w:bottom w:val="nil"/>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3,16E-04</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tcBorders>
              <w:top w:val="nil"/>
              <w:left w:val="nil"/>
              <w:bottom w:val="nil"/>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1,58E-04</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tcBorders>
              <w:top w:val="nil"/>
              <w:left w:val="nil"/>
              <w:bottom w:val="nil"/>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3,82E-04</w:t>
            </w:r>
          </w:p>
        </w:tc>
        <w:tc>
          <w:tcPr>
            <w:tcW w:w="908" w:type="dxa"/>
            <w:tcBorders>
              <w:top w:val="nil"/>
              <w:left w:val="single" w:sz="8" w:space="0" w:color="auto"/>
              <w:bottom w:val="single" w:sz="8" w:space="0" w:color="auto"/>
              <w:right w:val="single" w:sz="4"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r>
      <w:tr w:rsidR="000173BF" w:rsidRPr="008D4205" w:rsidTr="000173BF">
        <w:trPr>
          <w:trHeight w:val="255"/>
        </w:trPr>
        <w:tc>
          <w:tcPr>
            <w:tcW w:w="1657" w:type="dxa"/>
            <w:tcBorders>
              <w:top w:val="nil"/>
              <w:left w:val="single" w:sz="4" w:space="0" w:color="auto"/>
              <w:bottom w:val="nil"/>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lastRenderedPageBreak/>
              <w:t>Naftaleen</w:t>
            </w:r>
          </w:p>
        </w:tc>
        <w:tc>
          <w:tcPr>
            <w:tcW w:w="779" w:type="dxa"/>
            <w:tcBorders>
              <w:top w:val="nil"/>
              <w:left w:val="nil"/>
              <w:bottom w:val="nil"/>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nil"/>
              <w:left w:val="single" w:sz="4" w:space="0" w:color="auto"/>
              <w:bottom w:val="nil"/>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5</w:t>
            </w:r>
          </w:p>
        </w:tc>
        <w:tc>
          <w:tcPr>
            <w:tcW w:w="605" w:type="dxa"/>
            <w:tcBorders>
              <w:top w:val="nil"/>
              <w:left w:val="single" w:sz="4" w:space="0" w:color="auto"/>
              <w:bottom w:val="nil"/>
              <w:right w:val="nil"/>
            </w:tcBorders>
            <w:shd w:val="clear" w:color="auto" w:fill="auto"/>
            <w:noWrap/>
            <w:hideMark/>
          </w:tcPr>
          <w:p w:rsidR="000173BF" w:rsidRPr="009C1B60" w:rsidRDefault="000173BF">
            <w:pPr>
              <w:rPr>
                <w:rFonts w:cs="Calibri"/>
                <w:sz w:val="16"/>
                <w:szCs w:val="16"/>
              </w:rPr>
            </w:pPr>
            <w:r w:rsidRPr="009C1B60">
              <w:rPr>
                <w:rFonts w:cs="Calibri"/>
                <w:sz w:val="16"/>
                <w:szCs w:val="16"/>
              </w:rPr>
              <w:t>BV</w:t>
            </w:r>
          </w:p>
        </w:tc>
        <w:tc>
          <w:tcPr>
            <w:tcW w:w="605" w:type="dxa"/>
            <w:tcBorders>
              <w:top w:val="nil"/>
              <w:left w:val="single" w:sz="8" w:space="0" w:color="auto"/>
              <w:bottom w:val="nil"/>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2</w:t>
            </w:r>
          </w:p>
        </w:tc>
        <w:tc>
          <w:tcPr>
            <w:tcW w:w="755" w:type="dxa"/>
            <w:tcBorders>
              <w:top w:val="nil"/>
              <w:left w:val="nil"/>
              <w:bottom w:val="nil"/>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nil"/>
              <w:left w:val="single" w:sz="8" w:space="0" w:color="auto"/>
              <w:bottom w:val="nil"/>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3,16E-03</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nil"/>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1,58E-03</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nil"/>
              <w:left w:val="nil"/>
              <w:bottom w:val="nil"/>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3,82E-03</w:t>
            </w:r>
          </w:p>
        </w:tc>
        <w:tc>
          <w:tcPr>
            <w:tcW w:w="908" w:type="dxa"/>
            <w:tcBorders>
              <w:top w:val="nil"/>
              <w:left w:val="single" w:sz="8" w:space="0" w:color="auto"/>
              <w:bottom w:val="single" w:sz="8"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r>
      <w:tr w:rsidR="000173BF" w:rsidRPr="008D4205" w:rsidTr="000173BF">
        <w:trPr>
          <w:trHeight w:val="255"/>
        </w:trPr>
        <w:tc>
          <w:tcPr>
            <w:tcW w:w="165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Pyreen</w:t>
            </w:r>
          </w:p>
        </w:tc>
        <w:tc>
          <w:tcPr>
            <w:tcW w:w="779" w:type="dxa"/>
            <w:tcBorders>
              <w:top w:val="single" w:sz="8" w:space="0" w:color="auto"/>
              <w:left w:val="nil"/>
              <w:bottom w:val="single" w:sz="4" w:space="0" w:color="auto"/>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0,2</w:t>
            </w:r>
          </w:p>
        </w:tc>
        <w:tc>
          <w:tcPr>
            <w:tcW w:w="605" w:type="dxa"/>
            <w:tcBorders>
              <w:top w:val="single" w:sz="8" w:space="0" w:color="auto"/>
              <w:left w:val="single" w:sz="4" w:space="0" w:color="auto"/>
              <w:bottom w:val="single" w:sz="8" w:space="0" w:color="auto"/>
              <w:right w:val="nil"/>
            </w:tcBorders>
            <w:shd w:val="clear" w:color="auto" w:fill="auto"/>
            <w:noWrap/>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0,04</w:t>
            </w:r>
          </w:p>
        </w:tc>
        <w:tc>
          <w:tcPr>
            <w:tcW w:w="755" w:type="dxa"/>
            <w:tcBorders>
              <w:top w:val="single" w:sz="8"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1,26E-04</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6,31E-05</w:t>
            </w:r>
          </w:p>
        </w:tc>
        <w:tc>
          <w:tcPr>
            <w:tcW w:w="908" w:type="dxa"/>
            <w:tcBorders>
              <w:top w:val="nil"/>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8"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1,53E-04</w:t>
            </w:r>
          </w:p>
        </w:tc>
        <w:tc>
          <w:tcPr>
            <w:tcW w:w="908" w:type="dxa"/>
            <w:tcBorders>
              <w:top w:val="nil"/>
              <w:left w:val="single" w:sz="8" w:space="0" w:color="auto"/>
              <w:bottom w:val="single" w:sz="8"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r>
      <w:tr w:rsidR="00B2320B" w:rsidRPr="008D4205" w:rsidTr="000173BF">
        <w:trPr>
          <w:trHeight w:val="255"/>
        </w:trPr>
        <w:tc>
          <w:tcPr>
            <w:tcW w:w="1657" w:type="dxa"/>
            <w:tcBorders>
              <w:top w:val="nil"/>
              <w:left w:val="single" w:sz="4" w:space="0" w:color="auto"/>
              <w:bottom w:val="single" w:sz="8" w:space="0" w:color="auto"/>
              <w:right w:val="single" w:sz="4" w:space="0" w:color="auto"/>
            </w:tcBorders>
            <w:shd w:val="clear" w:color="auto" w:fill="auto"/>
            <w:noWrap/>
            <w:vAlign w:val="bottom"/>
            <w:hideMark/>
          </w:tcPr>
          <w:p w:rsidR="00B2320B" w:rsidRPr="009C1B60" w:rsidRDefault="00B2320B">
            <w:pPr>
              <w:rPr>
                <w:rFonts w:cs="Calibri"/>
                <w:sz w:val="16"/>
                <w:szCs w:val="16"/>
              </w:rPr>
            </w:pPr>
            <w:r w:rsidRPr="009C1B60">
              <w:rPr>
                <w:rFonts w:cs="Calibri"/>
                <w:sz w:val="16"/>
                <w:szCs w:val="16"/>
              </w:rPr>
              <w:t>Benzo(b)fluorantheen</w:t>
            </w:r>
          </w:p>
        </w:tc>
        <w:tc>
          <w:tcPr>
            <w:tcW w:w="779" w:type="dxa"/>
            <w:vMerge w:val="restart"/>
            <w:tcBorders>
              <w:top w:val="single" w:sz="4" w:space="0" w:color="auto"/>
              <w:left w:val="single" w:sz="4" w:space="0" w:color="auto"/>
              <w:bottom w:val="single" w:sz="4" w:space="0" w:color="auto"/>
              <w:right w:val="single" w:sz="4" w:space="0" w:color="auto"/>
            </w:tcBorders>
          </w:tcPr>
          <w:p w:rsidR="00B2320B" w:rsidRPr="009C1B60" w:rsidRDefault="00B2320B">
            <w:pPr>
              <w:rPr>
                <w:rFonts w:cs="Calibri"/>
                <w:sz w:val="16"/>
                <w:szCs w:val="16"/>
              </w:rPr>
            </w:pPr>
            <w:r w:rsidRPr="009C1B60">
              <w:rPr>
                <w:rFonts w:cs="Calibri"/>
                <w:sz w:val="16"/>
                <w:szCs w:val="16"/>
              </w:rPr>
              <w:t>µg/l</w:t>
            </w:r>
          </w:p>
          <w:p w:rsidR="00B2320B" w:rsidRPr="009C1B60" w:rsidRDefault="00B2320B">
            <w:pPr>
              <w:rPr>
                <w:rFonts w:cs="Calibri"/>
                <w:sz w:val="16"/>
                <w:szCs w:val="16"/>
              </w:rPr>
            </w:pPr>
            <w:r w:rsidRPr="009C1B60">
              <w:rPr>
                <w:rFonts w:cs="Calibri"/>
                <w:sz w:val="16"/>
                <w:szCs w:val="16"/>
              </w:rPr>
              <w:t>µg/l</w:t>
            </w:r>
          </w:p>
        </w:tc>
        <w:tc>
          <w:tcPr>
            <w:tcW w:w="639" w:type="dxa"/>
            <w:vMerge w:val="restart"/>
            <w:tcBorders>
              <w:top w:val="nil"/>
              <w:left w:val="single" w:sz="4" w:space="0" w:color="auto"/>
              <w:bottom w:val="nil"/>
              <w:right w:val="single" w:sz="4" w:space="0" w:color="auto"/>
            </w:tcBorders>
            <w:shd w:val="clear" w:color="auto" w:fill="auto"/>
            <w:noWrap/>
            <w:vAlign w:val="center"/>
            <w:hideMark/>
          </w:tcPr>
          <w:p w:rsidR="00B2320B" w:rsidRPr="009C1B60" w:rsidRDefault="00B2320B">
            <w:pPr>
              <w:rPr>
                <w:rFonts w:cs="Calibri"/>
                <w:sz w:val="16"/>
                <w:szCs w:val="16"/>
              </w:rPr>
            </w:pPr>
            <w:r w:rsidRPr="009C1B60">
              <w:rPr>
                <w:rFonts w:cs="Calibri"/>
                <w:sz w:val="16"/>
                <w:szCs w:val="16"/>
              </w:rPr>
              <w:t>0,</w:t>
            </w:r>
            <w:r w:rsidR="00047826">
              <w:rPr>
                <w:rFonts w:cs="Calibri"/>
                <w:sz w:val="16"/>
                <w:szCs w:val="16"/>
              </w:rPr>
              <w:t>3</w:t>
            </w:r>
          </w:p>
        </w:tc>
        <w:tc>
          <w:tcPr>
            <w:tcW w:w="605" w:type="dxa"/>
            <w:vMerge w:val="restart"/>
            <w:tcBorders>
              <w:top w:val="nil"/>
              <w:left w:val="single" w:sz="4" w:space="0" w:color="auto"/>
              <w:bottom w:val="nil"/>
              <w:right w:val="nil"/>
            </w:tcBorders>
            <w:shd w:val="clear" w:color="auto" w:fill="auto"/>
            <w:noWrap/>
            <w:vAlign w:val="center"/>
            <w:hideMark/>
          </w:tcPr>
          <w:p w:rsidR="00B2320B" w:rsidRPr="009C1B60" w:rsidRDefault="00B2320B">
            <w:pPr>
              <w:rPr>
                <w:rFonts w:cs="Calibri"/>
                <w:sz w:val="16"/>
                <w:szCs w:val="16"/>
              </w:rPr>
            </w:pPr>
            <w:r w:rsidRPr="009C1B60">
              <w:rPr>
                <w:rFonts w:cs="Calibri"/>
                <w:sz w:val="16"/>
                <w:szCs w:val="16"/>
              </w:rPr>
              <w:t>BV</w:t>
            </w:r>
          </w:p>
        </w:tc>
        <w:tc>
          <w:tcPr>
            <w:tcW w:w="605" w:type="dxa"/>
            <w:vMerge w:val="restart"/>
            <w:tcBorders>
              <w:top w:val="nil"/>
              <w:left w:val="single" w:sz="8" w:space="0" w:color="auto"/>
              <w:bottom w:val="nil"/>
              <w:right w:val="single" w:sz="8" w:space="0" w:color="auto"/>
            </w:tcBorders>
            <w:shd w:val="clear" w:color="auto" w:fill="auto"/>
            <w:noWrap/>
            <w:vAlign w:val="center"/>
            <w:hideMark/>
          </w:tcPr>
          <w:p w:rsidR="00B2320B" w:rsidRPr="009C1B60" w:rsidRDefault="00B2320B">
            <w:pPr>
              <w:jc w:val="center"/>
              <w:rPr>
                <w:rFonts w:cs="Calibri"/>
                <w:sz w:val="16"/>
                <w:szCs w:val="16"/>
              </w:rPr>
            </w:pPr>
            <w:r w:rsidRPr="009C1B60">
              <w:rPr>
                <w:rFonts w:cs="Calibri"/>
                <w:sz w:val="16"/>
                <w:szCs w:val="16"/>
              </w:rPr>
              <w:t>0,03</w:t>
            </w:r>
          </w:p>
        </w:tc>
        <w:tc>
          <w:tcPr>
            <w:tcW w:w="755" w:type="dxa"/>
            <w:vMerge w:val="restart"/>
            <w:tcBorders>
              <w:top w:val="nil"/>
              <w:left w:val="nil"/>
              <w:bottom w:val="single" w:sz="8" w:space="0" w:color="000000"/>
              <w:right w:val="nil"/>
            </w:tcBorders>
            <w:shd w:val="clear" w:color="auto" w:fill="auto"/>
            <w:noWrap/>
            <w:vAlign w:val="center"/>
            <w:hideMark/>
          </w:tcPr>
          <w:p w:rsidR="00B2320B" w:rsidRPr="009C1B60" w:rsidRDefault="00B2320B">
            <w:pPr>
              <w:jc w:val="center"/>
              <w:rPr>
                <w:rFonts w:cs="Calibri"/>
                <w:sz w:val="16"/>
                <w:szCs w:val="16"/>
              </w:rPr>
            </w:pPr>
            <w:r w:rsidRPr="009C1B60">
              <w:rPr>
                <w:rFonts w:cs="Calibri"/>
                <w:sz w:val="16"/>
                <w:szCs w:val="16"/>
              </w:rPr>
              <w:t>B-MKN</w:t>
            </w:r>
          </w:p>
        </w:tc>
        <w:tc>
          <w:tcPr>
            <w:tcW w:w="908" w:type="dxa"/>
            <w:vMerge w:val="restart"/>
            <w:tcBorders>
              <w:top w:val="nil"/>
              <w:left w:val="single" w:sz="8" w:space="0" w:color="auto"/>
              <w:bottom w:val="nil"/>
              <w:right w:val="single" w:sz="8" w:space="0" w:color="auto"/>
            </w:tcBorders>
            <w:shd w:val="clear" w:color="auto" w:fill="auto"/>
            <w:noWrap/>
            <w:vAlign w:val="center"/>
            <w:hideMark/>
          </w:tcPr>
          <w:p w:rsidR="00B2320B" w:rsidRPr="00B2320B" w:rsidRDefault="00B2320B">
            <w:pPr>
              <w:jc w:val="center"/>
              <w:rPr>
                <w:rFonts w:cs="Calibri"/>
                <w:color w:val="000000"/>
                <w:sz w:val="16"/>
                <w:szCs w:val="16"/>
              </w:rPr>
            </w:pPr>
            <w:r w:rsidRPr="00B2320B">
              <w:rPr>
                <w:rFonts w:cs="Calibri"/>
                <w:color w:val="000000"/>
                <w:sz w:val="16"/>
                <w:szCs w:val="16"/>
              </w:rPr>
              <w:t>1,89E-04</w:t>
            </w:r>
          </w:p>
        </w:tc>
        <w:tc>
          <w:tcPr>
            <w:tcW w:w="908" w:type="dxa"/>
            <w:vMerge w:val="restart"/>
            <w:tcBorders>
              <w:top w:val="nil"/>
              <w:left w:val="single" w:sz="8" w:space="0" w:color="auto"/>
              <w:bottom w:val="nil"/>
              <w:right w:val="single" w:sz="8" w:space="0" w:color="auto"/>
            </w:tcBorders>
            <w:shd w:val="clear" w:color="auto" w:fill="auto"/>
            <w:noWrap/>
            <w:vAlign w:val="center"/>
            <w:hideMark/>
          </w:tcPr>
          <w:p w:rsidR="00B2320B" w:rsidRPr="00B2320B" w:rsidRDefault="00B2320B">
            <w:pPr>
              <w:jc w:val="center"/>
              <w:rPr>
                <w:rFonts w:cs="Calibri"/>
                <w:color w:val="000000"/>
                <w:sz w:val="16"/>
                <w:szCs w:val="16"/>
              </w:rPr>
            </w:pPr>
            <w:r w:rsidRPr="00B2320B">
              <w:rPr>
                <w:rFonts w:cs="Calibri"/>
                <w:color w:val="000000"/>
                <w:sz w:val="16"/>
                <w:szCs w:val="16"/>
              </w:rPr>
              <w:t>0,63%</w:t>
            </w:r>
          </w:p>
        </w:tc>
        <w:tc>
          <w:tcPr>
            <w:tcW w:w="908" w:type="dxa"/>
            <w:vMerge w:val="restart"/>
            <w:tcBorders>
              <w:top w:val="nil"/>
              <w:left w:val="single" w:sz="8" w:space="0" w:color="auto"/>
              <w:bottom w:val="nil"/>
              <w:right w:val="single" w:sz="8" w:space="0" w:color="auto"/>
            </w:tcBorders>
            <w:shd w:val="clear" w:color="auto" w:fill="auto"/>
            <w:noWrap/>
            <w:vAlign w:val="center"/>
            <w:hideMark/>
          </w:tcPr>
          <w:p w:rsidR="00B2320B" w:rsidRPr="00B2320B" w:rsidRDefault="00B2320B">
            <w:pPr>
              <w:jc w:val="center"/>
              <w:rPr>
                <w:rFonts w:cs="Calibri"/>
                <w:color w:val="000000"/>
                <w:sz w:val="16"/>
                <w:szCs w:val="16"/>
              </w:rPr>
            </w:pPr>
            <w:r w:rsidRPr="00B2320B">
              <w:rPr>
                <w:rFonts w:cs="Calibri"/>
                <w:color w:val="000000"/>
                <w:sz w:val="16"/>
                <w:szCs w:val="16"/>
              </w:rPr>
              <w:t>9,47E-05</w:t>
            </w:r>
          </w:p>
        </w:tc>
        <w:tc>
          <w:tcPr>
            <w:tcW w:w="908" w:type="dxa"/>
            <w:vMerge w:val="restart"/>
            <w:tcBorders>
              <w:top w:val="nil"/>
              <w:left w:val="single" w:sz="8" w:space="0" w:color="auto"/>
              <w:bottom w:val="nil"/>
              <w:right w:val="single" w:sz="8" w:space="0" w:color="auto"/>
            </w:tcBorders>
            <w:shd w:val="clear" w:color="auto" w:fill="auto"/>
            <w:noWrap/>
            <w:vAlign w:val="center"/>
            <w:hideMark/>
          </w:tcPr>
          <w:p w:rsidR="00B2320B" w:rsidRPr="00B2320B" w:rsidRDefault="00B2320B">
            <w:pPr>
              <w:jc w:val="center"/>
              <w:rPr>
                <w:rFonts w:cs="Calibri"/>
                <w:color w:val="000000"/>
                <w:sz w:val="16"/>
                <w:szCs w:val="16"/>
              </w:rPr>
            </w:pPr>
            <w:r w:rsidRPr="00B2320B">
              <w:rPr>
                <w:rFonts w:cs="Calibri"/>
                <w:color w:val="000000"/>
                <w:sz w:val="16"/>
                <w:szCs w:val="16"/>
              </w:rPr>
              <w:t>&lt; 0,5 %</w:t>
            </w:r>
          </w:p>
        </w:tc>
        <w:tc>
          <w:tcPr>
            <w:tcW w:w="908" w:type="dxa"/>
            <w:vMerge w:val="restart"/>
            <w:tcBorders>
              <w:top w:val="nil"/>
              <w:left w:val="nil"/>
              <w:bottom w:val="nil"/>
              <w:right w:val="nil"/>
            </w:tcBorders>
            <w:shd w:val="clear" w:color="auto" w:fill="auto"/>
            <w:noWrap/>
            <w:vAlign w:val="center"/>
            <w:hideMark/>
          </w:tcPr>
          <w:p w:rsidR="00B2320B" w:rsidRPr="00B2320B" w:rsidRDefault="00B2320B">
            <w:pPr>
              <w:jc w:val="center"/>
              <w:rPr>
                <w:rFonts w:cs="Calibri"/>
                <w:color w:val="000000"/>
                <w:sz w:val="16"/>
                <w:szCs w:val="16"/>
              </w:rPr>
            </w:pPr>
            <w:r w:rsidRPr="00B2320B">
              <w:rPr>
                <w:rFonts w:cs="Calibri"/>
                <w:color w:val="000000"/>
                <w:sz w:val="16"/>
                <w:szCs w:val="16"/>
              </w:rPr>
              <w:t>2,29E-04</w:t>
            </w:r>
          </w:p>
        </w:tc>
        <w:tc>
          <w:tcPr>
            <w:tcW w:w="908" w:type="dxa"/>
            <w:vMerge w:val="restart"/>
            <w:tcBorders>
              <w:top w:val="nil"/>
              <w:left w:val="single" w:sz="8" w:space="0" w:color="auto"/>
              <w:bottom w:val="nil"/>
              <w:right w:val="single" w:sz="4" w:space="0" w:color="auto"/>
            </w:tcBorders>
            <w:shd w:val="clear" w:color="auto" w:fill="auto"/>
            <w:noWrap/>
            <w:vAlign w:val="center"/>
            <w:hideMark/>
          </w:tcPr>
          <w:p w:rsidR="00B2320B" w:rsidRPr="00B2320B" w:rsidRDefault="00B2320B">
            <w:pPr>
              <w:jc w:val="center"/>
              <w:rPr>
                <w:rFonts w:cs="Calibri"/>
                <w:color w:val="000000"/>
                <w:sz w:val="16"/>
                <w:szCs w:val="16"/>
              </w:rPr>
            </w:pPr>
            <w:r w:rsidRPr="00B2320B">
              <w:rPr>
                <w:rFonts w:cs="Calibri"/>
                <w:color w:val="000000"/>
                <w:sz w:val="16"/>
                <w:szCs w:val="16"/>
              </w:rPr>
              <w:t>0,76%</w:t>
            </w:r>
          </w:p>
        </w:tc>
      </w:tr>
      <w:tr w:rsidR="000173BF" w:rsidRPr="008D4205" w:rsidTr="000173BF">
        <w:trPr>
          <w:trHeight w:val="255"/>
        </w:trPr>
        <w:tc>
          <w:tcPr>
            <w:tcW w:w="1657" w:type="dxa"/>
            <w:tcBorders>
              <w:top w:val="nil"/>
              <w:left w:val="single" w:sz="4" w:space="0" w:color="auto"/>
              <w:bottom w:val="nil"/>
              <w:right w:val="single" w:sz="4" w:space="0" w:color="auto"/>
            </w:tcBorders>
            <w:shd w:val="clear" w:color="auto" w:fill="auto"/>
            <w:noWrap/>
            <w:vAlign w:val="bottom"/>
            <w:hideMark/>
          </w:tcPr>
          <w:p w:rsidR="000173BF" w:rsidRPr="009C1B60" w:rsidRDefault="000173BF" w:rsidP="00BA02A8">
            <w:pPr>
              <w:keepNext/>
              <w:spacing w:after="0" w:line="240" w:lineRule="auto"/>
              <w:rPr>
                <w:rFonts w:cs="Calibri"/>
                <w:i/>
                <w:sz w:val="16"/>
                <w:szCs w:val="16"/>
              </w:rPr>
            </w:pPr>
            <w:r w:rsidRPr="009C1B60">
              <w:rPr>
                <w:rFonts w:cs="Calibri"/>
                <w:sz w:val="16"/>
                <w:szCs w:val="16"/>
              </w:rPr>
              <w:t>Benzo(k)fluorantheen</w:t>
            </w:r>
          </w:p>
        </w:tc>
        <w:tc>
          <w:tcPr>
            <w:tcW w:w="779" w:type="dxa"/>
            <w:vMerge/>
            <w:tcBorders>
              <w:left w:val="single" w:sz="4" w:space="0" w:color="auto"/>
              <w:bottom w:val="single" w:sz="4" w:space="0" w:color="auto"/>
              <w:right w:val="single" w:sz="4" w:space="0" w:color="auto"/>
            </w:tcBorders>
          </w:tcPr>
          <w:p w:rsidR="000173BF" w:rsidRPr="009C1B60" w:rsidRDefault="000173BF" w:rsidP="00BA02A8">
            <w:pPr>
              <w:keepNext/>
              <w:spacing w:after="0" w:line="240" w:lineRule="auto"/>
              <w:rPr>
                <w:rFonts w:cs="Calibri"/>
                <w:sz w:val="16"/>
                <w:szCs w:val="16"/>
              </w:rPr>
            </w:pPr>
          </w:p>
        </w:tc>
        <w:tc>
          <w:tcPr>
            <w:tcW w:w="639" w:type="dxa"/>
            <w:vMerge/>
            <w:tcBorders>
              <w:top w:val="nil"/>
              <w:left w:val="single" w:sz="4" w:space="0" w:color="auto"/>
              <w:bottom w:val="nil"/>
              <w:right w:val="single" w:sz="4" w:space="0" w:color="auto"/>
            </w:tcBorders>
            <w:vAlign w:val="center"/>
            <w:hideMark/>
          </w:tcPr>
          <w:p w:rsidR="000173BF" w:rsidRPr="009C1B60" w:rsidRDefault="000173BF" w:rsidP="00BA02A8">
            <w:pPr>
              <w:keepNext/>
              <w:spacing w:after="0" w:line="240" w:lineRule="auto"/>
              <w:rPr>
                <w:rFonts w:cs="Calibri"/>
                <w:sz w:val="16"/>
                <w:szCs w:val="16"/>
              </w:rPr>
            </w:pPr>
          </w:p>
        </w:tc>
        <w:tc>
          <w:tcPr>
            <w:tcW w:w="605" w:type="dxa"/>
            <w:vMerge/>
            <w:tcBorders>
              <w:top w:val="nil"/>
              <w:left w:val="single" w:sz="4" w:space="0" w:color="auto"/>
              <w:bottom w:val="nil"/>
              <w:right w:val="nil"/>
            </w:tcBorders>
            <w:vAlign w:val="center"/>
            <w:hideMark/>
          </w:tcPr>
          <w:p w:rsidR="000173BF" w:rsidRPr="009C1B60" w:rsidRDefault="000173BF" w:rsidP="00BA02A8">
            <w:pPr>
              <w:keepNext/>
              <w:spacing w:after="0" w:line="240" w:lineRule="auto"/>
              <w:rPr>
                <w:rFonts w:cs="Calibri"/>
                <w:sz w:val="16"/>
                <w:szCs w:val="16"/>
              </w:rPr>
            </w:pPr>
          </w:p>
        </w:tc>
        <w:tc>
          <w:tcPr>
            <w:tcW w:w="605" w:type="dxa"/>
            <w:vMerge/>
            <w:tcBorders>
              <w:top w:val="nil"/>
              <w:left w:val="single" w:sz="8" w:space="0" w:color="auto"/>
              <w:bottom w:val="nil"/>
              <w:right w:val="single" w:sz="8" w:space="0" w:color="auto"/>
            </w:tcBorders>
            <w:vAlign w:val="center"/>
            <w:hideMark/>
          </w:tcPr>
          <w:p w:rsidR="000173BF" w:rsidRPr="009C1B60" w:rsidRDefault="000173BF" w:rsidP="00BA02A8">
            <w:pPr>
              <w:keepNext/>
              <w:spacing w:after="0" w:line="240" w:lineRule="auto"/>
              <w:rPr>
                <w:rFonts w:cs="Calibri"/>
                <w:sz w:val="16"/>
                <w:szCs w:val="16"/>
              </w:rPr>
            </w:pPr>
          </w:p>
        </w:tc>
        <w:tc>
          <w:tcPr>
            <w:tcW w:w="755" w:type="dxa"/>
            <w:vMerge/>
            <w:tcBorders>
              <w:top w:val="nil"/>
              <w:left w:val="nil"/>
              <w:bottom w:val="single" w:sz="8" w:space="0" w:color="000000"/>
              <w:right w:val="nil"/>
            </w:tcBorders>
            <w:vAlign w:val="center"/>
            <w:hideMark/>
          </w:tcPr>
          <w:p w:rsidR="000173BF" w:rsidRPr="009C1B60" w:rsidRDefault="000173BF" w:rsidP="00BA02A8">
            <w:pPr>
              <w:keepNext/>
              <w:spacing w:after="0" w:line="240" w:lineRule="auto"/>
              <w:rPr>
                <w:rFonts w:cs="Calibri"/>
                <w:sz w:val="16"/>
                <w:szCs w:val="16"/>
              </w:rPr>
            </w:pPr>
          </w:p>
        </w:tc>
        <w:tc>
          <w:tcPr>
            <w:tcW w:w="908" w:type="dxa"/>
            <w:vMerge/>
            <w:tcBorders>
              <w:top w:val="nil"/>
              <w:left w:val="single" w:sz="8" w:space="0" w:color="auto"/>
              <w:bottom w:val="nil"/>
              <w:right w:val="single" w:sz="8" w:space="0" w:color="auto"/>
            </w:tcBorders>
            <w:vAlign w:val="center"/>
            <w:hideMark/>
          </w:tcPr>
          <w:p w:rsidR="000173BF" w:rsidRPr="009C1B60" w:rsidRDefault="000173BF" w:rsidP="00BA02A8">
            <w:pPr>
              <w:keepNext/>
              <w:spacing w:after="0" w:line="240" w:lineRule="auto"/>
              <w:rPr>
                <w:rFonts w:cs="Calibri"/>
                <w:sz w:val="16"/>
                <w:szCs w:val="16"/>
              </w:rPr>
            </w:pPr>
          </w:p>
        </w:tc>
        <w:tc>
          <w:tcPr>
            <w:tcW w:w="908" w:type="dxa"/>
            <w:vMerge/>
            <w:tcBorders>
              <w:top w:val="nil"/>
              <w:left w:val="single" w:sz="8" w:space="0" w:color="auto"/>
              <w:bottom w:val="nil"/>
              <w:right w:val="single" w:sz="8" w:space="0" w:color="auto"/>
            </w:tcBorders>
            <w:vAlign w:val="center"/>
            <w:hideMark/>
          </w:tcPr>
          <w:p w:rsidR="000173BF" w:rsidRPr="009C1B60" w:rsidRDefault="000173BF" w:rsidP="00BA02A8">
            <w:pPr>
              <w:keepNext/>
              <w:spacing w:after="0" w:line="240" w:lineRule="auto"/>
              <w:rPr>
                <w:rFonts w:cs="Calibri"/>
                <w:sz w:val="16"/>
                <w:szCs w:val="16"/>
              </w:rPr>
            </w:pPr>
          </w:p>
        </w:tc>
        <w:tc>
          <w:tcPr>
            <w:tcW w:w="908" w:type="dxa"/>
            <w:vMerge/>
            <w:tcBorders>
              <w:top w:val="nil"/>
              <w:left w:val="single" w:sz="8" w:space="0" w:color="auto"/>
              <w:bottom w:val="nil"/>
              <w:right w:val="single" w:sz="8" w:space="0" w:color="auto"/>
            </w:tcBorders>
            <w:vAlign w:val="center"/>
            <w:hideMark/>
          </w:tcPr>
          <w:p w:rsidR="000173BF" w:rsidRPr="009C1B60" w:rsidRDefault="000173BF" w:rsidP="00BA02A8">
            <w:pPr>
              <w:keepNext/>
              <w:spacing w:after="0" w:line="240" w:lineRule="auto"/>
              <w:rPr>
                <w:rFonts w:cs="Calibri"/>
                <w:sz w:val="16"/>
                <w:szCs w:val="16"/>
              </w:rPr>
            </w:pPr>
          </w:p>
        </w:tc>
        <w:tc>
          <w:tcPr>
            <w:tcW w:w="908" w:type="dxa"/>
            <w:vMerge/>
            <w:tcBorders>
              <w:top w:val="nil"/>
              <w:left w:val="single" w:sz="8" w:space="0" w:color="auto"/>
              <w:bottom w:val="nil"/>
              <w:right w:val="single" w:sz="8" w:space="0" w:color="auto"/>
            </w:tcBorders>
            <w:vAlign w:val="center"/>
            <w:hideMark/>
          </w:tcPr>
          <w:p w:rsidR="000173BF" w:rsidRPr="009C1B60" w:rsidRDefault="000173BF" w:rsidP="00BA02A8">
            <w:pPr>
              <w:keepNext/>
              <w:spacing w:after="0" w:line="240" w:lineRule="auto"/>
              <w:rPr>
                <w:rFonts w:cs="Calibri"/>
                <w:sz w:val="16"/>
                <w:szCs w:val="16"/>
              </w:rPr>
            </w:pPr>
          </w:p>
        </w:tc>
        <w:tc>
          <w:tcPr>
            <w:tcW w:w="908" w:type="dxa"/>
            <w:vMerge/>
            <w:tcBorders>
              <w:top w:val="nil"/>
              <w:left w:val="nil"/>
              <w:bottom w:val="nil"/>
              <w:right w:val="nil"/>
            </w:tcBorders>
            <w:vAlign w:val="center"/>
            <w:hideMark/>
          </w:tcPr>
          <w:p w:rsidR="000173BF" w:rsidRPr="009C1B60" w:rsidRDefault="000173BF" w:rsidP="00BA02A8">
            <w:pPr>
              <w:keepNext/>
              <w:spacing w:after="0" w:line="240" w:lineRule="auto"/>
              <w:rPr>
                <w:rFonts w:cs="Calibri"/>
                <w:sz w:val="16"/>
                <w:szCs w:val="16"/>
              </w:rPr>
            </w:pPr>
          </w:p>
        </w:tc>
        <w:tc>
          <w:tcPr>
            <w:tcW w:w="908" w:type="dxa"/>
            <w:vMerge/>
            <w:tcBorders>
              <w:top w:val="nil"/>
              <w:left w:val="single" w:sz="8" w:space="0" w:color="auto"/>
              <w:bottom w:val="nil"/>
              <w:right w:val="single" w:sz="4" w:space="0" w:color="auto"/>
            </w:tcBorders>
            <w:vAlign w:val="center"/>
            <w:hideMark/>
          </w:tcPr>
          <w:p w:rsidR="000173BF" w:rsidRPr="009C1B60" w:rsidRDefault="000173BF" w:rsidP="00BA02A8">
            <w:pPr>
              <w:keepNext/>
              <w:spacing w:after="0" w:line="240" w:lineRule="auto"/>
              <w:rPr>
                <w:rFonts w:cs="Calibri"/>
                <w:sz w:val="16"/>
                <w:szCs w:val="16"/>
              </w:rPr>
            </w:pPr>
          </w:p>
        </w:tc>
      </w:tr>
      <w:tr w:rsidR="000173BF" w:rsidRPr="008D4205" w:rsidTr="000173BF">
        <w:trPr>
          <w:trHeight w:val="255"/>
        </w:trPr>
        <w:tc>
          <w:tcPr>
            <w:tcW w:w="165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PAK’s tot 16  (epa)</w:t>
            </w:r>
          </w:p>
        </w:tc>
        <w:tc>
          <w:tcPr>
            <w:tcW w:w="779" w:type="dxa"/>
            <w:tcBorders>
              <w:top w:val="single" w:sz="4" w:space="0" w:color="auto"/>
              <w:left w:val="nil"/>
              <w:bottom w:val="single" w:sz="4" w:space="0" w:color="auto"/>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5</w:t>
            </w:r>
          </w:p>
        </w:tc>
        <w:tc>
          <w:tcPr>
            <w:tcW w:w="605" w:type="dxa"/>
            <w:tcBorders>
              <w:top w:val="single" w:sz="8" w:space="0" w:color="auto"/>
              <w:left w:val="single" w:sz="4" w:space="0" w:color="auto"/>
              <w:bottom w:val="single" w:sz="4"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755" w:type="dxa"/>
            <w:tcBorders>
              <w:top w:val="nil"/>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3,16E-03</w:t>
            </w:r>
          </w:p>
        </w:tc>
        <w:tc>
          <w:tcPr>
            <w:tcW w:w="908" w:type="dxa"/>
            <w:tcBorders>
              <w:top w:val="single" w:sz="8" w:space="0" w:color="auto"/>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908" w:type="dxa"/>
            <w:tcBorders>
              <w:top w:val="single" w:sz="8" w:space="0" w:color="auto"/>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1,58E-03</w:t>
            </w:r>
          </w:p>
        </w:tc>
        <w:tc>
          <w:tcPr>
            <w:tcW w:w="908" w:type="dxa"/>
            <w:tcBorders>
              <w:top w:val="single" w:sz="8" w:space="0" w:color="auto"/>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908" w:type="dxa"/>
            <w:tcBorders>
              <w:top w:val="single" w:sz="8" w:space="0" w:color="auto"/>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3,82E-03</w:t>
            </w:r>
          </w:p>
        </w:tc>
        <w:tc>
          <w:tcPr>
            <w:tcW w:w="9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r>
      <w:tr w:rsidR="00DA544A" w:rsidRPr="008D4205" w:rsidTr="00BA02A8">
        <w:trPr>
          <w:trHeight w:val="255"/>
        </w:trPr>
        <w:tc>
          <w:tcPr>
            <w:tcW w:w="10488"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544A" w:rsidRPr="000173BF" w:rsidRDefault="00DA544A" w:rsidP="00BA02A8">
            <w:pPr>
              <w:keepNext/>
              <w:spacing w:after="0" w:line="240" w:lineRule="auto"/>
              <w:jc w:val="left"/>
              <w:rPr>
                <w:rFonts w:cs="Calibri"/>
                <w:sz w:val="16"/>
                <w:szCs w:val="16"/>
              </w:rPr>
            </w:pPr>
            <w:r w:rsidRPr="000173BF">
              <w:rPr>
                <w:rFonts w:cs="Calibri"/>
                <w:sz w:val="16"/>
                <w:szCs w:val="16"/>
              </w:rPr>
              <w:t>Fenolen</w:t>
            </w:r>
          </w:p>
        </w:tc>
      </w:tr>
      <w:tr w:rsidR="000173BF" w:rsidRPr="008D4205" w:rsidTr="000173BF">
        <w:trPr>
          <w:trHeight w:val="255"/>
        </w:trPr>
        <w:tc>
          <w:tcPr>
            <w:tcW w:w="1657"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0173BF" w:rsidRPr="000173BF" w:rsidRDefault="000173BF">
            <w:pPr>
              <w:rPr>
                <w:rFonts w:cs="Calibri"/>
                <w:color w:val="000000"/>
                <w:sz w:val="16"/>
                <w:szCs w:val="16"/>
              </w:rPr>
            </w:pPr>
            <w:r w:rsidRPr="000173BF">
              <w:rPr>
                <w:rFonts w:cs="Calibri"/>
                <w:color w:val="000000"/>
                <w:sz w:val="16"/>
                <w:szCs w:val="16"/>
              </w:rPr>
              <w:t>Fenolen</w:t>
            </w:r>
          </w:p>
        </w:tc>
        <w:tc>
          <w:tcPr>
            <w:tcW w:w="779" w:type="dxa"/>
            <w:tcBorders>
              <w:top w:val="single" w:sz="4" w:space="0" w:color="auto"/>
              <w:left w:val="nil"/>
              <w:bottom w:val="single" w:sz="4" w:space="0" w:color="auto"/>
              <w:right w:val="single" w:sz="4" w:space="0" w:color="auto"/>
            </w:tcBorders>
            <w:shd w:val="clear" w:color="000000" w:fill="FFFFFF"/>
          </w:tcPr>
          <w:p w:rsidR="000173BF" w:rsidRPr="000173BF" w:rsidRDefault="000173BF">
            <w:pPr>
              <w:rPr>
                <w:rFonts w:cs="Calibri"/>
                <w:color w:val="000000"/>
                <w:sz w:val="16"/>
                <w:szCs w:val="16"/>
              </w:rPr>
            </w:pPr>
            <w:r w:rsidRPr="000173BF">
              <w:rPr>
                <w:rFonts w:cs="Calibri"/>
                <w:color w:val="000000"/>
                <w:sz w:val="16"/>
                <w:szCs w:val="16"/>
              </w:rPr>
              <w:t>µg/l</w:t>
            </w:r>
          </w:p>
        </w:tc>
        <w:tc>
          <w:tcPr>
            <w:tcW w:w="6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173BF" w:rsidRPr="000173BF" w:rsidRDefault="000173BF">
            <w:pPr>
              <w:rPr>
                <w:rFonts w:cs="Calibri"/>
                <w:color w:val="000000"/>
                <w:sz w:val="16"/>
                <w:szCs w:val="16"/>
              </w:rPr>
            </w:pPr>
            <w:r w:rsidRPr="000173BF">
              <w:rPr>
                <w:rFonts w:cs="Calibri"/>
                <w:color w:val="000000"/>
                <w:sz w:val="16"/>
                <w:szCs w:val="16"/>
              </w:rPr>
              <w:t>100</w:t>
            </w:r>
          </w:p>
        </w:tc>
        <w:tc>
          <w:tcPr>
            <w:tcW w:w="605" w:type="dxa"/>
            <w:tcBorders>
              <w:top w:val="single" w:sz="4" w:space="0" w:color="auto"/>
              <w:left w:val="single" w:sz="4" w:space="0" w:color="auto"/>
              <w:bottom w:val="single" w:sz="4" w:space="0" w:color="auto"/>
              <w:right w:val="nil"/>
            </w:tcBorders>
            <w:shd w:val="clear" w:color="000000" w:fill="FFFFFF"/>
            <w:noWrap/>
            <w:vAlign w:val="bottom"/>
            <w:hideMark/>
          </w:tcPr>
          <w:p w:rsidR="000173BF" w:rsidRPr="000173BF" w:rsidRDefault="000173BF">
            <w:pPr>
              <w:rPr>
                <w:rFonts w:cs="Calibri"/>
                <w:color w:val="000000"/>
                <w:sz w:val="16"/>
                <w:szCs w:val="16"/>
              </w:rPr>
            </w:pPr>
            <w:r w:rsidRPr="000173BF">
              <w:rPr>
                <w:rFonts w:cs="Calibri"/>
                <w:color w:val="000000"/>
                <w:sz w:val="16"/>
                <w:szCs w:val="16"/>
              </w:rPr>
              <w:t>BV</w:t>
            </w:r>
          </w:p>
        </w:tc>
        <w:tc>
          <w:tcPr>
            <w:tcW w:w="6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w:t>
            </w:r>
          </w:p>
        </w:tc>
        <w:tc>
          <w:tcPr>
            <w:tcW w:w="90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6,31E-02</w:t>
            </w:r>
          </w:p>
        </w:tc>
        <w:tc>
          <w:tcPr>
            <w:tcW w:w="908" w:type="dxa"/>
            <w:tcBorders>
              <w:top w:val="single" w:sz="4" w:space="0" w:color="auto"/>
              <w:left w:val="nil"/>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w:t>
            </w:r>
          </w:p>
        </w:tc>
        <w:tc>
          <w:tcPr>
            <w:tcW w:w="908" w:type="dxa"/>
            <w:tcBorders>
              <w:top w:val="single" w:sz="4" w:space="0" w:color="auto"/>
              <w:left w:val="nil"/>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3,16E-02</w:t>
            </w:r>
          </w:p>
        </w:tc>
        <w:tc>
          <w:tcPr>
            <w:tcW w:w="908" w:type="dxa"/>
            <w:tcBorders>
              <w:top w:val="single" w:sz="4" w:space="0" w:color="auto"/>
              <w:left w:val="nil"/>
              <w:bottom w:val="single" w:sz="4" w:space="0" w:color="auto"/>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w:t>
            </w:r>
          </w:p>
        </w:tc>
        <w:tc>
          <w:tcPr>
            <w:tcW w:w="908" w:type="dxa"/>
            <w:tcBorders>
              <w:top w:val="single" w:sz="4" w:space="0" w:color="auto"/>
              <w:left w:val="nil"/>
              <w:bottom w:val="single" w:sz="4" w:space="0" w:color="auto"/>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7,65E-02</w:t>
            </w:r>
          </w:p>
        </w:tc>
        <w:tc>
          <w:tcPr>
            <w:tcW w:w="9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w:t>
            </w:r>
          </w:p>
        </w:tc>
      </w:tr>
      <w:tr w:rsidR="00DA544A" w:rsidRPr="008D4205" w:rsidTr="00BA02A8">
        <w:trPr>
          <w:trHeight w:val="255"/>
        </w:trPr>
        <w:tc>
          <w:tcPr>
            <w:tcW w:w="10488"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A544A" w:rsidRPr="000173BF" w:rsidRDefault="00BA02A8" w:rsidP="00BA02A8">
            <w:pPr>
              <w:keepNext/>
              <w:spacing w:after="0" w:line="240" w:lineRule="auto"/>
              <w:jc w:val="left"/>
              <w:rPr>
                <w:rFonts w:cs="Calibri"/>
                <w:sz w:val="16"/>
                <w:szCs w:val="16"/>
              </w:rPr>
            </w:pPr>
            <w:r w:rsidRPr="000173BF">
              <w:rPr>
                <w:rFonts w:cs="Calibri"/>
                <w:sz w:val="16"/>
                <w:szCs w:val="16"/>
              </w:rPr>
              <w:t>Chloorbenzenen</w:t>
            </w:r>
          </w:p>
        </w:tc>
      </w:tr>
      <w:tr w:rsidR="000173BF" w:rsidRPr="008D4205" w:rsidTr="000173BF">
        <w:trPr>
          <w:trHeight w:val="255"/>
        </w:trPr>
        <w:tc>
          <w:tcPr>
            <w:tcW w:w="165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1,2 dichloorbenzeen</w:t>
            </w:r>
          </w:p>
        </w:tc>
        <w:tc>
          <w:tcPr>
            <w:tcW w:w="779" w:type="dxa"/>
            <w:vMerge w:val="restart"/>
            <w:tcBorders>
              <w:top w:val="single" w:sz="4" w:space="0" w:color="auto"/>
              <w:left w:val="nil"/>
              <w:right w:val="single" w:sz="4" w:space="0" w:color="auto"/>
            </w:tcBorders>
            <w:vAlign w:val="bottom"/>
          </w:tcPr>
          <w:p w:rsidR="000173BF" w:rsidRPr="000173BF" w:rsidRDefault="000173BF">
            <w:pPr>
              <w:rPr>
                <w:rFonts w:cs="Calibri"/>
                <w:color w:val="000000"/>
                <w:sz w:val="16"/>
                <w:szCs w:val="16"/>
              </w:rPr>
            </w:pPr>
            <w:r w:rsidRPr="000173BF">
              <w:rPr>
                <w:rFonts w:cs="Calibri"/>
                <w:color w:val="000000"/>
                <w:sz w:val="16"/>
                <w:szCs w:val="16"/>
              </w:rPr>
              <w:t>µg/l</w:t>
            </w:r>
          </w:p>
          <w:p w:rsidR="000173BF" w:rsidRPr="000173BF" w:rsidRDefault="000173BF">
            <w:pPr>
              <w:rPr>
                <w:rFonts w:cs="Calibri"/>
                <w:color w:val="000000"/>
                <w:sz w:val="16"/>
                <w:szCs w:val="16"/>
              </w:rPr>
            </w:pPr>
            <w:r w:rsidRPr="000173BF">
              <w:rPr>
                <w:rFonts w:cs="Calibri"/>
                <w:color w:val="000000"/>
                <w:sz w:val="16"/>
                <w:szCs w:val="16"/>
              </w:rPr>
              <w:t>µg/l</w:t>
            </w:r>
          </w:p>
          <w:p w:rsidR="000173BF" w:rsidRPr="000173BF" w:rsidRDefault="000173BF">
            <w:pPr>
              <w:rPr>
                <w:rFonts w:cs="Calibri"/>
                <w:color w:val="000000"/>
                <w:sz w:val="16"/>
                <w:szCs w:val="16"/>
              </w:rPr>
            </w:pPr>
            <w:r w:rsidRPr="000173BF">
              <w:rPr>
                <w:rFonts w:cs="Calibri"/>
                <w:color w:val="000000"/>
                <w:sz w:val="16"/>
                <w:szCs w:val="16"/>
              </w:rPr>
              <w:t>µg/l</w:t>
            </w:r>
          </w:p>
        </w:tc>
        <w:tc>
          <w:tcPr>
            <w:tcW w:w="639"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0173BF" w:rsidRPr="000173BF" w:rsidRDefault="000173BF">
            <w:pPr>
              <w:rPr>
                <w:rFonts w:cs="Calibri"/>
                <w:color w:val="000000"/>
                <w:sz w:val="16"/>
                <w:szCs w:val="16"/>
              </w:rPr>
            </w:pPr>
            <w:r w:rsidRPr="000173BF">
              <w:rPr>
                <w:rFonts w:cs="Calibri"/>
                <w:color w:val="000000"/>
                <w:sz w:val="16"/>
                <w:szCs w:val="16"/>
              </w:rPr>
              <w:t>25</w:t>
            </w:r>
          </w:p>
        </w:tc>
        <w:tc>
          <w:tcPr>
            <w:tcW w:w="605" w:type="dxa"/>
            <w:vMerge w:val="restart"/>
            <w:tcBorders>
              <w:top w:val="single" w:sz="4" w:space="0" w:color="auto"/>
              <w:left w:val="single" w:sz="4" w:space="0" w:color="auto"/>
              <w:bottom w:val="single" w:sz="8" w:space="0" w:color="000000"/>
              <w:right w:val="nil"/>
            </w:tcBorders>
            <w:shd w:val="clear" w:color="auto" w:fill="auto"/>
            <w:noWrap/>
            <w:vAlign w:val="center"/>
            <w:hideMark/>
          </w:tcPr>
          <w:p w:rsidR="000173BF" w:rsidRPr="000173BF" w:rsidRDefault="000173BF">
            <w:pPr>
              <w:rPr>
                <w:rFonts w:cs="Calibri"/>
                <w:color w:val="000000"/>
                <w:sz w:val="16"/>
                <w:szCs w:val="16"/>
              </w:rPr>
            </w:pPr>
            <w:r w:rsidRPr="000173BF">
              <w:rPr>
                <w:rFonts w:cs="Calibri"/>
                <w:color w:val="000000"/>
                <w:sz w:val="16"/>
                <w:szCs w:val="16"/>
              </w:rPr>
              <w:t>BV</w:t>
            </w:r>
          </w:p>
        </w:tc>
        <w:tc>
          <w:tcPr>
            <w:tcW w:w="60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20</w:t>
            </w:r>
          </w:p>
        </w:tc>
        <w:tc>
          <w:tcPr>
            <w:tcW w:w="755" w:type="dxa"/>
            <w:vMerge w:val="restart"/>
            <w:tcBorders>
              <w:top w:val="single" w:sz="4" w:space="0" w:color="auto"/>
              <w:left w:val="nil"/>
              <w:bottom w:val="single" w:sz="8" w:space="0" w:color="000000"/>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B-MKN</w:t>
            </w:r>
          </w:p>
        </w:tc>
        <w:tc>
          <w:tcPr>
            <w:tcW w:w="908"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1,58E-02</w:t>
            </w:r>
          </w:p>
        </w:tc>
        <w:tc>
          <w:tcPr>
            <w:tcW w:w="908"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7,89E-03</w:t>
            </w:r>
          </w:p>
        </w:tc>
        <w:tc>
          <w:tcPr>
            <w:tcW w:w="908"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c>
          <w:tcPr>
            <w:tcW w:w="908" w:type="dxa"/>
            <w:vMerge w:val="restart"/>
            <w:tcBorders>
              <w:top w:val="single" w:sz="4" w:space="0" w:color="auto"/>
              <w:left w:val="nil"/>
              <w:bottom w:val="single" w:sz="8" w:space="0" w:color="000000"/>
              <w:right w:val="nil"/>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1,91E-02</w:t>
            </w:r>
          </w:p>
        </w:tc>
        <w:tc>
          <w:tcPr>
            <w:tcW w:w="908"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0173BF" w:rsidRPr="000173BF" w:rsidRDefault="000173BF">
            <w:pPr>
              <w:jc w:val="center"/>
              <w:rPr>
                <w:rFonts w:cs="Calibri"/>
                <w:color w:val="000000"/>
                <w:sz w:val="16"/>
                <w:szCs w:val="16"/>
              </w:rPr>
            </w:pPr>
            <w:r w:rsidRPr="000173BF">
              <w:rPr>
                <w:rFonts w:cs="Calibri"/>
                <w:color w:val="000000"/>
                <w:sz w:val="16"/>
                <w:szCs w:val="16"/>
              </w:rPr>
              <w:t>&lt; 0,5 %</w:t>
            </w:r>
          </w:p>
        </w:tc>
      </w:tr>
      <w:tr w:rsidR="000173BF" w:rsidRPr="008D4205" w:rsidTr="000173BF">
        <w:trPr>
          <w:trHeight w:val="255"/>
        </w:trPr>
        <w:tc>
          <w:tcPr>
            <w:tcW w:w="1657" w:type="dxa"/>
            <w:tcBorders>
              <w:top w:val="nil"/>
              <w:left w:val="single" w:sz="8" w:space="0" w:color="auto"/>
              <w:bottom w:val="single" w:sz="8" w:space="0" w:color="auto"/>
              <w:right w:val="single" w:sz="8" w:space="0" w:color="auto"/>
            </w:tcBorders>
            <w:shd w:val="clear" w:color="auto" w:fill="auto"/>
            <w:noWrap/>
            <w:vAlign w:val="bottom"/>
            <w:hideMark/>
          </w:tcPr>
          <w:p w:rsidR="000173BF" w:rsidRPr="000173BF" w:rsidRDefault="000173BF" w:rsidP="00BA02A8">
            <w:pPr>
              <w:keepNext/>
              <w:spacing w:after="0" w:line="240" w:lineRule="auto"/>
              <w:rPr>
                <w:rFonts w:cs="Calibri"/>
                <w:i/>
                <w:sz w:val="16"/>
                <w:szCs w:val="16"/>
              </w:rPr>
            </w:pPr>
            <w:r w:rsidRPr="000173BF">
              <w:rPr>
                <w:rFonts w:cs="Calibri"/>
                <w:color w:val="000000"/>
                <w:sz w:val="16"/>
                <w:szCs w:val="16"/>
              </w:rPr>
              <w:t>1,3-dichloorbenzeen</w:t>
            </w:r>
          </w:p>
        </w:tc>
        <w:tc>
          <w:tcPr>
            <w:tcW w:w="779" w:type="dxa"/>
            <w:vMerge/>
            <w:tcBorders>
              <w:left w:val="nil"/>
              <w:right w:val="single" w:sz="4" w:space="0" w:color="auto"/>
            </w:tcBorders>
            <w:vAlign w:val="bottom"/>
          </w:tcPr>
          <w:p w:rsidR="000173BF" w:rsidRPr="000173BF" w:rsidRDefault="000173BF" w:rsidP="00BA02A8">
            <w:pPr>
              <w:keepNext/>
              <w:spacing w:after="0" w:line="240" w:lineRule="auto"/>
              <w:rPr>
                <w:rFonts w:cs="Calibri"/>
                <w:sz w:val="16"/>
                <w:szCs w:val="16"/>
              </w:rPr>
            </w:pPr>
          </w:p>
        </w:tc>
        <w:tc>
          <w:tcPr>
            <w:tcW w:w="639" w:type="dxa"/>
            <w:vMerge/>
            <w:tcBorders>
              <w:top w:val="nil"/>
              <w:left w:val="single" w:sz="4" w:space="0" w:color="auto"/>
              <w:bottom w:val="single" w:sz="8" w:space="0" w:color="000000"/>
              <w:right w:val="single" w:sz="4" w:space="0" w:color="auto"/>
            </w:tcBorders>
            <w:vAlign w:val="center"/>
            <w:hideMark/>
          </w:tcPr>
          <w:p w:rsidR="000173BF" w:rsidRPr="000173BF" w:rsidRDefault="000173BF" w:rsidP="00BA02A8">
            <w:pPr>
              <w:keepNext/>
              <w:spacing w:after="0" w:line="240" w:lineRule="auto"/>
              <w:rPr>
                <w:rFonts w:cs="Calibri"/>
                <w:sz w:val="16"/>
                <w:szCs w:val="16"/>
              </w:rPr>
            </w:pPr>
          </w:p>
        </w:tc>
        <w:tc>
          <w:tcPr>
            <w:tcW w:w="605" w:type="dxa"/>
            <w:vMerge/>
            <w:tcBorders>
              <w:top w:val="nil"/>
              <w:left w:val="single" w:sz="4" w:space="0" w:color="auto"/>
              <w:bottom w:val="single" w:sz="8" w:space="0" w:color="000000"/>
              <w:right w:val="nil"/>
            </w:tcBorders>
            <w:vAlign w:val="center"/>
            <w:hideMark/>
          </w:tcPr>
          <w:p w:rsidR="000173BF" w:rsidRPr="000173BF" w:rsidRDefault="000173BF" w:rsidP="00BA02A8">
            <w:pPr>
              <w:keepNext/>
              <w:spacing w:after="0" w:line="240" w:lineRule="auto"/>
              <w:rPr>
                <w:rFonts w:cs="Calibri"/>
                <w:sz w:val="16"/>
                <w:szCs w:val="16"/>
              </w:rPr>
            </w:pPr>
          </w:p>
        </w:tc>
        <w:tc>
          <w:tcPr>
            <w:tcW w:w="605" w:type="dxa"/>
            <w:vMerge/>
            <w:tcBorders>
              <w:top w:val="nil"/>
              <w:left w:val="single" w:sz="8" w:space="0" w:color="auto"/>
              <w:bottom w:val="single" w:sz="8" w:space="0" w:color="000000"/>
              <w:right w:val="single" w:sz="8" w:space="0" w:color="auto"/>
            </w:tcBorders>
            <w:vAlign w:val="center"/>
            <w:hideMark/>
          </w:tcPr>
          <w:p w:rsidR="000173BF" w:rsidRPr="000173BF" w:rsidRDefault="000173BF" w:rsidP="00BA02A8">
            <w:pPr>
              <w:keepNext/>
              <w:spacing w:after="0" w:line="240" w:lineRule="auto"/>
              <w:rPr>
                <w:rFonts w:cs="Calibri"/>
                <w:sz w:val="16"/>
                <w:szCs w:val="16"/>
              </w:rPr>
            </w:pPr>
          </w:p>
        </w:tc>
        <w:tc>
          <w:tcPr>
            <w:tcW w:w="755" w:type="dxa"/>
            <w:vMerge/>
            <w:tcBorders>
              <w:top w:val="nil"/>
              <w:left w:val="nil"/>
              <w:bottom w:val="single" w:sz="8" w:space="0" w:color="000000"/>
              <w:right w:val="nil"/>
            </w:tcBorders>
            <w:vAlign w:val="center"/>
            <w:hideMark/>
          </w:tcPr>
          <w:p w:rsidR="000173BF" w:rsidRPr="000173BF" w:rsidRDefault="000173BF" w:rsidP="00BA02A8">
            <w:pPr>
              <w:keepNext/>
              <w:spacing w:after="0" w:line="240" w:lineRule="auto"/>
              <w:rPr>
                <w:rFonts w:cs="Calibri"/>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rsidR="000173BF" w:rsidRPr="000173BF" w:rsidRDefault="000173BF" w:rsidP="00BA02A8">
            <w:pPr>
              <w:keepNext/>
              <w:spacing w:after="0" w:line="240" w:lineRule="auto"/>
              <w:rPr>
                <w:rFonts w:cs="Calibri"/>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rsidR="000173BF" w:rsidRPr="000173BF" w:rsidRDefault="000173BF" w:rsidP="00BA02A8">
            <w:pPr>
              <w:keepNext/>
              <w:spacing w:after="0" w:line="240" w:lineRule="auto"/>
              <w:rPr>
                <w:rFonts w:cs="Calibri"/>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rsidR="000173BF" w:rsidRPr="000173BF" w:rsidRDefault="000173BF" w:rsidP="00BA02A8">
            <w:pPr>
              <w:keepNext/>
              <w:spacing w:after="0" w:line="240" w:lineRule="auto"/>
              <w:rPr>
                <w:rFonts w:cs="Calibri"/>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rsidR="000173BF" w:rsidRPr="000173BF" w:rsidRDefault="000173BF" w:rsidP="00BA02A8">
            <w:pPr>
              <w:keepNext/>
              <w:spacing w:after="0" w:line="240" w:lineRule="auto"/>
              <w:rPr>
                <w:rFonts w:cs="Calibri"/>
                <w:sz w:val="16"/>
                <w:szCs w:val="16"/>
              </w:rPr>
            </w:pPr>
          </w:p>
        </w:tc>
        <w:tc>
          <w:tcPr>
            <w:tcW w:w="908" w:type="dxa"/>
            <w:vMerge/>
            <w:tcBorders>
              <w:top w:val="nil"/>
              <w:left w:val="nil"/>
              <w:bottom w:val="single" w:sz="8" w:space="0" w:color="000000"/>
              <w:right w:val="nil"/>
            </w:tcBorders>
            <w:vAlign w:val="center"/>
            <w:hideMark/>
          </w:tcPr>
          <w:p w:rsidR="000173BF" w:rsidRPr="000173BF" w:rsidRDefault="000173BF" w:rsidP="00BA02A8">
            <w:pPr>
              <w:keepNext/>
              <w:spacing w:after="0" w:line="240" w:lineRule="auto"/>
              <w:rPr>
                <w:rFonts w:cs="Calibri"/>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rsidR="000173BF" w:rsidRPr="000173BF" w:rsidRDefault="000173BF" w:rsidP="00BA02A8">
            <w:pPr>
              <w:keepNext/>
              <w:spacing w:after="0" w:line="240" w:lineRule="auto"/>
              <w:rPr>
                <w:rFonts w:cs="Calibri"/>
                <w:sz w:val="16"/>
                <w:szCs w:val="16"/>
              </w:rPr>
            </w:pPr>
          </w:p>
        </w:tc>
      </w:tr>
      <w:tr w:rsidR="000173BF" w:rsidRPr="008D4205" w:rsidTr="000173BF">
        <w:trPr>
          <w:trHeight w:val="255"/>
        </w:trPr>
        <w:tc>
          <w:tcPr>
            <w:tcW w:w="1657" w:type="dxa"/>
            <w:tcBorders>
              <w:top w:val="nil"/>
              <w:left w:val="single" w:sz="8" w:space="0" w:color="auto"/>
              <w:bottom w:val="single" w:sz="8" w:space="0" w:color="auto"/>
              <w:right w:val="single" w:sz="8" w:space="0" w:color="auto"/>
            </w:tcBorders>
            <w:shd w:val="clear" w:color="auto" w:fill="auto"/>
            <w:noWrap/>
            <w:vAlign w:val="bottom"/>
            <w:hideMark/>
          </w:tcPr>
          <w:p w:rsidR="000173BF" w:rsidRPr="000173BF" w:rsidRDefault="000173BF" w:rsidP="00BA02A8">
            <w:pPr>
              <w:keepNext/>
              <w:spacing w:after="0" w:line="240" w:lineRule="auto"/>
              <w:rPr>
                <w:rFonts w:cs="Calibri"/>
                <w:i/>
                <w:sz w:val="16"/>
                <w:szCs w:val="16"/>
              </w:rPr>
            </w:pPr>
            <w:r w:rsidRPr="000173BF">
              <w:rPr>
                <w:rFonts w:cs="Calibri"/>
                <w:color w:val="000000"/>
                <w:sz w:val="16"/>
                <w:szCs w:val="16"/>
              </w:rPr>
              <w:t>1,4-dichloorbenzeen</w:t>
            </w:r>
          </w:p>
        </w:tc>
        <w:tc>
          <w:tcPr>
            <w:tcW w:w="779" w:type="dxa"/>
            <w:vMerge/>
            <w:tcBorders>
              <w:left w:val="nil"/>
              <w:bottom w:val="single" w:sz="8" w:space="0" w:color="auto"/>
              <w:right w:val="single" w:sz="4" w:space="0" w:color="auto"/>
            </w:tcBorders>
            <w:vAlign w:val="bottom"/>
          </w:tcPr>
          <w:p w:rsidR="000173BF" w:rsidRPr="000173BF" w:rsidRDefault="000173BF" w:rsidP="00BA02A8">
            <w:pPr>
              <w:keepNext/>
              <w:spacing w:after="0" w:line="240" w:lineRule="auto"/>
              <w:rPr>
                <w:rFonts w:cs="Calibri"/>
                <w:sz w:val="16"/>
                <w:szCs w:val="16"/>
              </w:rPr>
            </w:pPr>
          </w:p>
        </w:tc>
        <w:tc>
          <w:tcPr>
            <w:tcW w:w="639" w:type="dxa"/>
            <w:vMerge/>
            <w:tcBorders>
              <w:top w:val="nil"/>
              <w:left w:val="single" w:sz="4" w:space="0" w:color="auto"/>
              <w:bottom w:val="single" w:sz="8" w:space="0" w:color="000000"/>
              <w:right w:val="single" w:sz="4" w:space="0" w:color="auto"/>
            </w:tcBorders>
            <w:vAlign w:val="center"/>
            <w:hideMark/>
          </w:tcPr>
          <w:p w:rsidR="000173BF" w:rsidRPr="000173BF" w:rsidRDefault="000173BF" w:rsidP="00BA02A8">
            <w:pPr>
              <w:keepNext/>
              <w:spacing w:after="0" w:line="240" w:lineRule="auto"/>
              <w:rPr>
                <w:rFonts w:cs="Calibri"/>
                <w:sz w:val="16"/>
                <w:szCs w:val="16"/>
              </w:rPr>
            </w:pPr>
          </w:p>
        </w:tc>
        <w:tc>
          <w:tcPr>
            <w:tcW w:w="605" w:type="dxa"/>
            <w:vMerge/>
            <w:tcBorders>
              <w:top w:val="nil"/>
              <w:left w:val="single" w:sz="4" w:space="0" w:color="auto"/>
              <w:bottom w:val="single" w:sz="8" w:space="0" w:color="000000"/>
              <w:right w:val="nil"/>
            </w:tcBorders>
            <w:vAlign w:val="center"/>
            <w:hideMark/>
          </w:tcPr>
          <w:p w:rsidR="000173BF" w:rsidRPr="000173BF" w:rsidRDefault="000173BF" w:rsidP="00BA02A8">
            <w:pPr>
              <w:keepNext/>
              <w:spacing w:after="0" w:line="240" w:lineRule="auto"/>
              <w:rPr>
                <w:rFonts w:cs="Calibri"/>
                <w:sz w:val="16"/>
                <w:szCs w:val="16"/>
              </w:rPr>
            </w:pPr>
          </w:p>
        </w:tc>
        <w:tc>
          <w:tcPr>
            <w:tcW w:w="605" w:type="dxa"/>
            <w:vMerge/>
            <w:tcBorders>
              <w:top w:val="nil"/>
              <w:left w:val="single" w:sz="8" w:space="0" w:color="auto"/>
              <w:bottom w:val="single" w:sz="8" w:space="0" w:color="000000"/>
              <w:right w:val="single" w:sz="8" w:space="0" w:color="auto"/>
            </w:tcBorders>
            <w:vAlign w:val="center"/>
            <w:hideMark/>
          </w:tcPr>
          <w:p w:rsidR="000173BF" w:rsidRPr="000173BF" w:rsidRDefault="000173BF" w:rsidP="00BA02A8">
            <w:pPr>
              <w:keepNext/>
              <w:spacing w:after="0" w:line="240" w:lineRule="auto"/>
              <w:rPr>
                <w:rFonts w:cs="Calibri"/>
                <w:sz w:val="16"/>
                <w:szCs w:val="16"/>
              </w:rPr>
            </w:pPr>
          </w:p>
        </w:tc>
        <w:tc>
          <w:tcPr>
            <w:tcW w:w="755" w:type="dxa"/>
            <w:vMerge/>
            <w:tcBorders>
              <w:top w:val="nil"/>
              <w:left w:val="nil"/>
              <w:bottom w:val="single" w:sz="8" w:space="0" w:color="000000"/>
              <w:right w:val="nil"/>
            </w:tcBorders>
            <w:vAlign w:val="center"/>
            <w:hideMark/>
          </w:tcPr>
          <w:p w:rsidR="000173BF" w:rsidRPr="000173BF" w:rsidRDefault="000173BF" w:rsidP="00BA02A8">
            <w:pPr>
              <w:keepNext/>
              <w:spacing w:after="0" w:line="240" w:lineRule="auto"/>
              <w:rPr>
                <w:rFonts w:cs="Calibri"/>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rsidR="000173BF" w:rsidRPr="000173BF" w:rsidRDefault="000173BF" w:rsidP="00BA02A8">
            <w:pPr>
              <w:keepNext/>
              <w:spacing w:after="0" w:line="240" w:lineRule="auto"/>
              <w:rPr>
                <w:rFonts w:cs="Calibri"/>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rsidR="000173BF" w:rsidRPr="000173BF" w:rsidRDefault="000173BF" w:rsidP="00BA02A8">
            <w:pPr>
              <w:keepNext/>
              <w:spacing w:after="0" w:line="240" w:lineRule="auto"/>
              <w:rPr>
                <w:rFonts w:cs="Calibri"/>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rsidR="000173BF" w:rsidRPr="000173BF" w:rsidRDefault="000173BF" w:rsidP="00BA02A8">
            <w:pPr>
              <w:keepNext/>
              <w:spacing w:after="0" w:line="240" w:lineRule="auto"/>
              <w:rPr>
                <w:rFonts w:cs="Calibri"/>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rsidR="000173BF" w:rsidRPr="000173BF" w:rsidRDefault="000173BF" w:rsidP="00BA02A8">
            <w:pPr>
              <w:keepNext/>
              <w:spacing w:after="0" w:line="240" w:lineRule="auto"/>
              <w:rPr>
                <w:rFonts w:cs="Calibri"/>
                <w:sz w:val="16"/>
                <w:szCs w:val="16"/>
              </w:rPr>
            </w:pPr>
          </w:p>
        </w:tc>
        <w:tc>
          <w:tcPr>
            <w:tcW w:w="908" w:type="dxa"/>
            <w:vMerge/>
            <w:tcBorders>
              <w:top w:val="nil"/>
              <w:left w:val="nil"/>
              <w:bottom w:val="single" w:sz="8" w:space="0" w:color="000000"/>
              <w:right w:val="nil"/>
            </w:tcBorders>
            <w:vAlign w:val="center"/>
            <w:hideMark/>
          </w:tcPr>
          <w:p w:rsidR="000173BF" w:rsidRPr="000173BF" w:rsidRDefault="000173BF" w:rsidP="00BA02A8">
            <w:pPr>
              <w:keepNext/>
              <w:spacing w:after="0" w:line="240" w:lineRule="auto"/>
              <w:rPr>
                <w:rFonts w:cs="Calibri"/>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rsidR="000173BF" w:rsidRPr="000173BF" w:rsidRDefault="000173BF" w:rsidP="00BA02A8">
            <w:pPr>
              <w:keepNext/>
              <w:spacing w:after="0" w:line="240" w:lineRule="auto"/>
              <w:rPr>
                <w:rFonts w:cs="Calibri"/>
                <w:sz w:val="16"/>
                <w:szCs w:val="16"/>
              </w:rPr>
            </w:pPr>
          </w:p>
        </w:tc>
      </w:tr>
      <w:tr w:rsidR="000173BF" w:rsidRPr="008D4205" w:rsidTr="009C1B60">
        <w:trPr>
          <w:trHeight w:val="255"/>
        </w:trPr>
        <w:tc>
          <w:tcPr>
            <w:tcW w:w="1657" w:type="dxa"/>
            <w:tcBorders>
              <w:top w:val="nil"/>
              <w:left w:val="single" w:sz="8" w:space="0" w:color="auto"/>
              <w:bottom w:val="single" w:sz="8" w:space="0" w:color="auto"/>
              <w:right w:val="single" w:sz="8" w:space="0" w:color="auto"/>
            </w:tcBorders>
            <w:shd w:val="clear" w:color="auto" w:fill="auto"/>
            <w:noWrap/>
            <w:vAlign w:val="bottom"/>
            <w:hideMark/>
          </w:tcPr>
          <w:p w:rsidR="000173BF" w:rsidRPr="000173BF" w:rsidRDefault="000173BF">
            <w:pPr>
              <w:rPr>
                <w:rFonts w:cs="Calibri"/>
                <w:color w:val="000000"/>
                <w:sz w:val="16"/>
                <w:szCs w:val="16"/>
              </w:rPr>
            </w:pPr>
            <w:r w:rsidRPr="000173BF">
              <w:rPr>
                <w:rFonts w:cs="Calibri"/>
                <w:color w:val="000000"/>
                <w:sz w:val="16"/>
                <w:szCs w:val="16"/>
              </w:rPr>
              <w:t>1,2,3-trichloorbenzeen</w:t>
            </w:r>
          </w:p>
        </w:tc>
        <w:tc>
          <w:tcPr>
            <w:tcW w:w="779" w:type="dxa"/>
            <w:vMerge w:val="restart"/>
            <w:tcBorders>
              <w:top w:val="nil"/>
              <w:left w:val="nil"/>
              <w:right w:val="single" w:sz="4" w:space="0" w:color="auto"/>
            </w:tcBorders>
            <w:vAlign w:val="center"/>
          </w:tcPr>
          <w:p w:rsidR="000173BF" w:rsidRPr="009C1B60" w:rsidRDefault="000173BF" w:rsidP="009C1B60">
            <w:pPr>
              <w:jc w:val="left"/>
              <w:rPr>
                <w:rFonts w:cs="Calibri"/>
                <w:sz w:val="16"/>
                <w:szCs w:val="16"/>
              </w:rPr>
            </w:pPr>
            <w:r w:rsidRPr="009C1B60">
              <w:rPr>
                <w:rFonts w:cs="Calibri"/>
                <w:sz w:val="16"/>
                <w:szCs w:val="16"/>
              </w:rPr>
              <w:t>µg/l</w:t>
            </w:r>
          </w:p>
        </w:tc>
        <w:tc>
          <w:tcPr>
            <w:tcW w:w="639" w:type="dxa"/>
            <w:vMerge w:val="restart"/>
            <w:tcBorders>
              <w:top w:val="nil"/>
              <w:left w:val="single" w:sz="4" w:space="0" w:color="auto"/>
              <w:bottom w:val="nil"/>
              <w:right w:val="single" w:sz="4" w:space="0" w:color="auto"/>
            </w:tcBorders>
            <w:shd w:val="clear" w:color="auto" w:fill="auto"/>
            <w:noWrap/>
            <w:vAlign w:val="center"/>
            <w:hideMark/>
          </w:tcPr>
          <w:p w:rsidR="000173BF" w:rsidRPr="009C1B60" w:rsidRDefault="000173BF">
            <w:pPr>
              <w:rPr>
                <w:rFonts w:cs="Calibri"/>
                <w:sz w:val="16"/>
                <w:szCs w:val="16"/>
              </w:rPr>
            </w:pPr>
            <w:r w:rsidRPr="009C1B60">
              <w:rPr>
                <w:rFonts w:cs="Calibri"/>
                <w:sz w:val="16"/>
                <w:szCs w:val="16"/>
              </w:rPr>
              <w:t>4</w:t>
            </w:r>
          </w:p>
        </w:tc>
        <w:tc>
          <w:tcPr>
            <w:tcW w:w="605" w:type="dxa"/>
            <w:vMerge w:val="restart"/>
            <w:tcBorders>
              <w:top w:val="nil"/>
              <w:left w:val="single" w:sz="4" w:space="0" w:color="auto"/>
              <w:bottom w:val="nil"/>
              <w:right w:val="nil"/>
            </w:tcBorders>
            <w:shd w:val="clear" w:color="auto" w:fill="auto"/>
            <w:noWrap/>
            <w:vAlign w:val="center"/>
            <w:hideMark/>
          </w:tcPr>
          <w:p w:rsidR="000173BF" w:rsidRPr="009C1B60" w:rsidRDefault="000173BF">
            <w:pPr>
              <w:rPr>
                <w:rFonts w:cs="Calibri"/>
                <w:sz w:val="16"/>
                <w:szCs w:val="16"/>
              </w:rPr>
            </w:pPr>
            <w:r w:rsidRPr="009C1B60">
              <w:rPr>
                <w:rFonts w:cs="Calibri"/>
                <w:sz w:val="16"/>
                <w:szCs w:val="16"/>
              </w:rPr>
              <w:t>BV</w:t>
            </w:r>
          </w:p>
        </w:tc>
        <w:tc>
          <w:tcPr>
            <w:tcW w:w="6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0,4</w:t>
            </w:r>
          </w:p>
        </w:tc>
        <w:tc>
          <w:tcPr>
            <w:tcW w:w="755" w:type="dxa"/>
            <w:vMerge w:val="restart"/>
            <w:tcBorders>
              <w:top w:val="nil"/>
              <w:left w:val="nil"/>
              <w:bottom w:val="nil"/>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vMerge w:val="restart"/>
            <w:tcBorders>
              <w:top w:val="nil"/>
              <w:left w:val="single" w:sz="8" w:space="0" w:color="auto"/>
              <w:bottom w:val="nil"/>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2,52E-03</w:t>
            </w:r>
          </w:p>
        </w:tc>
        <w:tc>
          <w:tcPr>
            <w:tcW w:w="908" w:type="dxa"/>
            <w:vMerge w:val="restart"/>
            <w:tcBorders>
              <w:top w:val="nil"/>
              <w:left w:val="single" w:sz="8" w:space="0" w:color="auto"/>
              <w:bottom w:val="nil"/>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0,63%</w:t>
            </w:r>
          </w:p>
        </w:tc>
        <w:tc>
          <w:tcPr>
            <w:tcW w:w="908" w:type="dxa"/>
            <w:vMerge w:val="restart"/>
            <w:tcBorders>
              <w:top w:val="nil"/>
              <w:left w:val="single" w:sz="8" w:space="0" w:color="auto"/>
              <w:bottom w:val="nil"/>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1,26E-03</w:t>
            </w:r>
          </w:p>
        </w:tc>
        <w:tc>
          <w:tcPr>
            <w:tcW w:w="908" w:type="dxa"/>
            <w:vMerge w:val="restart"/>
            <w:tcBorders>
              <w:top w:val="nil"/>
              <w:left w:val="single" w:sz="8" w:space="0" w:color="auto"/>
              <w:bottom w:val="nil"/>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vMerge w:val="restart"/>
            <w:tcBorders>
              <w:top w:val="nil"/>
              <w:left w:val="nil"/>
              <w:bottom w:val="nil"/>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3,06E-03</w:t>
            </w:r>
          </w:p>
        </w:tc>
        <w:tc>
          <w:tcPr>
            <w:tcW w:w="908" w:type="dxa"/>
            <w:vMerge w:val="restart"/>
            <w:tcBorders>
              <w:top w:val="nil"/>
              <w:left w:val="single" w:sz="8" w:space="0" w:color="auto"/>
              <w:bottom w:val="nil"/>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0,76%</w:t>
            </w:r>
          </w:p>
        </w:tc>
      </w:tr>
      <w:tr w:rsidR="00DA544A" w:rsidRPr="008D4205" w:rsidTr="00DA544A">
        <w:trPr>
          <w:trHeight w:val="255"/>
        </w:trPr>
        <w:tc>
          <w:tcPr>
            <w:tcW w:w="1657" w:type="dxa"/>
            <w:tcBorders>
              <w:top w:val="nil"/>
              <w:left w:val="single" w:sz="8" w:space="0" w:color="auto"/>
              <w:bottom w:val="single" w:sz="4" w:space="0" w:color="auto"/>
              <w:right w:val="single" w:sz="8" w:space="0" w:color="auto"/>
            </w:tcBorders>
            <w:shd w:val="clear" w:color="auto" w:fill="auto"/>
            <w:noWrap/>
            <w:vAlign w:val="bottom"/>
            <w:hideMark/>
          </w:tcPr>
          <w:p w:rsidR="00DA544A" w:rsidRPr="000173BF" w:rsidRDefault="000173BF" w:rsidP="000173BF">
            <w:pPr>
              <w:rPr>
                <w:rFonts w:cs="Calibri"/>
                <w:color w:val="000000"/>
                <w:sz w:val="16"/>
                <w:szCs w:val="16"/>
              </w:rPr>
            </w:pPr>
            <w:r w:rsidRPr="000173BF">
              <w:rPr>
                <w:rFonts w:cs="Calibri"/>
                <w:color w:val="000000"/>
                <w:sz w:val="16"/>
                <w:szCs w:val="16"/>
              </w:rPr>
              <w:t>1,2,4-trichloorbenzeen</w:t>
            </w:r>
          </w:p>
        </w:tc>
        <w:tc>
          <w:tcPr>
            <w:tcW w:w="779" w:type="dxa"/>
            <w:vMerge/>
            <w:tcBorders>
              <w:left w:val="nil"/>
              <w:bottom w:val="single" w:sz="4" w:space="0" w:color="auto"/>
              <w:right w:val="single" w:sz="4" w:space="0" w:color="auto"/>
            </w:tcBorders>
            <w:vAlign w:val="center"/>
          </w:tcPr>
          <w:p w:rsidR="00DA544A" w:rsidRPr="000173BF" w:rsidRDefault="00DA544A" w:rsidP="00BA02A8">
            <w:pPr>
              <w:keepNext/>
              <w:spacing w:after="0" w:line="240" w:lineRule="auto"/>
              <w:rPr>
                <w:rFonts w:cs="Calibri"/>
                <w:sz w:val="16"/>
                <w:szCs w:val="16"/>
              </w:rPr>
            </w:pPr>
          </w:p>
        </w:tc>
        <w:tc>
          <w:tcPr>
            <w:tcW w:w="639" w:type="dxa"/>
            <w:vMerge/>
            <w:tcBorders>
              <w:top w:val="nil"/>
              <w:left w:val="single" w:sz="4" w:space="0" w:color="auto"/>
              <w:bottom w:val="single" w:sz="4" w:space="0" w:color="auto"/>
              <w:right w:val="single" w:sz="4" w:space="0" w:color="auto"/>
            </w:tcBorders>
            <w:vAlign w:val="center"/>
            <w:hideMark/>
          </w:tcPr>
          <w:p w:rsidR="00DA544A" w:rsidRPr="000173BF" w:rsidRDefault="00DA544A" w:rsidP="00BA02A8">
            <w:pPr>
              <w:keepNext/>
              <w:spacing w:after="0" w:line="240" w:lineRule="auto"/>
              <w:rPr>
                <w:rFonts w:cs="Calibri"/>
                <w:sz w:val="16"/>
                <w:szCs w:val="16"/>
              </w:rPr>
            </w:pPr>
          </w:p>
        </w:tc>
        <w:tc>
          <w:tcPr>
            <w:tcW w:w="605" w:type="dxa"/>
            <w:vMerge/>
            <w:tcBorders>
              <w:top w:val="nil"/>
              <w:left w:val="single" w:sz="4" w:space="0" w:color="auto"/>
              <w:bottom w:val="single" w:sz="4" w:space="0" w:color="auto"/>
              <w:right w:val="nil"/>
            </w:tcBorders>
            <w:vAlign w:val="center"/>
            <w:hideMark/>
          </w:tcPr>
          <w:p w:rsidR="00DA544A" w:rsidRPr="000173BF" w:rsidRDefault="00DA544A" w:rsidP="00BA02A8">
            <w:pPr>
              <w:keepNext/>
              <w:spacing w:after="0" w:line="240" w:lineRule="auto"/>
              <w:rPr>
                <w:rFonts w:cs="Calibri"/>
                <w:sz w:val="16"/>
                <w:szCs w:val="16"/>
              </w:rPr>
            </w:pPr>
          </w:p>
        </w:tc>
        <w:tc>
          <w:tcPr>
            <w:tcW w:w="605" w:type="dxa"/>
            <w:vMerge/>
            <w:tcBorders>
              <w:top w:val="nil"/>
              <w:left w:val="single" w:sz="8" w:space="0" w:color="auto"/>
              <w:bottom w:val="single" w:sz="4" w:space="0" w:color="auto"/>
              <w:right w:val="single" w:sz="8" w:space="0" w:color="auto"/>
            </w:tcBorders>
            <w:vAlign w:val="center"/>
            <w:hideMark/>
          </w:tcPr>
          <w:p w:rsidR="00DA544A" w:rsidRPr="000173BF" w:rsidRDefault="00DA544A" w:rsidP="00BA02A8">
            <w:pPr>
              <w:keepNext/>
              <w:spacing w:after="0" w:line="240" w:lineRule="auto"/>
              <w:rPr>
                <w:rFonts w:cs="Calibri"/>
                <w:sz w:val="16"/>
                <w:szCs w:val="16"/>
              </w:rPr>
            </w:pPr>
          </w:p>
        </w:tc>
        <w:tc>
          <w:tcPr>
            <w:tcW w:w="755" w:type="dxa"/>
            <w:vMerge/>
            <w:tcBorders>
              <w:top w:val="nil"/>
              <w:left w:val="nil"/>
              <w:bottom w:val="single" w:sz="4" w:space="0" w:color="auto"/>
              <w:right w:val="nil"/>
            </w:tcBorders>
            <w:vAlign w:val="center"/>
            <w:hideMark/>
          </w:tcPr>
          <w:p w:rsidR="00DA544A" w:rsidRPr="000173BF" w:rsidRDefault="00DA544A" w:rsidP="00BA02A8">
            <w:pPr>
              <w:keepNext/>
              <w:spacing w:after="0" w:line="240" w:lineRule="auto"/>
              <w:rPr>
                <w:rFonts w:cs="Calibri"/>
                <w:sz w:val="16"/>
                <w:szCs w:val="16"/>
              </w:rPr>
            </w:pPr>
          </w:p>
        </w:tc>
        <w:tc>
          <w:tcPr>
            <w:tcW w:w="908" w:type="dxa"/>
            <w:vMerge/>
            <w:tcBorders>
              <w:top w:val="nil"/>
              <w:left w:val="single" w:sz="8" w:space="0" w:color="auto"/>
              <w:bottom w:val="single" w:sz="4" w:space="0" w:color="auto"/>
              <w:right w:val="single" w:sz="8" w:space="0" w:color="auto"/>
            </w:tcBorders>
            <w:vAlign w:val="center"/>
            <w:hideMark/>
          </w:tcPr>
          <w:p w:rsidR="00DA544A" w:rsidRPr="000173BF" w:rsidRDefault="00DA544A" w:rsidP="00BA02A8">
            <w:pPr>
              <w:keepNext/>
              <w:spacing w:after="0" w:line="240" w:lineRule="auto"/>
              <w:rPr>
                <w:rFonts w:cs="Calibri"/>
                <w:sz w:val="16"/>
                <w:szCs w:val="16"/>
              </w:rPr>
            </w:pPr>
          </w:p>
        </w:tc>
        <w:tc>
          <w:tcPr>
            <w:tcW w:w="908" w:type="dxa"/>
            <w:vMerge/>
            <w:tcBorders>
              <w:top w:val="nil"/>
              <w:left w:val="single" w:sz="8" w:space="0" w:color="auto"/>
              <w:bottom w:val="single" w:sz="4" w:space="0" w:color="auto"/>
              <w:right w:val="single" w:sz="8" w:space="0" w:color="auto"/>
            </w:tcBorders>
            <w:vAlign w:val="center"/>
            <w:hideMark/>
          </w:tcPr>
          <w:p w:rsidR="00DA544A" w:rsidRPr="000173BF" w:rsidRDefault="00DA544A" w:rsidP="00BA02A8">
            <w:pPr>
              <w:keepNext/>
              <w:spacing w:after="0" w:line="240" w:lineRule="auto"/>
              <w:rPr>
                <w:rFonts w:cs="Calibri"/>
                <w:sz w:val="16"/>
                <w:szCs w:val="16"/>
              </w:rPr>
            </w:pPr>
          </w:p>
        </w:tc>
        <w:tc>
          <w:tcPr>
            <w:tcW w:w="908" w:type="dxa"/>
            <w:vMerge/>
            <w:tcBorders>
              <w:top w:val="nil"/>
              <w:left w:val="single" w:sz="8" w:space="0" w:color="auto"/>
              <w:bottom w:val="single" w:sz="4" w:space="0" w:color="auto"/>
              <w:right w:val="single" w:sz="8" w:space="0" w:color="auto"/>
            </w:tcBorders>
            <w:vAlign w:val="center"/>
            <w:hideMark/>
          </w:tcPr>
          <w:p w:rsidR="00DA544A" w:rsidRPr="000173BF" w:rsidRDefault="00DA544A" w:rsidP="00BA02A8">
            <w:pPr>
              <w:keepNext/>
              <w:spacing w:after="0" w:line="240" w:lineRule="auto"/>
              <w:rPr>
                <w:rFonts w:cs="Calibri"/>
                <w:sz w:val="16"/>
                <w:szCs w:val="16"/>
              </w:rPr>
            </w:pPr>
          </w:p>
        </w:tc>
        <w:tc>
          <w:tcPr>
            <w:tcW w:w="908" w:type="dxa"/>
            <w:vMerge/>
            <w:tcBorders>
              <w:top w:val="nil"/>
              <w:left w:val="single" w:sz="8" w:space="0" w:color="auto"/>
              <w:bottom w:val="single" w:sz="4" w:space="0" w:color="auto"/>
              <w:right w:val="single" w:sz="8" w:space="0" w:color="auto"/>
            </w:tcBorders>
            <w:vAlign w:val="center"/>
            <w:hideMark/>
          </w:tcPr>
          <w:p w:rsidR="00DA544A" w:rsidRPr="000173BF" w:rsidRDefault="00DA544A" w:rsidP="00BA02A8">
            <w:pPr>
              <w:keepNext/>
              <w:spacing w:after="0" w:line="240" w:lineRule="auto"/>
              <w:rPr>
                <w:rFonts w:cs="Calibri"/>
                <w:sz w:val="16"/>
                <w:szCs w:val="16"/>
              </w:rPr>
            </w:pPr>
          </w:p>
        </w:tc>
        <w:tc>
          <w:tcPr>
            <w:tcW w:w="908" w:type="dxa"/>
            <w:vMerge/>
            <w:tcBorders>
              <w:top w:val="nil"/>
              <w:left w:val="nil"/>
              <w:bottom w:val="single" w:sz="4" w:space="0" w:color="auto"/>
              <w:right w:val="nil"/>
            </w:tcBorders>
            <w:vAlign w:val="center"/>
            <w:hideMark/>
          </w:tcPr>
          <w:p w:rsidR="00DA544A" w:rsidRPr="000173BF" w:rsidRDefault="00DA544A" w:rsidP="00BA02A8">
            <w:pPr>
              <w:keepNext/>
              <w:spacing w:after="0" w:line="240" w:lineRule="auto"/>
              <w:rPr>
                <w:rFonts w:cs="Calibri"/>
                <w:sz w:val="16"/>
                <w:szCs w:val="16"/>
              </w:rPr>
            </w:pPr>
          </w:p>
        </w:tc>
        <w:tc>
          <w:tcPr>
            <w:tcW w:w="908" w:type="dxa"/>
            <w:vMerge/>
            <w:tcBorders>
              <w:top w:val="nil"/>
              <w:left w:val="single" w:sz="8" w:space="0" w:color="auto"/>
              <w:bottom w:val="single" w:sz="4" w:space="0" w:color="auto"/>
              <w:right w:val="single" w:sz="8" w:space="0" w:color="auto"/>
            </w:tcBorders>
            <w:vAlign w:val="center"/>
            <w:hideMark/>
          </w:tcPr>
          <w:p w:rsidR="00DA544A" w:rsidRPr="000173BF" w:rsidRDefault="00DA544A" w:rsidP="00BA02A8">
            <w:pPr>
              <w:keepNext/>
              <w:spacing w:after="0" w:line="240" w:lineRule="auto"/>
              <w:rPr>
                <w:rFonts w:cs="Calibri"/>
                <w:sz w:val="16"/>
                <w:szCs w:val="16"/>
              </w:rPr>
            </w:pPr>
          </w:p>
        </w:tc>
      </w:tr>
      <w:tr w:rsidR="00DA544A" w:rsidRPr="008D4205" w:rsidTr="00BA02A8">
        <w:trPr>
          <w:trHeight w:val="255"/>
        </w:trPr>
        <w:tc>
          <w:tcPr>
            <w:tcW w:w="10488" w:type="dxa"/>
            <w:gridSpan w:val="12"/>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bottom"/>
            <w:hideMark/>
          </w:tcPr>
          <w:p w:rsidR="00DA544A" w:rsidRPr="000173BF" w:rsidRDefault="00BA02A8" w:rsidP="00BA02A8">
            <w:pPr>
              <w:keepNext/>
              <w:spacing w:after="0" w:line="240" w:lineRule="auto"/>
              <w:jc w:val="left"/>
              <w:rPr>
                <w:rFonts w:cs="Calibri"/>
                <w:sz w:val="16"/>
                <w:szCs w:val="16"/>
              </w:rPr>
            </w:pPr>
            <w:r w:rsidRPr="000173BF">
              <w:rPr>
                <w:rFonts w:cs="Calibri"/>
                <w:sz w:val="16"/>
                <w:szCs w:val="16"/>
              </w:rPr>
              <w:t>Vluchtige gechloreerde verbindingen</w:t>
            </w:r>
          </w:p>
        </w:tc>
      </w:tr>
      <w:tr w:rsidR="000173BF" w:rsidRPr="008D4205" w:rsidTr="000173BF">
        <w:trPr>
          <w:trHeight w:val="255"/>
        </w:trPr>
        <w:tc>
          <w:tcPr>
            <w:tcW w:w="165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dichloormethaan</w:t>
            </w:r>
          </w:p>
        </w:tc>
        <w:tc>
          <w:tcPr>
            <w:tcW w:w="779" w:type="dxa"/>
            <w:tcBorders>
              <w:top w:val="single" w:sz="4" w:space="0" w:color="auto"/>
              <w:left w:val="nil"/>
              <w:bottom w:val="single" w:sz="8"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µg/l</w:t>
            </w:r>
          </w:p>
        </w:tc>
        <w:tc>
          <w:tcPr>
            <w:tcW w:w="63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100</w:t>
            </w:r>
          </w:p>
        </w:tc>
        <w:tc>
          <w:tcPr>
            <w:tcW w:w="605" w:type="dxa"/>
            <w:tcBorders>
              <w:top w:val="single" w:sz="4" w:space="0" w:color="auto"/>
              <w:left w:val="single" w:sz="4" w:space="0" w:color="auto"/>
              <w:bottom w:val="single" w:sz="8"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20</w:t>
            </w:r>
          </w:p>
        </w:tc>
        <w:tc>
          <w:tcPr>
            <w:tcW w:w="755" w:type="dxa"/>
            <w:tcBorders>
              <w:top w:val="single" w:sz="4"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6,31E-02</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3,16E-02</w:t>
            </w:r>
          </w:p>
        </w:tc>
        <w:tc>
          <w:tcPr>
            <w:tcW w:w="908" w:type="dxa"/>
            <w:tcBorders>
              <w:top w:val="single" w:sz="4"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4"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7,65E-02</w:t>
            </w:r>
          </w:p>
        </w:tc>
        <w:tc>
          <w:tcPr>
            <w:tcW w:w="90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r>
      <w:tr w:rsidR="000173BF" w:rsidRPr="008D4205" w:rsidTr="000173BF">
        <w:trPr>
          <w:trHeight w:val="495"/>
        </w:trPr>
        <w:tc>
          <w:tcPr>
            <w:tcW w:w="165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trichloormethaan (chlororform)</w:t>
            </w:r>
          </w:p>
        </w:tc>
        <w:tc>
          <w:tcPr>
            <w:tcW w:w="779" w:type="dxa"/>
            <w:tcBorders>
              <w:top w:val="single" w:sz="8" w:space="0" w:color="auto"/>
              <w:left w:val="nil"/>
              <w:bottom w:val="single" w:sz="8"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µg/l</w:t>
            </w:r>
          </w:p>
        </w:tc>
        <w:tc>
          <w:tcPr>
            <w:tcW w:w="63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25</w:t>
            </w:r>
          </w:p>
        </w:tc>
        <w:tc>
          <w:tcPr>
            <w:tcW w:w="605" w:type="dxa"/>
            <w:tcBorders>
              <w:top w:val="single" w:sz="8" w:space="0" w:color="auto"/>
              <w:left w:val="single" w:sz="4" w:space="0" w:color="auto"/>
              <w:bottom w:val="single" w:sz="8"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2,5</w:t>
            </w:r>
          </w:p>
        </w:tc>
        <w:tc>
          <w:tcPr>
            <w:tcW w:w="755" w:type="dxa"/>
            <w:tcBorders>
              <w:top w:val="single" w:sz="8"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1,58E-02</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0,63%</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7,89E-03</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8"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1,91E-02</w:t>
            </w:r>
          </w:p>
        </w:tc>
        <w:tc>
          <w:tcPr>
            <w:tcW w:w="9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0,76%</w:t>
            </w:r>
          </w:p>
        </w:tc>
      </w:tr>
      <w:tr w:rsidR="000173BF" w:rsidRPr="008D4205" w:rsidTr="000173BF">
        <w:trPr>
          <w:trHeight w:val="255"/>
        </w:trPr>
        <w:tc>
          <w:tcPr>
            <w:tcW w:w="165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cis-1,2-dichlooretheen</w:t>
            </w:r>
          </w:p>
        </w:tc>
        <w:tc>
          <w:tcPr>
            <w:tcW w:w="779" w:type="dxa"/>
            <w:tcBorders>
              <w:top w:val="single" w:sz="8" w:space="0" w:color="auto"/>
              <w:left w:val="nil"/>
              <w:bottom w:val="single" w:sz="8" w:space="0" w:color="auto"/>
              <w:right w:val="single" w:sz="4" w:space="0" w:color="auto"/>
            </w:tcBorders>
            <w:vAlign w:val="bottom"/>
          </w:tcPr>
          <w:p w:rsidR="000173BF" w:rsidRPr="009C1B60" w:rsidRDefault="000173BF">
            <w:pPr>
              <w:rPr>
                <w:rFonts w:cs="Calibri"/>
                <w:sz w:val="16"/>
                <w:szCs w:val="16"/>
              </w:rPr>
            </w:pPr>
            <w:r w:rsidRPr="009C1B60">
              <w:rPr>
                <w:rFonts w:cs="Calibri"/>
                <w:sz w:val="16"/>
                <w:szCs w:val="16"/>
              </w:rPr>
              <w:t>µg/l</w:t>
            </w:r>
          </w:p>
        </w:tc>
        <w:tc>
          <w:tcPr>
            <w:tcW w:w="63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20</w:t>
            </w:r>
          </w:p>
        </w:tc>
        <w:tc>
          <w:tcPr>
            <w:tcW w:w="605" w:type="dxa"/>
            <w:tcBorders>
              <w:top w:val="single" w:sz="8" w:space="0" w:color="auto"/>
              <w:left w:val="single" w:sz="4" w:space="0" w:color="auto"/>
              <w:bottom w:val="single" w:sz="8"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10</w:t>
            </w:r>
          </w:p>
        </w:tc>
        <w:tc>
          <w:tcPr>
            <w:tcW w:w="755" w:type="dxa"/>
            <w:tcBorders>
              <w:top w:val="single" w:sz="8"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1,26E-02</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6,31E-03</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8"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1,53E-02</w:t>
            </w:r>
          </w:p>
        </w:tc>
        <w:tc>
          <w:tcPr>
            <w:tcW w:w="9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r>
      <w:tr w:rsidR="000173BF" w:rsidRPr="008D4205" w:rsidTr="000173BF">
        <w:trPr>
          <w:trHeight w:val="255"/>
        </w:trPr>
        <w:tc>
          <w:tcPr>
            <w:tcW w:w="165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trichloorethyleen</w:t>
            </w:r>
          </w:p>
        </w:tc>
        <w:tc>
          <w:tcPr>
            <w:tcW w:w="779" w:type="dxa"/>
            <w:tcBorders>
              <w:top w:val="single" w:sz="8" w:space="0" w:color="auto"/>
              <w:left w:val="nil"/>
              <w:bottom w:val="single" w:sz="8" w:space="0" w:color="auto"/>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20</w:t>
            </w:r>
          </w:p>
        </w:tc>
        <w:tc>
          <w:tcPr>
            <w:tcW w:w="605" w:type="dxa"/>
            <w:tcBorders>
              <w:top w:val="single" w:sz="8" w:space="0" w:color="auto"/>
              <w:left w:val="single" w:sz="4" w:space="0" w:color="auto"/>
              <w:bottom w:val="single" w:sz="8" w:space="0" w:color="auto"/>
              <w:right w:val="nil"/>
            </w:tcBorders>
            <w:shd w:val="clear" w:color="auto" w:fill="auto"/>
            <w:noWrap/>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10</w:t>
            </w:r>
          </w:p>
        </w:tc>
        <w:tc>
          <w:tcPr>
            <w:tcW w:w="755" w:type="dxa"/>
            <w:tcBorders>
              <w:top w:val="single" w:sz="8"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1,26E-02</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6,31E-03</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8"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1,53E-02</w:t>
            </w:r>
          </w:p>
        </w:tc>
        <w:tc>
          <w:tcPr>
            <w:tcW w:w="9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r>
      <w:tr w:rsidR="000173BF" w:rsidRPr="008D4205" w:rsidTr="000173BF">
        <w:trPr>
          <w:trHeight w:val="255"/>
        </w:trPr>
        <w:tc>
          <w:tcPr>
            <w:tcW w:w="165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tetrachloorethyleen</w:t>
            </w:r>
          </w:p>
        </w:tc>
        <w:tc>
          <w:tcPr>
            <w:tcW w:w="779" w:type="dxa"/>
            <w:tcBorders>
              <w:top w:val="single" w:sz="8" w:space="0" w:color="auto"/>
              <w:left w:val="nil"/>
              <w:bottom w:val="single" w:sz="8" w:space="0" w:color="auto"/>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20</w:t>
            </w:r>
          </w:p>
        </w:tc>
        <w:tc>
          <w:tcPr>
            <w:tcW w:w="605" w:type="dxa"/>
            <w:tcBorders>
              <w:top w:val="single" w:sz="8" w:space="0" w:color="auto"/>
              <w:left w:val="single" w:sz="4" w:space="0" w:color="auto"/>
              <w:bottom w:val="single" w:sz="8" w:space="0" w:color="auto"/>
              <w:right w:val="nil"/>
            </w:tcBorders>
            <w:shd w:val="clear" w:color="auto" w:fill="auto"/>
            <w:noWrap/>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10</w:t>
            </w:r>
          </w:p>
        </w:tc>
        <w:tc>
          <w:tcPr>
            <w:tcW w:w="755" w:type="dxa"/>
            <w:tcBorders>
              <w:top w:val="single" w:sz="8"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B-MKN</w:t>
            </w: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1,26E-02</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6,31E-03</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c>
          <w:tcPr>
            <w:tcW w:w="908" w:type="dxa"/>
            <w:tcBorders>
              <w:top w:val="single" w:sz="8"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1,53E-02</w:t>
            </w:r>
          </w:p>
        </w:tc>
        <w:tc>
          <w:tcPr>
            <w:tcW w:w="9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&lt; 0,5  %</w:t>
            </w:r>
          </w:p>
        </w:tc>
      </w:tr>
      <w:tr w:rsidR="000173BF" w:rsidRPr="008D4205" w:rsidTr="000173BF">
        <w:trPr>
          <w:trHeight w:val="255"/>
        </w:trPr>
        <w:tc>
          <w:tcPr>
            <w:tcW w:w="165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trichloorethaan</w:t>
            </w:r>
          </w:p>
        </w:tc>
        <w:tc>
          <w:tcPr>
            <w:tcW w:w="779" w:type="dxa"/>
            <w:tcBorders>
              <w:top w:val="single" w:sz="8" w:space="0" w:color="auto"/>
              <w:left w:val="nil"/>
              <w:bottom w:val="single" w:sz="8" w:space="0" w:color="auto"/>
              <w:right w:val="single" w:sz="4" w:space="0" w:color="auto"/>
            </w:tcBorders>
          </w:tcPr>
          <w:p w:rsidR="000173BF" w:rsidRPr="009C1B60" w:rsidRDefault="000173BF">
            <w:pPr>
              <w:rPr>
                <w:rFonts w:cs="Calibri"/>
                <w:sz w:val="16"/>
                <w:szCs w:val="16"/>
              </w:rPr>
            </w:pPr>
            <w:r w:rsidRPr="009C1B60">
              <w:rPr>
                <w:rFonts w:cs="Calibri"/>
                <w:sz w:val="16"/>
                <w:szCs w:val="16"/>
              </w:rPr>
              <w:t>µg/l</w:t>
            </w:r>
          </w:p>
        </w:tc>
        <w:tc>
          <w:tcPr>
            <w:tcW w:w="63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50</w:t>
            </w:r>
          </w:p>
        </w:tc>
        <w:tc>
          <w:tcPr>
            <w:tcW w:w="605" w:type="dxa"/>
            <w:tcBorders>
              <w:top w:val="single" w:sz="8" w:space="0" w:color="auto"/>
              <w:left w:val="single" w:sz="4" w:space="0" w:color="auto"/>
              <w:bottom w:val="single" w:sz="8" w:space="0" w:color="auto"/>
              <w:right w:val="nil"/>
            </w:tcBorders>
            <w:shd w:val="clear" w:color="auto" w:fill="auto"/>
            <w:noWrap/>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755" w:type="dxa"/>
            <w:tcBorders>
              <w:top w:val="single" w:sz="8"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3,16E-02</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1,58E-02</w:t>
            </w:r>
          </w:p>
        </w:tc>
        <w:tc>
          <w:tcPr>
            <w:tcW w:w="908" w:type="dxa"/>
            <w:tcBorders>
              <w:top w:val="single" w:sz="8" w:space="0" w:color="auto"/>
              <w:left w:val="nil"/>
              <w:bottom w:val="single" w:sz="8"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908" w:type="dxa"/>
            <w:tcBorders>
              <w:top w:val="single" w:sz="8" w:space="0" w:color="auto"/>
              <w:left w:val="nil"/>
              <w:bottom w:val="single" w:sz="8"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3,82E-02</w:t>
            </w:r>
          </w:p>
        </w:tc>
        <w:tc>
          <w:tcPr>
            <w:tcW w:w="9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r>
      <w:tr w:rsidR="000173BF" w:rsidRPr="008D4205" w:rsidTr="000173BF">
        <w:trPr>
          <w:trHeight w:val="255"/>
        </w:trPr>
        <w:tc>
          <w:tcPr>
            <w:tcW w:w="10488" w:type="dxa"/>
            <w:gridSpan w:val="12"/>
            <w:tcBorders>
              <w:top w:val="single" w:sz="8" w:space="0" w:color="auto"/>
              <w:left w:val="single" w:sz="4" w:space="0" w:color="auto"/>
              <w:bottom w:val="single" w:sz="8" w:space="0" w:color="auto"/>
              <w:right w:val="single" w:sz="4" w:space="0" w:color="auto"/>
            </w:tcBorders>
            <w:shd w:val="clear" w:color="auto" w:fill="BFBFBF" w:themeFill="background1" w:themeFillShade="BF"/>
            <w:noWrap/>
            <w:vAlign w:val="bottom"/>
            <w:hideMark/>
          </w:tcPr>
          <w:p w:rsidR="000173BF" w:rsidRPr="009C1B60" w:rsidRDefault="000173BF" w:rsidP="000173BF">
            <w:pPr>
              <w:jc w:val="left"/>
              <w:rPr>
                <w:rFonts w:cs="Calibri"/>
                <w:sz w:val="16"/>
                <w:szCs w:val="16"/>
              </w:rPr>
            </w:pPr>
            <w:r w:rsidRPr="009C1B60">
              <w:rPr>
                <w:rFonts w:cs="Calibri"/>
                <w:sz w:val="16"/>
                <w:szCs w:val="16"/>
              </w:rPr>
              <w:t>Varia</w:t>
            </w:r>
          </w:p>
        </w:tc>
      </w:tr>
      <w:tr w:rsidR="000173BF" w:rsidRPr="008D4205" w:rsidTr="000173BF">
        <w:trPr>
          <w:trHeight w:val="255"/>
        </w:trPr>
        <w:tc>
          <w:tcPr>
            <w:tcW w:w="165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detergenten</w:t>
            </w:r>
          </w:p>
        </w:tc>
        <w:tc>
          <w:tcPr>
            <w:tcW w:w="779" w:type="dxa"/>
            <w:tcBorders>
              <w:top w:val="single" w:sz="8" w:space="0" w:color="auto"/>
              <w:left w:val="nil"/>
              <w:bottom w:val="single" w:sz="4" w:space="0" w:color="auto"/>
              <w:right w:val="single" w:sz="4" w:space="0" w:color="auto"/>
            </w:tcBorders>
          </w:tcPr>
          <w:p w:rsidR="000173BF" w:rsidRPr="009C1B60" w:rsidRDefault="000173BF">
            <w:pPr>
              <w:rPr>
                <w:rFonts w:cs="Calibri"/>
                <w:sz w:val="16"/>
                <w:szCs w:val="16"/>
              </w:rPr>
            </w:pPr>
            <w:r w:rsidRPr="009C1B60">
              <w:rPr>
                <w:rFonts w:cs="Calibri"/>
                <w:sz w:val="16"/>
                <w:szCs w:val="16"/>
              </w:rPr>
              <w:t>mg/l</w:t>
            </w:r>
          </w:p>
        </w:tc>
        <w:tc>
          <w:tcPr>
            <w:tcW w:w="63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3</w:t>
            </w:r>
          </w:p>
        </w:tc>
        <w:tc>
          <w:tcPr>
            <w:tcW w:w="605" w:type="dxa"/>
            <w:tcBorders>
              <w:top w:val="single" w:sz="8" w:space="0" w:color="auto"/>
              <w:left w:val="single" w:sz="4" w:space="0" w:color="auto"/>
              <w:bottom w:val="single" w:sz="4" w:space="0" w:color="auto"/>
              <w:right w:val="nil"/>
            </w:tcBorders>
            <w:shd w:val="clear" w:color="auto" w:fill="auto"/>
            <w:noWrap/>
            <w:vAlign w:val="bottom"/>
            <w:hideMark/>
          </w:tcPr>
          <w:p w:rsidR="000173BF" w:rsidRPr="009C1B60" w:rsidRDefault="000173BF">
            <w:pPr>
              <w:rPr>
                <w:rFonts w:cs="Calibri"/>
                <w:sz w:val="16"/>
                <w:szCs w:val="16"/>
              </w:rPr>
            </w:pPr>
            <w:r w:rsidRPr="009C1B60">
              <w:rPr>
                <w:rFonts w:cs="Calibri"/>
                <w:sz w:val="16"/>
                <w:szCs w:val="16"/>
              </w:rPr>
              <w:t>BV</w:t>
            </w:r>
          </w:p>
        </w:tc>
        <w:tc>
          <w:tcPr>
            <w:tcW w:w="6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755" w:type="dxa"/>
            <w:tcBorders>
              <w:top w:val="single" w:sz="8" w:space="0" w:color="auto"/>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9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1,89E-03</w:t>
            </w:r>
          </w:p>
        </w:tc>
        <w:tc>
          <w:tcPr>
            <w:tcW w:w="908" w:type="dxa"/>
            <w:tcBorders>
              <w:top w:val="single" w:sz="8" w:space="0" w:color="auto"/>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908" w:type="dxa"/>
            <w:tcBorders>
              <w:top w:val="single" w:sz="8" w:space="0" w:color="auto"/>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9,47E-04</w:t>
            </w:r>
          </w:p>
        </w:tc>
        <w:tc>
          <w:tcPr>
            <w:tcW w:w="908" w:type="dxa"/>
            <w:tcBorders>
              <w:top w:val="single" w:sz="8" w:space="0" w:color="auto"/>
              <w:left w:val="nil"/>
              <w:bottom w:val="single" w:sz="4" w:space="0" w:color="auto"/>
              <w:right w:val="single" w:sz="8"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c>
          <w:tcPr>
            <w:tcW w:w="908" w:type="dxa"/>
            <w:tcBorders>
              <w:top w:val="single" w:sz="8" w:space="0" w:color="auto"/>
              <w:left w:val="nil"/>
              <w:bottom w:val="single" w:sz="4" w:space="0" w:color="auto"/>
              <w:right w:val="nil"/>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2,29E-03</w:t>
            </w:r>
          </w:p>
        </w:tc>
        <w:tc>
          <w:tcPr>
            <w:tcW w:w="9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173BF" w:rsidRPr="009C1B60" w:rsidRDefault="000173BF">
            <w:pPr>
              <w:jc w:val="center"/>
              <w:rPr>
                <w:rFonts w:cs="Calibri"/>
                <w:sz w:val="16"/>
                <w:szCs w:val="16"/>
              </w:rPr>
            </w:pPr>
            <w:r w:rsidRPr="009C1B60">
              <w:rPr>
                <w:rFonts w:cs="Calibri"/>
                <w:sz w:val="16"/>
                <w:szCs w:val="16"/>
              </w:rPr>
              <w:t>-</w:t>
            </w:r>
          </w:p>
        </w:tc>
      </w:tr>
    </w:tbl>
    <w:p w:rsidR="00DD1863" w:rsidRDefault="00ED2193">
      <w:pPr>
        <w:pStyle w:val="Heading4"/>
      </w:pPr>
      <w:bookmarkStart w:id="801" w:name="_Toc312069268"/>
      <w:r>
        <w:lastRenderedPageBreak/>
        <w:t>Lozen van huishoudelijk afvalwater</w:t>
      </w:r>
      <w:bookmarkEnd w:id="801"/>
    </w:p>
    <w:p w:rsidR="00617415" w:rsidRDefault="00ED2193">
      <w:pPr>
        <w:keepNext/>
        <w:rPr>
          <w:lang w:val="nl-NL"/>
        </w:rPr>
      </w:pPr>
      <w:r>
        <w:rPr>
          <w:lang w:val="nl-NL"/>
        </w:rPr>
        <w:t>De geplande wijzigingen hebben geen impact op</w:t>
      </w:r>
      <w:r w:rsidR="00B74DCA">
        <w:rPr>
          <w:lang w:val="nl-NL"/>
        </w:rPr>
        <w:t xml:space="preserve"> </w:t>
      </w:r>
      <w:r>
        <w:rPr>
          <w:lang w:val="nl-NL"/>
        </w:rPr>
        <w:t>het geloosde huishoudelijk afvalwater.</w:t>
      </w:r>
      <w:r w:rsidR="00B74DCA">
        <w:rPr>
          <w:lang w:val="nl-NL"/>
        </w:rPr>
        <w:t xml:space="preserve"> </w:t>
      </w:r>
    </w:p>
    <w:p w:rsidR="00617415" w:rsidRDefault="00B74DCA">
      <w:pPr>
        <w:keepNext/>
        <w:rPr>
          <w:lang w:val="nl-NL"/>
        </w:rPr>
      </w:pPr>
      <w:r>
        <w:rPr>
          <w:lang w:val="nl-NL"/>
        </w:rPr>
        <w:t xml:space="preserve">Wel is het zo dat in de huidige situatie het afvalwater van de sanitaire installaties via een septische put wordt geloosd in het Industriedok. Deze situatie is niet in overeenstemming is met de wettelijke voorwaarden van Vlarem II. Door </w:t>
      </w:r>
      <w:r w:rsidR="00C325A0">
        <w:rPr>
          <w:lang w:val="nl-NL"/>
        </w:rPr>
        <w:fldChar w:fldCharType="begin"/>
      </w:r>
      <w:r>
        <w:rPr>
          <w:lang w:val="nl-NL"/>
        </w:rPr>
        <w:instrText xml:space="preserve"> klant </w:instrText>
      </w:r>
      <w:r w:rsidR="00C325A0">
        <w:rPr>
          <w:lang w:val="nl-NL"/>
        </w:rPr>
        <w:fldChar w:fldCharType="separate"/>
      </w:r>
      <w:r w:rsidR="008102D8">
        <w:t xml:space="preserve">Vopak Terminal Eurotank NV </w:t>
      </w:r>
      <w:r w:rsidR="00C325A0">
        <w:rPr>
          <w:lang w:val="nl-NL"/>
        </w:rPr>
        <w:fldChar w:fldCharType="end"/>
      </w:r>
      <w:r>
        <w:rPr>
          <w:lang w:val="nl-NL"/>
        </w:rPr>
        <w:t xml:space="preserve"> is dan ook voorzien om een individuele behandelingsinstallatie te plaatsen</w:t>
      </w:r>
      <w:r w:rsidR="003E50C4">
        <w:rPr>
          <w:lang w:val="nl-NL"/>
        </w:rPr>
        <w:t xml:space="preserve"> of </w:t>
      </w:r>
      <w:r w:rsidR="00481C21">
        <w:rPr>
          <w:lang w:val="nl-NL"/>
        </w:rPr>
        <w:t xml:space="preserve">het </w:t>
      </w:r>
      <w:r w:rsidR="003E50C4">
        <w:rPr>
          <w:lang w:val="nl-NL"/>
        </w:rPr>
        <w:t>sanitair afvalwater aan te sluiten op de bestaande waterzuivering</w:t>
      </w:r>
      <w:r>
        <w:rPr>
          <w:lang w:val="nl-NL"/>
        </w:rPr>
        <w:t>. Eenmaal deze geplaatst is en er van uitgaande dat deze correct functioneert, kan gesteld worden dat de lozing van het huishoudelijk afvalwater geen relevante invloed zal hebben op de kwaliteit van het Industriedok en bijgevolg ook niet op deze van de havendokken in het algemeen.</w:t>
      </w:r>
    </w:p>
    <w:p w:rsidR="00DC08C1" w:rsidRDefault="00DC08C1" w:rsidP="004F40A7">
      <w:pPr>
        <w:pStyle w:val="Heading4"/>
      </w:pPr>
      <w:bookmarkStart w:id="802" w:name="_Toc312069269"/>
      <w:r>
        <w:t>Captatie van oppervlaktewater</w:t>
      </w:r>
      <w:bookmarkEnd w:id="802"/>
    </w:p>
    <w:p w:rsidR="00DC08C1" w:rsidRPr="00B412B3" w:rsidRDefault="00DC08C1" w:rsidP="00AF3F9E">
      <w:pPr>
        <w:rPr>
          <w:lang w:val="nl-NL"/>
        </w:rPr>
      </w:pPr>
      <w:r>
        <w:rPr>
          <w:lang w:val="nl-NL"/>
        </w:rPr>
        <w:t>In de toekomst zullen de gecapteerde hoeveelheden oppervlaktewater niet wijzigen, m.a.w. ook voor de geplande situatie geldt dat de capatatie van oppervlaktewater geen invloed heeft op het waterniveau in de dokken.</w:t>
      </w:r>
    </w:p>
    <w:p w:rsidR="00903775" w:rsidRDefault="00903775" w:rsidP="004F40A7">
      <w:pPr>
        <w:pStyle w:val="Heading3"/>
      </w:pPr>
      <w:bookmarkStart w:id="803" w:name="_Toc312069270"/>
      <w:r>
        <w:t>Incidenten / calamiteiten</w:t>
      </w:r>
      <w:bookmarkEnd w:id="803"/>
    </w:p>
    <w:p w:rsidR="00903775" w:rsidRDefault="00903775" w:rsidP="00AF3F9E">
      <w:r w:rsidRPr="00903775">
        <w:t>Uit tabel </w:t>
      </w:r>
      <w:r w:rsidR="00C325A0">
        <w:fldChar w:fldCharType="begin"/>
      </w:r>
      <w:r>
        <w:instrText xml:space="preserve"> REF t_overzicht_gev_stoffen \h </w:instrText>
      </w:r>
      <w:r w:rsidR="00C325A0">
        <w:fldChar w:fldCharType="separate"/>
      </w:r>
      <w:r w:rsidR="008102D8">
        <w:t>IV.</w:t>
      </w:r>
      <w:r w:rsidR="008102D8">
        <w:rPr>
          <w:noProof/>
        </w:rPr>
        <w:t>1</w:t>
      </w:r>
      <w:r w:rsidR="00C325A0">
        <w:fldChar w:fldCharType="end"/>
      </w:r>
      <w:r>
        <w:t xml:space="preserve"> (overzicht van de re</w:t>
      </w:r>
      <w:r>
        <w:softHyphen/>
        <w:t xml:space="preserve">presentatieve producten) volgt dat er voor het aquatisch milieu zeer giftige stoffen in opslag zijn bij VTE. </w:t>
      </w:r>
    </w:p>
    <w:p w:rsidR="00903775" w:rsidRDefault="00903775" w:rsidP="00AF3F9E">
      <w:r>
        <w:t>Daar deze stoffen onder het toepassingsgebied van de SEVESO-richtlijn vallen, is de evaluatie van de vrijzetting van deze stoffen bij incidenten of calamiteiten gevat door de milieurisico-evaluatie die wordt uitgevoerd in het kader van de opmaak van een omgevingsveiligheidsrapport</w:t>
      </w:r>
      <w:r>
        <w:rPr>
          <w:rStyle w:val="FootnoteReference"/>
          <w:lang w:val="nl-NL"/>
        </w:rPr>
        <w:footnoteReference w:id="51"/>
      </w:r>
      <w:r>
        <w:t>.</w:t>
      </w:r>
    </w:p>
    <w:p w:rsidR="00DC08C1" w:rsidRDefault="00903775" w:rsidP="00AF3F9E">
      <w:pPr>
        <w:rPr>
          <w:lang w:val="nl-NL"/>
        </w:rPr>
      </w:pPr>
      <w:r>
        <w:rPr>
          <w:lang w:val="nl-NL"/>
        </w:rPr>
        <w:t>Hoe dan ook mag gesteld worden dat de bevindingen van het OVR afdoende waarborgen zullen bieden m.b.t. het aspect milieurisico’s.</w:t>
      </w:r>
    </w:p>
    <w:p w:rsidR="001B30C5" w:rsidRDefault="001B30C5" w:rsidP="00AF3F9E">
      <w:pPr>
        <w:rPr>
          <w:lang w:val="nl-NL"/>
        </w:rPr>
      </w:pPr>
      <w:r>
        <w:rPr>
          <w:lang w:val="nl-NL"/>
        </w:rPr>
        <w:t xml:space="preserve">De besluiten van het OVR </w:t>
      </w:r>
      <w:r w:rsidR="00B1573D">
        <w:rPr>
          <w:lang w:val="nl-NL"/>
        </w:rPr>
        <w:t>met goedkeuringscode OVR/11/23</w:t>
      </w:r>
      <w:r>
        <w:rPr>
          <w:lang w:val="nl-NL"/>
        </w:rPr>
        <w:t xml:space="preserve"> worden </w:t>
      </w:r>
      <w:r w:rsidR="00C76A99">
        <w:rPr>
          <w:lang w:val="nl-NL"/>
        </w:rPr>
        <w:t xml:space="preserve">ook besproken in § </w:t>
      </w:r>
      <w:r w:rsidR="00C325A0">
        <w:rPr>
          <w:lang w:val="nl-NL"/>
        </w:rPr>
        <w:fldChar w:fldCharType="begin"/>
      </w:r>
      <w:r w:rsidR="00C76A99">
        <w:rPr>
          <w:lang w:val="nl-NL"/>
        </w:rPr>
        <w:instrText xml:space="preserve"> REF _Ref311215456 \w \h </w:instrText>
      </w:r>
      <w:r w:rsidR="00C325A0">
        <w:rPr>
          <w:lang w:val="nl-NL"/>
        </w:rPr>
      </w:r>
      <w:r w:rsidR="00C325A0">
        <w:rPr>
          <w:lang w:val="nl-NL"/>
        </w:rPr>
        <w:fldChar w:fldCharType="separate"/>
      </w:r>
      <w:r w:rsidR="008102D8">
        <w:rPr>
          <w:lang w:val="nl-NL"/>
        </w:rPr>
        <w:t>VIII3.1.4</w:t>
      </w:r>
      <w:r w:rsidR="00C325A0">
        <w:rPr>
          <w:lang w:val="nl-NL"/>
        </w:rPr>
        <w:fldChar w:fldCharType="end"/>
      </w:r>
      <w:r w:rsidR="00C76A99">
        <w:rPr>
          <w:lang w:val="nl-NL"/>
        </w:rPr>
        <w:t>.</w:t>
      </w:r>
      <w:r>
        <w:rPr>
          <w:lang w:val="nl-NL"/>
        </w:rPr>
        <w:t xml:space="preserve"> </w:t>
      </w:r>
    </w:p>
    <w:p w:rsidR="00F805AB" w:rsidRDefault="00F805AB">
      <w:pPr>
        <w:rPr>
          <w:rFonts w:asciiTheme="minorHAnsi" w:hAnsiTheme="minorHAnsi" w:cstheme="minorHAnsi"/>
          <w:i/>
        </w:rPr>
      </w:pPr>
      <w:bookmarkStart w:id="804" w:name="_Ref224707397"/>
    </w:p>
    <w:p w:rsidR="0090667C" w:rsidRDefault="0090667C">
      <w:pPr>
        <w:keepLines w:val="0"/>
        <w:spacing w:before="0" w:after="0" w:line="240" w:lineRule="auto"/>
        <w:jc w:val="left"/>
        <w:rPr>
          <w:b/>
          <w:smallCaps/>
          <w:spacing w:val="20"/>
          <w:sz w:val="24"/>
          <w:lang w:val="nl-NL"/>
        </w:rPr>
      </w:pPr>
      <w:r>
        <w:br w:type="page"/>
      </w:r>
    </w:p>
    <w:p w:rsidR="004560FE" w:rsidRDefault="004560FE" w:rsidP="004F40A7">
      <w:pPr>
        <w:pStyle w:val="Heading2"/>
      </w:pPr>
      <w:bookmarkStart w:id="805" w:name="_Toc312069271"/>
      <w:r>
        <w:lastRenderedPageBreak/>
        <w:t>Lucht</w:t>
      </w:r>
      <w:bookmarkEnd w:id="804"/>
      <w:bookmarkEnd w:id="805"/>
    </w:p>
    <w:p w:rsidR="005B5D40" w:rsidRDefault="005B5D40" w:rsidP="005B5D40">
      <w:pPr>
        <w:pStyle w:val="Heading3"/>
        <w:jc w:val="left"/>
        <w:rPr>
          <w:rFonts w:cs="Arial"/>
        </w:rPr>
      </w:pPr>
      <w:bookmarkStart w:id="806" w:name="_Toc312069272"/>
      <w:r w:rsidRPr="00314B0E">
        <w:t>Beknopte beschrijving van methodiek</w:t>
      </w:r>
      <w:bookmarkEnd w:id="806"/>
      <w:r w:rsidRPr="00314B0E">
        <w:t xml:space="preserve">  </w:t>
      </w:r>
    </w:p>
    <w:p w:rsidR="005B5D40" w:rsidRDefault="005B5D40" w:rsidP="006E7FF9">
      <w:r>
        <w:t xml:space="preserve">Bij de behandeling van het aspect lucht wordt in eerste instantie de referentiesituatie beschreven. </w:t>
      </w:r>
    </w:p>
    <w:p w:rsidR="005B5D40" w:rsidRDefault="005B5D40" w:rsidP="006E7FF9">
      <w:r>
        <w:t>Aansluitend wordt de te verwachten evolutie behandeld na realisatie van het project. Dit wordt gevolgd door een beschrijving van mogelijke effecten op de luchtkwaliteit, en, indien noodzakelijk geacht, een bespreking van mogelijke remediërende acties.</w:t>
      </w:r>
    </w:p>
    <w:p w:rsidR="005B5D40" w:rsidRPr="00523A65" w:rsidRDefault="005B5D40" w:rsidP="006E7FF9">
      <w:r w:rsidRPr="00523A65">
        <w:t>Er wordt een inventaris opgemaakt van de huidige luchtkwaliteit van de beschouwde regio en van de waargenomen trends. Hierbij wordt gebruik gemaakt van de meetgegevens van de vaste meetstations van VMM, van eventueel beschikbare specifieke studies en/of emissiegegevens van relevante bronnen in de omgeving van de inplantingsplaats.</w:t>
      </w:r>
    </w:p>
    <w:p w:rsidR="005B5D40" w:rsidRDefault="005B5D40" w:rsidP="006E7FF9">
      <w:pPr>
        <w:rPr>
          <w:rFonts w:cs="Arial"/>
        </w:rPr>
      </w:pPr>
      <w:r w:rsidRPr="00523A65">
        <w:rPr>
          <w:rFonts w:cs="Arial"/>
        </w:rPr>
        <w:t xml:space="preserve">De huidige luchtkwaliteit wordt getoetst t.o.v. beschikbare kwaliteitsdoelstellingen. In een volgende fase worden de huidige emissies van het bedrijf begroot. Alle huidige relevante bronnen worden geïnventariseerd. </w:t>
      </w:r>
    </w:p>
    <w:p w:rsidR="005B5D40" w:rsidRDefault="005B5D40" w:rsidP="006E7FF9">
      <w:r w:rsidRPr="00523A65">
        <w:t>Voor de bepaling van de impact op de huidige luchtkwaliteit wordt rekening gehouden met emissiegegevens</w:t>
      </w:r>
      <w:r>
        <w:t xml:space="preserve"> welke door de exploitant  ter beschikking gesteld </w:t>
      </w:r>
      <w:r w:rsidRPr="00523A65">
        <w:t>worden. Deze gegevens kunnen zowel bestaan uit effectieve meetgegevens, massabalansen en/of berekende emissies a.d.h.v. emissie-factoren.</w:t>
      </w:r>
      <w:r>
        <w:t xml:space="preserve"> </w:t>
      </w:r>
    </w:p>
    <w:p w:rsidR="005B5D40" w:rsidRPr="00523A65" w:rsidRDefault="005B5D40" w:rsidP="005B5D40">
      <w:r>
        <w:t xml:space="preserve">De </w:t>
      </w:r>
      <w:r w:rsidRPr="00523A65">
        <w:t>belangrijke emissiegegevens zijn</w:t>
      </w:r>
      <w:r>
        <w:t xml:space="preserve"> emissiegegevens inzake VOS</w:t>
      </w:r>
      <w:r w:rsidRPr="00523A65">
        <w:t>:</w:t>
      </w:r>
    </w:p>
    <w:p w:rsidR="005B5D40" w:rsidRPr="00523A65" w:rsidRDefault="005B5D40" w:rsidP="005B5D40">
      <w:pPr>
        <w:keepLines w:val="0"/>
        <w:numPr>
          <w:ilvl w:val="0"/>
          <w:numId w:val="98"/>
        </w:numPr>
        <w:tabs>
          <w:tab w:val="left" w:pos="360"/>
        </w:tabs>
        <w:spacing w:before="0" w:after="0" w:line="240" w:lineRule="auto"/>
        <w:ind w:left="360"/>
        <w:rPr>
          <w:rFonts w:cs="Arial"/>
        </w:rPr>
      </w:pPr>
      <w:r w:rsidRPr="00523A65">
        <w:rPr>
          <w:rFonts w:cs="Arial"/>
        </w:rPr>
        <w:t>beladingsverliezen;</w:t>
      </w:r>
    </w:p>
    <w:p w:rsidR="005B5D40" w:rsidRPr="00523A65" w:rsidRDefault="005B5D40" w:rsidP="005B5D40">
      <w:pPr>
        <w:keepLines w:val="0"/>
        <w:numPr>
          <w:ilvl w:val="0"/>
          <w:numId w:val="98"/>
        </w:numPr>
        <w:tabs>
          <w:tab w:val="left" w:pos="360"/>
        </w:tabs>
        <w:spacing w:before="0" w:after="0" w:line="240" w:lineRule="auto"/>
        <w:ind w:left="360"/>
        <w:rPr>
          <w:rFonts w:cs="Arial"/>
        </w:rPr>
      </w:pPr>
      <w:r w:rsidRPr="00523A65">
        <w:rPr>
          <w:rFonts w:cs="Arial"/>
        </w:rPr>
        <w:t>verpompingsverliezen;</w:t>
      </w:r>
    </w:p>
    <w:p w:rsidR="005B5D40" w:rsidRPr="00523A65" w:rsidRDefault="005B5D40" w:rsidP="005B5D40">
      <w:pPr>
        <w:keepLines w:val="0"/>
        <w:numPr>
          <w:ilvl w:val="0"/>
          <w:numId w:val="98"/>
        </w:numPr>
        <w:tabs>
          <w:tab w:val="left" w:pos="360"/>
        </w:tabs>
        <w:spacing w:before="0" w:after="0" w:line="240" w:lineRule="auto"/>
        <w:ind w:left="360"/>
        <w:rPr>
          <w:rFonts w:cs="Arial"/>
        </w:rPr>
      </w:pPr>
      <w:r w:rsidRPr="00523A65">
        <w:rPr>
          <w:rFonts w:cs="Arial"/>
        </w:rPr>
        <w:t>ademhalingsverliezen.</w:t>
      </w:r>
    </w:p>
    <w:p w:rsidR="005B5D40" w:rsidRPr="00523A65" w:rsidRDefault="005B5D40" w:rsidP="005B5D40">
      <w:pPr>
        <w:numPr>
          <w:ilvl w:val="12"/>
          <w:numId w:val="0"/>
        </w:numPr>
        <w:spacing w:before="0" w:after="0"/>
        <w:rPr>
          <w:rFonts w:cs="Arial"/>
        </w:rPr>
      </w:pPr>
    </w:p>
    <w:p w:rsidR="005B5D40" w:rsidRDefault="005B5D40" w:rsidP="006E7FF9">
      <w:r>
        <w:t xml:space="preserve">De emissies werden berekend conform de TNO-methodiek op basis van emissiekengetallen. Ten aanzien van de berekeningswijze dient vermeld te worden dat de bekomen emissies enkel als grootte orde mogen beschouwd worden. </w:t>
      </w:r>
    </w:p>
    <w:p w:rsidR="005B5D40" w:rsidRDefault="005B5D40" w:rsidP="006E7FF9">
      <w:r>
        <w:t>Bijkomend kunnen ook de potentiële lekverliezen als mogelijks relevant aanzien worden. Deze potentiële verliezen worden berekend m.b.v. emissiefactoren en de inventaris van het aantal potentiële bronnen. Dit betreft dus louter een theoretische berekening waarvan in de praktijk vaak blijkt dat hierbij een aanzienlijke overschatting optreedt.</w:t>
      </w:r>
    </w:p>
    <w:p w:rsidR="005B5D40" w:rsidRDefault="005B5D40" w:rsidP="006E7FF9">
      <w:r>
        <w:t>Teneinde de impact van deze emissies te evalueren worden dispersieberekeningen uitgevoerd om de verspreiding van de belangrijkste emissies in de omgeving in te schatten.</w:t>
      </w:r>
    </w:p>
    <w:p w:rsidR="005B5D40" w:rsidRDefault="005B5D40" w:rsidP="006E7FF9">
      <w:r>
        <w:t>Naast een evaluatie van de emissies in een realistisch scenario  worden tevens een aantal bijkomende scenario’s berekend. Dit betreft de scenario’s:</w:t>
      </w:r>
    </w:p>
    <w:p w:rsidR="005B5D40" w:rsidRDefault="005B5D40" w:rsidP="005B5D40">
      <w:pPr>
        <w:keepLines w:val="0"/>
        <w:numPr>
          <w:ilvl w:val="0"/>
          <w:numId w:val="99"/>
        </w:numPr>
        <w:spacing w:before="0" w:after="0" w:line="240" w:lineRule="auto"/>
        <w:rPr>
          <w:rFonts w:cs="Arial"/>
        </w:rPr>
      </w:pPr>
      <w:r>
        <w:rPr>
          <w:rFonts w:cs="Arial"/>
        </w:rPr>
        <w:t>Maximale VOS emissie</w:t>
      </w:r>
    </w:p>
    <w:p w:rsidR="005B5D40" w:rsidRDefault="005B5D40" w:rsidP="005B5D40">
      <w:pPr>
        <w:keepLines w:val="0"/>
        <w:numPr>
          <w:ilvl w:val="0"/>
          <w:numId w:val="99"/>
        </w:numPr>
        <w:spacing w:before="0" w:after="0" w:line="240" w:lineRule="auto"/>
        <w:rPr>
          <w:rFonts w:cs="Arial"/>
        </w:rPr>
      </w:pPr>
      <w:r>
        <w:rPr>
          <w:rFonts w:cs="Arial"/>
        </w:rPr>
        <w:t>Maximale emissie aan toxische, carcinogene, mutagene…. stoffen</w:t>
      </w:r>
    </w:p>
    <w:p w:rsidR="005B5D40" w:rsidRDefault="005B5D40" w:rsidP="005B5D40">
      <w:pPr>
        <w:keepLines w:val="0"/>
        <w:numPr>
          <w:ilvl w:val="0"/>
          <w:numId w:val="99"/>
        </w:numPr>
        <w:spacing w:before="0" w:after="0" w:line="240" w:lineRule="auto"/>
        <w:rPr>
          <w:rFonts w:cs="Arial"/>
        </w:rPr>
      </w:pPr>
      <w:r>
        <w:rPr>
          <w:rFonts w:cs="Arial"/>
        </w:rPr>
        <w:t>Maximale geuremissie</w:t>
      </w:r>
    </w:p>
    <w:p w:rsidR="005B5D40" w:rsidRDefault="005B5D40" w:rsidP="005B5D40">
      <w:pPr>
        <w:spacing w:before="0" w:after="0"/>
        <w:rPr>
          <w:rFonts w:cs="Arial"/>
        </w:rPr>
      </w:pPr>
    </w:p>
    <w:p w:rsidR="005B5D40" w:rsidRDefault="005B5D40" w:rsidP="006E7FF9">
      <w:r>
        <w:t>Om deze scenario’s in te vullen wordt een hypothetische productmix aangenomen, met maximaal toelaatbare opslag, die zou resulteren in een sterk verhoogde emissies t.o.v. het realistisch scenario. De doorzet wordt wel gelijk gesteld aan de doorzet zoals gehanteerd in het realistisch scenario.</w:t>
      </w:r>
    </w:p>
    <w:p w:rsidR="005B5D40" w:rsidRDefault="005B5D40" w:rsidP="006E7FF9">
      <w:r>
        <w:t xml:space="preserve">In </w:t>
      </w:r>
      <w:r w:rsidR="00CB3B91" w:rsidRPr="00CB3B91">
        <w:t xml:space="preserve">bijlage </w:t>
      </w:r>
      <w:fldSimple w:instr=" REF b_opslagscenario \h  \* MERGEFORMAT ">
        <w:r w:rsidR="008102D8">
          <w:t>4</w:t>
        </w:r>
      </w:fldSimple>
      <w:r w:rsidR="00CB3B91" w:rsidRPr="00CB3B91">
        <w:t xml:space="preserve"> wordt</w:t>
      </w:r>
      <w:r>
        <w:t xml:space="preserve"> meer in detail ingegaan op de berekeningswijze van de emissies, de vastlegging van de gehanteerde productmix en de berekende emissies naargelang het scenario, en dit zowel voor de referentiesituatie als de toekomstige situatie.</w:t>
      </w:r>
    </w:p>
    <w:p w:rsidR="005B5D40" w:rsidRDefault="00DA3803" w:rsidP="006E7FF9">
      <w:r w:rsidRPr="007A7DB5">
        <w:t>Bijlage</w:t>
      </w:r>
      <w:r w:rsidR="007A7DB5" w:rsidRPr="007A7DB5">
        <w:t xml:space="preserve"> </w:t>
      </w:r>
      <w:fldSimple w:instr=" REF b_opslagscenario \h  \* MERGEFORMAT ">
        <w:r w:rsidR="008102D8">
          <w:t>4</w:t>
        </w:r>
      </w:fldSimple>
      <w:r w:rsidR="005B5D40" w:rsidRPr="007A7DB5">
        <w:t xml:space="preserve"> omvat </w:t>
      </w:r>
      <w:r w:rsidR="007A7DB5" w:rsidRPr="007A7DB5">
        <w:t xml:space="preserve">eveneens </w:t>
      </w:r>
      <w:r w:rsidR="005B5D40" w:rsidRPr="007A7DB5">
        <w:t>de berekende potentiële lekverliezen.</w:t>
      </w:r>
    </w:p>
    <w:p w:rsidR="005B5D40" w:rsidRDefault="005B5D40" w:rsidP="005B5D40">
      <w:pPr>
        <w:spacing w:before="0" w:after="0"/>
        <w:rPr>
          <w:rFonts w:cs="Arial"/>
        </w:rPr>
      </w:pPr>
    </w:p>
    <w:p w:rsidR="005B5D40" w:rsidRDefault="005B5D40" w:rsidP="006E7FF9">
      <w:r>
        <w:lastRenderedPageBreak/>
        <w:t xml:space="preserve">Met behulp van dispersieberekeningen, uitgevoerd m.b.v. het IFDM-model, wordt het gebied bepaald waar mogelijke effecten op de luchtkwaliteit kunnen optreden en in welke mate deze effecten zich voordoen. Deze berekeningen worden gebaseerd op informatie aangaande berekende VOS-emissies. </w:t>
      </w:r>
    </w:p>
    <w:p w:rsidR="005B5D40" w:rsidRDefault="005B5D40" w:rsidP="006E7FF9">
      <w:r>
        <w:t xml:space="preserve">Het effect van de geplande wijzigingen wordt kwantitatief ingeschat en op een gelijkaardige wijze als bij de bespreking van de bestaande situatie beoordeeld. </w:t>
      </w:r>
    </w:p>
    <w:p w:rsidR="005B5D40" w:rsidRDefault="005B5D40" w:rsidP="006E7FF9">
      <w:r w:rsidRPr="00523A65">
        <w:t xml:space="preserve">De bekomen </w:t>
      </w:r>
      <w:r>
        <w:t>resultaten</w:t>
      </w:r>
      <w:r w:rsidRPr="00523A65">
        <w:t xml:space="preserve"> worden gerelateerd t.o.v. aanvaardbare concentratie- of kwaliteitsdoelstellingen. Hierbij worden  algemeen aanvaarde luchtkwaliteitsdoelstellingen als toetsingskader beschouwd</w:t>
      </w:r>
      <w:r>
        <w:t>.</w:t>
      </w:r>
    </w:p>
    <w:p w:rsidR="005B5D40" w:rsidRPr="00523A65" w:rsidRDefault="005B5D40" w:rsidP="006E7FF9">
      <w:r w:rsidRPr="00523A65">
        <w:t>Er wordt tevens aandacht geschonken aan de emissies van verbrandingsparameters afkomstig van:</w:t>
      </w:r>
    </w:p>
    <w:p w:rsidR="005B5D40" w:rsidRDefault="005B5D40" w:rsidP="005B5D40">
      <w:pPr>
        <w:keepLines w:val="0"/>
        <w:numPr>
          <w:ilvl w:val="0"/>
          <w:numId w:val="98"/>
        </w:numPr>
        <w:tabs>
          <w:tab w:val="left" w:pos="360"/>
        </w:tabs>
        <w:spacing w:before="0" w:after="0" w:line="240" w:lineRule="auto"/>
        <w:ind w:left="360"/>
        <w:rPr>
          <w:rFonts w:cs="Arial"/>
        </w:rPr>
      </w:pPr>
      <w:r w:rsidRPr="00523A65">
        <w:rPr>
          <w:rFonts w:cs="Arial"/>
        </w:rPr>
        <w:t>emissies van stookinstallatie</w:t>
      </w:r>
      <w:r w:rsidR="00ED059E">
        <w:rPr>
          <w:rFonts w:cs="Arial"/>
        </w:rPr>
        <w:t xml:space="preserve"> (twee middelgrote installaties voor stoomproductie)</w:t>
      </w:r>
    </w:p>
    <w:p w:rsidR="005B5D40" w:rsidRPr="00523A65" w:rsidRDefault="005B5D40" w:rsidP="005B5D40">
      <w:pPr>
        <w:keepLines w:val="0"/>
        <w:numPr>
          <w:ilvl w:val="0"/>
          <w:numId w:val="98"/>
        </w:numPr>
        <w:tabs>
          <w:tab w:val="left" w:pos="360"/>
        </w:tabs>
        <w:spacing w:before="0" w:after="0" w:line="240" w:lineRule="auto"/>
        <w:ind w:left="360"/>
        <w:rPr>
          <w:rFonts w:cs="Arial"/>
        </w:rPr>
      </w:pPr>
      <w:r>
        <w:rPr>
          <w:rFonts w:cs="Arial"/>
        </w:rPr>
        <w:t>emissies van dampverwerkingseenheid</w:t>
      </w:r>
      <w:r w:rsidR="00ED059E">
        <w:rPr>
          <w:rStyle w:val="FootnoteReference"/>
          <w:rFonts w:cs="Arial"/>
        </w:rPr>
        <w:footnoteReference w:id="52"/>
      </w:r>
      <w:r>
        <w:rPr>
          <w:rFonts w:cs="Arial"/>
        </w:rPr>
        <w:t xml:space="preserve"> (DVI = naverbrandingsinstallatie)</w:t>
      </w:r>
    </w:p>
    <w:p w:rsidR="005B5D40" w:rsidRPr="00523A65" w:rsidRDefault="005B5D40" w:rsidP="005B5D40">
      <w:pPr>
        <w:keepLines w:val="0"/>
        <w:numPr>
          <w:ilvl w:val="0"/>
          <w:numId w:val="98"/>
        </w:numPr>
        <w:tabs>
          <w:tab w:val="left" w:pos="360"/>
        </w:tabs>
        <w:spacing w:before="0" w:after="0" w:line="240" w:lineRule="auto"/>
        <w:ind w:left="360"/>
        <w:rPr>
          <w:rFonts w:cs="Arial"/>
        </w:rPr>
      </w:pPr>
      <w:r w:rsidRPr="00523A65">
        <w:rPr>
          <w:rFonts w:cs="Arial"/>
        </w:rPr>
        <w:t>niet geleide emissies van verbrandingsgassen afkomstig van uitlaatgassen van (intern) en extern transport.</w:t>
      </w:r>
    </w:p>
    <w:p w:rsidR="005B5D40" w:rsidRDefault="005B5D40" w:rsidP="005B5D40">
      <w:pPr>
        <w:spacing w:before="0" w:after="0"/>
        <w:rPr>
          <w:rFonts w:cs="Arial"/>
        </w:rPr>
      </w:pPr>
    </w:p>
    <w:p w:rsidR="005B5D40" w:rsidRDefault="005B5D40" w:rsidP="006E7FF9">
      <w:r>
        <w:t xml:space="preserve">Gezien het beperkte vermogen van de stookinstallaties en de DVI, en het relatief beperkt brandstofverbruik (i.c. aardgas), kan gesteld worden dat de emissies van deze installaties in vergelijking met deze van de omliggende bronnen als verwaarloosbaar te beoordelen zijn. Voor deze verbrandingsemissies worden dan ook geen impactberekeningen uitgevoerd. </w:t>
      </w:r>
    </w:p>
    <w:p w:rsidR="005B5D40" w:rsidRDefault="005B5D40" w:rsidP="005B5D40">
      <w:pPr>
        <w:pStyle w:val="Heading3"/>
        <w:jc w:val="left"/>
      </w:pPr>
      <w:bookmarkStart w:id="807" w:name="_Toc312069273"/>
      <w:r>
        <w:t>Beoordelingskader</w:t>
      </w:r>
      <w:bookmarkEnd w:id="807"/>
    </w:p>
    <w:p w:rsidR="005B5D40" w:rsidRDefault="005B5D40" w:rsidP="005B5D40">
      <w:pPr>
        <w:pStyle w:val="tit-5"/>
        <w:rPr>
          <w:lang w:val="nl-NL"/>
        </w:rPr>
      </w:pPr>
      <w:r>
        <w:rPr>
          <w:lang w:val="nl-NL"/>
        </w:rPr>
        <w:t>Impact procesemissies</w:t>
      </w:r>
    </w:p>
    <w:p w:rsidR="005B5D40" w:rsidRDefault="005B5D40" w:rsidP="006E7FF9">
      <w:r>
        <w:t xml:space="preserve">M.b.v. het IFDM model worden de te verwachten concentraties op grondniveau  in de omgeving  berekend, rekend houdend met de hierboven berekende schatting van de VOS emissies. Hierbij wordt rekening gehouden met de weersomstandigheden welke zich in een specifiek jaar hebben voorgedaan. </w:t>
      </w:r>
    </w:p>
    <w:p w:rsidR="005B5D40" w:rsidRDefault="005B5D40" w:rsidP="006E7FF9">
      <w:r>
        <w:t xml:space="preserve">In principe dient, cfr het richtlijnenboek lucht de bijdrage van de procesemissies  t.h.v. de dichtst bijgelegen bewoning geëvalueerd te worden t.o.v. de luchtkwaliteitsdoelstellingen. </w:t>
      </w:r>
    </w:p>
    <w:p w:rsidR="005B5D40" w:rsidRDefault="005B5D40" w:rsidP="006E7FF9">
      <w:pPr>
        <w:rPr>
          <w:lang w:val="nl-NL"/>
        </w:rPr>
      </w:pPr>
      <w:r>
        <w:rPr>
          <w:lang w:val="nl-NL"/>
        </w:rPr>
        <w:t>Gezien er in het studiegebied nauwelijks of geen bewoning aanwezig is zou dit betekenen dat voor alle parameters er een impact “o” zou moeten gehanteerd worden. Bij de beoordeling zal dit oorspronkelijk toetsingskader dan ook gewijzigd worden in een beoordeling van de luchtkwaliteit in de omgeving van het bedrijf en niet t.h.v. bewoning.</w:t>
      </w:r>
    </w:p>
    <w:p w:rsidR="005B5D40" w:rsidRDefault="005B5D40" w:rsidP="006E7FF9">
      <w:pPr>
        <w:rPr>
          <w:lang w:val="nl-NL"/>
        </w:rPr>
      </w:pPr>
      <w:r>
        <w:rPr>
          <w:lang w:val="nl-NL"/>
        </w:rPr>
        <w:t xml:space="preserve">Voor eventuele effecten waarvoor geen kwantitatieve beoordeling mogelijk geacht wordt zal een experten oordeel geformuleerd worden. </w:t>
      </w:r>
    </w:p>
    <w:p w:rsidR="005B5D40" w:rsidRDefault="005B5D40" w:rsidP="005B5D40">
      <w:pPr>
        <w:spacing w:before="0" w:after="0"/>
        <w:rPr>
          <w:rFonts w:cs="Arial"/>
          <w:lang w:val="nl-NL"/>
        </w:rPr>
      </w:pPr>
    </w:p>
    <w:p w:rsidR="005B5D40" w:rsidRDefault="005B5D40" w:rsidP="00695684">
      <w:pPr>
        <w:pStyle w:val="Caption"/>
        <w:keepNext/>
        <w:rPr>
          <w:sz w:val="18"/>
          <w:szCs w:val="18"/>
        </w:rPr>
      </w:pPr>
      <w:r>
        <w:lastRenderedPageBreak/>
        <w:t>Tabel</w:t>
      </w:r>
      <w:r w:rsidR="00357D99">
        <w:t xml:space="preserve"> </w:t>
      </w:r>
      <w:r w:rsidR="00C325A0">
        <w:fldChar w:fldCharType="begin"/>
      </w:r>
      <w:r w:rsidR="00357D99">
        <w:instrText xml:space="preserve"> REF t_lucht_beoordelingskader \h </w:instrText>
      </w:r>
      <w:r w:rsidR="00C325A0">
        <w:fldChar w:fldCharType="separate"/>
      </w:r>
      <w:r w:rsidR="008102D8">
        <w:t>VIII.2.1</w:t>
      </w:r>
      <w:r w:rsidR="00C325A0">
        <w:fldChar w:fldCharType="end"/>
      </w:r>
      <w:r w:rsidRPr="00EA0860">
        <w:rPr>
          <w:sz w:val="18"/>
          <w:szCs w:val="18"/>
        </w:rPr>
        <w:t>: Beoordelingskader</w:t>
      </w:r>
      <w:r>
        <w:rPr>
          <w:sz w:val="18"/>
          <w:szCs w:val="18"/>
        </w:rPr>
        <w:t xml:space="preserve"> luchtemissies</w:t>
      </w:r>
      <w:r w:rsidRPr="00067EAA">
        <w:rPr>
          <w:sz w:val="18"/>
          <w:szCs w:val="18"/>
        </w:rPr>
        <w:t>, score toegekend in functie van berekende bijdrage  (voor elke component afzonderlijk beoordeeld)</w:t>
      </w:r>
    </w:p>
    <w:tbl>
      <w:tblPr>
        <w:tblW w:w="8505" w:type="dxa"/>
        <w:tblInd w:w="108" w:type="dxa"/>
        <w:tblBorders>
          <w:top w:val="single" w:sz="4" w:space="0" w:color="auto"/>
          <w:bottom w:val="single" w:sz="4" w:space="0" w:color="auto"/>
        </w:tblBorders>
        <w:tblLayout w:type="fixed"/>
        <w:tblLook w:val="01E0"/>
      </w:tblPr>
      <w:tblGrid>
        <w:gridCol w:w="3544"/>
        <w:gridCol w:w="1559"/>
        <w:gridCol w:w="3402"/>
      </w:tblGrid>
      <w:tr w:rsidR="005B5D40" w:rsidRPr="00AC7FD4" w:rsidTr="005B5D40">
        <w:trPr>
          <w:trHeight w:val="227"/>
        </w:trPr>
        <w:tc>
          <w:tcPr>
            <w:tcW w:w="3544" w:type="dxa"/>
            <w:tcBorders>
              <w:top w:val="single" w:sz="4" w:space="0" w:color="auto"/>
              <w:bottom w:val="single" w:sz="4" w:space="0" w:color="auto"/>
            </w:tcBorders>
            <w:shd w:val="clear" w:color="auto" w:fill="E0E0E0"/>
          </w:tcPr>
          <w:p w:rsidR="005B5D40" w:rsidRPr="00AC7FD4" w:rsidRDefault="005B5D40" w:rsidP="00695684">
            <w:pPr>
              <w:pStyle w:val="normaltabel"/>
              <w:keepNext/>
              <w:widowControl/>
              <w:rPr>
                <w:b/>
              </w:rPr>
            </w:pPr>
            <w:r w:rsidRPr="00AC7FD4">
              <w:rPr>
                <w:b/>
              </w:rPr>
              <w:t>Berekende hoogste bij</w:t>
            </w:r>
            <w:r>
              <w:rPr>
                <w:b/>
              </w:rPr>
              <w:t>drage nabij het projectgebied</w:t>
            </w:r>
          </w:p>
        </w:tc>
        <w:tc>
          <w:tcPr>
            <w:tcW w:w="1559" w:type="dxa"/>
            <w:tcBorders>
              <w:top w:val="single" w:sz="4" w:space="0" w:color="auto"/>
              <w:bottom w:val="single" w:sz="4" w:space="0" w:color="auto"/>
            </w:tcBorders>
            <w:shd w:val="clear" w:color="auto" w:fill="E0E0E0"/>
          </w:tcPr>
          <w:p w:rsidR="005B5D40" w:rsidRPr="00AC7FD4" w:rsidRDefault="005B5D40" w:rsidP="00695684">
            <w:pPr>
              <w:pStyle w:val="normaltabel"/>
              <w:keepNext/>
              <w:widowControl/>
              <w:jc w:val="center"/>
              <w:rPr>
                <w:b/>
              </w:rPr>
            </w:pPr>
            <w:r w:rsidRPr="00AC7FD4">
              <w:rPr>
                <w:b/>
              </w:rPr>
              <w:t>Beoordeling bijdrage t.o.v. luchtkwaliteits-doelstellingen</w:t>
            </w:r>
          </w:p>
        </w:tc>
        <w:tc>
          <w:tcPr>
            <w:tcW w:w="3402" w:type="dxa"/>
            <w:tcBorders>
              <w:top w:val="single" w:sz="4" w:space="0" w:color="auto"/>
              <w:bottom w:val="single" w:sz="4" w:space="0" w:color="auto"/>
            </w:tcBorders>
            <w:shd w:val="clear" w:color="auto" w:fill="E0E0E0"/>
          </w:tcPr>
          <w:p w:rsidR="005B5D40" w:rsidRPr="00AC7FD4" w:rsidRDefault="005B5D40" w:rsidP="00695684">
            <w:pPr>
              <w:pStyle w:val="normaltabel"/>
              <w:keepNext/>
              <w:widowControl/>
              <w:jc w:val="center"/>
              <w:rPr>
                <w:b/>
              </w:rPr>
            </w:pPr>
            <w:r w:rsidRPr="00AC7FD4">
              <w:rPr>
                <w:b/>
              </w:rPr>
              <w:t>Omschrijving</w:t>
            </w:r>
          </w:p>
        </w:tc>
      </w:tr>
      <w:tr w:rsidR="005B5D40" w:rsidRPr="00067EAA" w:rsidTr="005B5D40">
        <w:trPr>
          <w:trHeight w:val="227"/>
        </w:trPr>
        <w:tc>
          <w:tcPr>
            <w:tcW w:w="3544" w:type="dxa"/>
            <w:tcBorders>
              <w:top w:val="single" w:sz="4" w:space="0" w:color="auto"/>
            </w:tcBorders>
          </w:tcPr>
          <w:p w:rsidR="005B5D40" w:rsidRPr="00067EAA" w:rsidRDefault="005B5D40" w:rsidP="00695684">
            <w:pPr>
              <w:pStyle w:val="normaltabel0"/>
              <w:keepNext/>
              <w:widowControl/>
            </w:pPr>
            <w:r w:rsidRPr="00067EAA">
              <w:t>&lt; -5 % (belangrijke afname)</w:t>
            </w:r>
          </w:p>
        </w:tc>
        <w:tc>
          <w:tcPr>
            <w:tcW w:w="1559" w:type="dxa"/>
            <w:tcBorders>
              <w:top w:val="single" w:sz="4" w:space="0" w:color="auto"/>
            </w:tcBorders>
          </w:tcPr>
          <w:p w:rsidR="005B5D40" w:rsidRPr="00067EAA" w:rsidRDefault="005B5D40" w:rsidP="00695684">
            <w:pPr>
              <w:pStyle w:val="normaltabel0"/>
              <w:keepNext/>
              <w:widowControl/>
            </w:pPr>
            <w:r w:rsidRPr="00067EAA">
              <w:t>+3</w:t>
            </w:r>
          </w:p>
        </w:tc>
        <w:tc>
          <w:tcPr>
            <w:tcW w:w="3402" w:type="dxa"/>
            <w:tcBorders>
              <w:top w:val="single" w:sz="4" w:space="0" w:color="auto"/>
            </w:tcBorders>
          </w:tcPr>
          <w:p w:rsidR="005B5D40" w:rsidRPr="00067EAA" w:rsidRDefault="005B5D40" w:rsidP="00695684">
            <w:pPr>
              <w:pStyle w:val="normaltabel0"/>
              <w:keepNext/>
              <w:widowControl/>
            </w:pPr>
            <w:r w:rsidRPr="00067EAA">
              <w:t>significant positief effect</w:t>
            </w:r>
          </w:p>
        </w:tc>
      </w:tr>
      <w:tr w:rsidR="005B5D40" w:rsidRPr="00067EAA" w:rsidTr="005B5D40">
        <w:trPr>
          <w:trHeight w:val="227"/>
        </w:trPr>
        <w:tc>
          <w:tcPr>
            <w:tcW w:w="3544" w:type="dxa"/>
          </w:tcPr>
          <w:p w:rsidR="005B5D40" w:rsidRPr="00067EAA" w:rsidRDefault="005B5D40" w:rsidP="00695684">
            <w:pPr>
              <w:pStyle w:val="normaltabel0"/>
              <w:keepNext/>
              <w:widowControl/>
            </w:pPr>
            <w:r w:rsidRPr="00067EAA">
              <w:t>&lt; -3 à -5 % (relevante afname)</w:t>
            </w:r>
          </w:p>
        </w:tc>
        <w:tc>
          <w:tcPr>
            <w:tcW w:w="1559" w:type="dxa"/>
          </w:tcPr>
          <w:p w:rsidR="005B5D40" w:rsidRPr="00067EAA" w:rsidRDefault="005B5D40" w:rsidP="00695684">
            <w:pPr>
              <w:pStyle w:val="normaltabel0"/>
              <w:keepNext/>
              <w:widowControl/>
            </w:pPr>
            <w:r w:rsidRPr="00067EAA">
              <w:t>+2</w:t>
            </w:r>
          </w:p>
        </w:tc>
        <w:tc>
          <w:tcPr>
            <w:tcW w:w="3402" w:type="dxa"/>
          </w:tcPr>
          <w:p w:rsidR="005B5D40" w:rsidRPr="00067EAA" w:rsidRDefault="005B5D40" w:rsidP="00695684">
            <w:pPr>
              <w:pStyle w:val="normaltabel0"/>
              <w:keepNext/>
              <w:widowControl/>
            </w:pPr>
            <w:r w:rsidRPr="00067EAA">
              <w:t>matig significant positief effect</w:t>
            </w:r>
          </w:p>
        </w:tc>
      </w:tr>
      <w:tr w:rsidR="005B5D40" w:rsidRPr="00067EAA" w:rsidTr="005B5D40">
        <w:trPr>
          <w:trHeight w:val="227"/>
        </w:trPr>
        <w:tc>
          <w:tcPr>
            <w:tcW w:w="3544" w:type="dxa"/>
          </w:tcPr>
          <w:p w:rsidR="005B5D40" w:rsidRPr="00067EAA" w:rsidRDefault="005B5D40" w:rsidP="00695684">
            <w:pPr>
              <w:pStyle w:val="normaltabel0"/>
              <w:keepNext/>
              <w:widowControl/>
            </w:pPr>
            <w:r w:rsidRPr="00067EAA">
              <w:t>&lt; -1 à -3% (beperkte afname)</w:t>
            </w:r>
          </w:p>
        </w:tc>
        <w:tc>
          <w:tcPr>
            <w:tcW w:w="1559" w:type="dxa"/>
          </w:tcPr>
          <w:p w:rsidR="005B5D40" w:rsidRPr="00067EAA" w:rsidRDefault="005B5D40" w:rsidP="00695684">
            <w:pPr>
              <w:pStyle w:val="normaltabel0"/>
              <w:keepNext/>
              <w:widowControl/>
            </w:pPr>
            <w:r w:rsidRPr="00067EAA">
              <w:t>+1</w:t>
            </w:r>
          </w:p>
        </w:tc>
        <w:tc>
          <w:tcPr>
            <w:tcW w:w="3402" w:type="dxa"/>
          </w:tcPr>
          <w:p w:rsidR="005B5D40" w:rsidRPr="00067EAA" w:rsidRDefault="005B5D40" w:rsidP="00695684">
            <w:pPr>
              <w:pStyle w:val="normaltabel0"/>
              <w:keepNext/>
              <w:widowControl/>
            </w:pPr>
            <w:r w:rsidRPr="00067EAA">
              <w:t>gering significant positief effect</w:t>
            </w:r>
          </w:p>
        </w:tc>
      </w:tr>
      <w:tr w:rsidR="005B5D40" w:rsidRPr="00067EAA" w:rsidTr="005B5D40">
        <w:trPr>
          <w:trHeight w:val="227"/>
        </w:trPr>
        <w:tc>
          <w:tcPr>
            <w:tcW w:w="3544" w:type="dxa"/>
          </w:tcPr>
          <w:p w:rsidR="005B5D40" w:rsidRPr="00067EAA" w:rsidRDefault="005B5D40" w:rsidP="00695684">
            <w:pPr>
              <w:pStyle w:val="normaltabel0"/>
              <w:keepNext/>
              <w:widowControl/>
            </w:pPr>
            <w:r w:rsidRPr="00067EAA">
              <w:t xml:space="preserve">-1  à +1 % </w:t>
            </w:r>
          </w:p>
        </w:tc>
        <w:tc>
          <w:tcPr>
            <w:tcW w:w="1559" w:type="dxa"/>
          </w:tcPr>
          <w:p w:rsidR="005B5D40" w:rsidRPr="00067EAA" w:rsidRDefault="005B5D40" w:rsidP="00695684">
            <w:pPr>
              <w:pStyle w:val="normaltabel0"/>
              <w:keepNext/>
              <w:widowControl/>
            </w:pPr>
            <w:r w:rsidRPr="00067EAA">
              <w:t>0</w:t>
            </w:r>
          </w:p>
        </w:tc>
        <w:tc>
          <w:tcPr>
            <w:tcW w:w="3402" w:type="dxa"/>
          </w:tcPr>
          <w:p w:rsidR="005B5D40" w:rsidRPr="00067EAA" w:rsidRDefault="005B5D40" w:rsidP="00695684">
            <w:pPr>
              <w:pStyle w:val="normaltabel0"/>
              <w:keepNext/>
              <w:widowControl/>
            </w:pPr>
            <w:r w:rsidRPr="00067EAA">
              <w:t>geen aantoonbaar effect</w:t>
            </w:r>
          </w:p>
        </w:tc>
      </w:tr>
      <w:tr w:rsidR="005B5D40" w:rsidRPr="00067EAA" w:rsidTr="005B5D40">
        <w:trPr>
          <w:trHeight w:val="227"/>
        </w:trPr>
        <w:tc>
          <w:tcPr>
            <w:tcW w:w="3544" w:type="dxa"/>
          </w:tcPr>
          <w:p w:rsidR="005B5D40" w:rsidRPr="00067EAA" w:rsidRDefault="005B5D40" w:rsidP="00695684">
            <w:pPr>
              <w:pStyle w:val="normaltabel0"/>
              <w:keepNext/>
              <w:widowControl/>
            </w:pPr>
            <w:r w:rsidRPr="00067EAA">
              <w:t>&gt; +1 à +3 % (beperkte bijdrage)</w:t>
            </w:r>
          </w:p>
        </w:tc>
        <w:tc>
          <w:tcPr>
            <w:tcW w:w="1559" w:type="dxa"/>
          </w:tcPr>
          <w:p w:rsidR="005B5D40" w:rsidRPr="00067EAA" w:rsidRDefault="005B5D40" w:rsidP="00695684">
            <w:pPr>
              <w:pStyle w:val="normaltabel0"/>
              <w:keepNext/>
              <w:widowControl/>
            </w:pPr>
            <w:r w:rsidRPr="00067EAA">
              <w:t>- 1</w:t>
            </w:r>
          </w:p>
        </w:tc>
        <w:tc>
          <w:tcPr>
            <w:tcW w:w="3402" w:type="dxa"/>
          </w:tcPr>
          <w:p w:rsidR="005B5D40" w:rsidRPr="00067EAA" w:rsidRDefault="005B5D40" w:rsidP="00695684">
            <w:pPr>
              <w:pStyle w:val="normaltabel0"/>
              <w:keepNext/>
              <w:widowControl/>
            </w:pPr>
            <w:r w:rsidRPr="00067EAA">
              <w:t>gering significant negatief effect</w:t>
            </w:r>
          </w:p>
        </w:tc>
      </w:tr>
      <w:tr w:rsidR="005B5D40" w:rsidRPr="00067EAA" w:rsidTr="005B5D40">
        <w:trPr>
          <w:trHeight w:val="227"/>
        </w:trPr>
        <w:tc>
          <w:tcPr>
            <w:tcW w:w="3544" w:type="dxa"/>
          </w:tcPr>
          <w:p w:rsidR="005B5D40" w:rsidRPr="00067EAA" w:rsidRDefault="005B5D40" w:rsidP="00695684">
            <w:pPr>
              <w:pStyle w:val="normaltabel0"/>
              <w:keepNext/>
              <w:widowControl/>
            </w:pPr>
            <w:r w:rsidRPr="00067EAA">
              <w:t>&gt; +3 à +5 % (relevante bijdrage)</w:t>
            </w:r>
          </w:p>
        </w:tc>
        <w:tc>
          <w:tcPr>
            <w:tcW w:w="1559" w:type="dxa"/>
          </w:tcPr>
          <w:p w:rsidR="005B5D40" w:rsidRPr="00067EAA" w:rsidRDefault="005B5D40" w:rsidP="00695684">
            <w:pPr>
              <w:pStyle w:val="normaltabel0"/>
              <w:keepNext/>
              <w:widowControl/>
            </w:pPr>
            <w:r w:rsidRPr="00067EAA">
              <w:t>- 2</w:t>
            </w:r>
          </w:p>
        </w:tc>
        <w:tc>
          <w:tcPr>
            <w:tcW w:w="3402" w:type="dxa"/>
          </w:tcPr>
          <w:p w:rsidR="005B5D40" w:rsidRPr="00067EAA" w:rsidRDefault="005B5D40" w:rsidP="00695684">
            <w:pPr>
              <w:pStyle w:val="normaltabel0"/>
              <w:keepNext/>
              <w:widowControl/>
            </w:pPr>
            <w:r w:rsidRPr="00067EAA">
              <w:t>matig significant negatief effect</w:t>
            </w:r>
          </w:p>
        </w:tc>
      </w:tr>
      <w:tr w:rsidR="005B5D40" w:rsidRPr="00067EAA" w:rsidTr="005B5D40">
        <w:trPr>
          <w:trHeight w:val="227"/>
        </w:trPr>
        <w:tc>
          <w:tcPr>
            <w:tcW w:w="3544" w:type="dxa"/>
            <w:tcBorders>
              <w:bottom w:val="single" w:sz="4" w:space="0" w:color="auto"/>
            </w:tcBorders>
          </w:tcPr>
          <w:p w:rsidR="005B5D40" w:rsidRPr="00067EAA" w:rsidRDefault="005B5D40" w:rsidP="00695684">
            <w:pPr>
              <w:pStyle w:val="normaltabel0"/>
              <w:keepNext/>
              <w:widowControl/>
            </w:pPr>
            <w:r w:rsidRPr="00067EAA">
              <w:t>&gt; + 5 % (belangrijke bijdrage)</w:t>
            </w:r>
          </w:p>
        </w:tc>
        <w:tc>
          <w:tcPr>
            <w:tcW w:w="1559" w:type="dxa"/>
            <w:tcBorders>
              <w:bottom w:val="single" w:sz="4" w:space="0" w:color="auto"/>
            </w:tcBorders>
          </w:tcPr>
          <w:p w:rsidR="005B5D40" w:rsidRPr="00067EAA" w:rsidRDefault="005B5D40" w:rsidP="00695684">
            <w:pPr>
              <w:pStyle w:val="normaltabel0"/>
              <w:keepNext/>
              <w:widowControl/>
            </w:pPr>
            <w:r w:rsidRPr="00067EAA">
              <w:t>- 3</w:t>
            </w:r>
          </w:p>
        </w:tc>
        <w:tc>
          <w:tcPr>
            <w:tcW w:w="3402" w:type="dxa"/>
            <w:tcBorders>
              <w:bottom w:val="single" w:sz="4" w:space="0" w:color="auto"/>
            </w:tcBorders>
          </w:tcPr>
          <w:p w:rsidR="005B5D40" w:rsidRPr="00067EAA" w:rsidRDefault="005B5D40" w:rsidP="00695684">
            <w:pPr>
              <w:pStyle w:val="normaltabel0"/>
              <w:keepNext/>
              <w:widowControl/>
            </w:pPr>
            <w:r w:rsidRPr="00067EAA">
              <w:t>significant negatief effect</w:t>
            </w:r>
          </w:p>
        </w:tc>
      </w:tr>
    </w:tbl>
    <w:p w:rsidR="005B5D40" w:rsidRDefault="005B5D40" w:rsidP="00695684">
      <w:pPr>
        <w:pStyle w:val="voetnoottabel"/>
        <w:keepNext/>
        <w:widowControl/>
        <w:tabs>
          <w:tab w:val="left" w:pos="567"/>
        </w:tabs>
        <w:ind w:left="567" w:right="524" w:hanging="567"/>
      </w:pPr>
      <w:r>
        <w:t xml:space="preserve">opm. </w:t>
      </w:r>
      <w:r>
        <w:tab/>
      </w:r>
      <w:r w:rsidRPr="003934F6">
        <w:t>Bij dit louter kwantitatief beoordelingskader, waarbij de berekende bijdragen gerelateerd worden aan luchtkwaliteitsdoelstellingen,  kan er geen rekening gehouden worden met aanwezige bewoning, de relevantie van het gebied waarin deze hoogste bijdragen voorkomen, aanwezigheid van gevoelige bevolkingsgroepen,…. . Voor deze impactbepaling dient verwezen te worden naar de discipline mens.</w:t>
      </w:r>
    </w:p>
    <w:p w:rsidR="005B5D40" w:rsidRDefault="005B5D40" w:rsidP="005B5D40">
      <w:pPr>
        <w:rPr>
          <w:lang w:val="nl-NL"/>
        </w:rPr>
      </w:pPr>
    </w:p>
    <w:p w:rsidR="005B5D40" w:rsidRDefault="005B5D40" w:rsidP="006E7FF9">
      <w:pPr>
        <w:rPr>
          <w:lang w:val="nl-NL"/>
        </w:rPr>
      </w:pPr>
      <w:r>
        <w:rPr>
          <w:lang w:val="nl-NL"/>
        </w:rPr>
        <w:t>Bij de beoordeling van de geurimpact wordt rekening gehouden met een specifiek toetsingskader afgeleid uit beleidsdoelstellingen. Dit wordt in een latere fase van deze studie meer in detail opgenomen.</w:t>
      </w:r>
    </w:p>
    <w:p w:rsidR="005B5D40" w:rsidRDefault="005B5D40" w:rsidP="005B5D40">
      <w:pPr>
        <w:pStyle w:val="tit-5"/>
        <w:rPr>
          <w:lang w:val="nl-NL"/>
        </w:rPr>
      </w:pPr>
      <w:r>
        <w:rPr>
          <w:lang w:val="nl-NL"/>
        </w:rPr>
        <w:t>Impact transportemissies</w:t>
      </w:r>
    </w:p>
    <w:p w:rsidR="005B5D40" w:rsidRDefault="005B5D40" w:rsidP="006E7FF9">
      <w:r w:rsidRPr="00CF0D07">
        <w:t>Gezien het wegtransport niet langsheen woonzones rijdt vooraleer aan te takken op het hoofdwegennet dient de impact ervan niet in detail in kaart gebracht te worden. Er zal echter alsnog een impactberekening uitgevoerd worden met het model CAR-Vlaanderen.</w:t>
      </w:r>
      <w:r>
        <w:t xml:space="preserve"> Hierbij wordt aandacht besteed aan de impact inzake NO2 en  fijn stof (PM2,5 en PM10). De impact wordt beoordeeld t.o.v. de luchtkwaliteitsdoelstelingen. Hierbij wordt een gelijkaardig 7-delig toetsingskader gehanteerd zoals hierboven aangegeven.</w:t>
      </w:r>
    </w:p>
    <w:p w:rsidR="005B5D40" w:rsidRDefault="005B5D40" w:rsidP="005B5D40">
      <w:pPr>
        <w:pStyle w:val="voetnoottabel"/>
        <w:tabs>
          <w:tab w:val="left" w:pos="567"/>
        </w:tabs>
        <w:ind w:left="567" w:right="524" w:hanging="567"/>
      </w:pPr>
      <w:r>
        <w:t xml:space="preserve">opm. </w:t>
      </w:r>
      <w:r>
        <w:tab/>
        <w:t>Het beoordelingskader dient</w:t>
      </w:r>
      <w:r w:rsidRPr="003934F6">
        <w:t xml:space="preserve"> voor de verschillende relevante parameters afzonderlijk toegepast te worden.</w:t>
      </w:r>
      <w:r>
        <w:t xml:space="preserve"> </w:t>
      </w:r>
      <w:r w:rsidRPr="003934F6">
        <w:t>Bij dit louter kwantitatief beoordelingskader, waarbij de berekende bijdragen gerelateerd worden a</w:t>
      </w:r>
      <w:r>
        <w:t>an de</w:t>
      </w:r>
      <w:r w:rsidRPr="003934F6">
        <w:t xml:space="preserve"> luchtkwaliteitsdoelstellingen,  kan er geen rekening gehouden worden met aanwezige bewoning, de relevantie van het gebied waarin deze hoogste bijdragen voorkomen, aanwezigheid van gevoelige bevolkingsgroepen,…. . Voor deze impactbepaling dient verwezen te worden naar de discipline mens.</w:t>
      </w:r>
    </w:p>
    <w:p w:rsidR="005B5D40" w:rsidRPr="007F7BD2" w:rsidRDefault="005B5D40" w:rsidP="005B5D40">
      <w:pPr>
        <w:pStyle w:val="tit-5"/>
      </w:pPr>
      <w:r>
        <w:t>Globale beoordeling</w:t>
      </w:r>
    </w:p>
    <w:p w:rsidR="005B5D40" w:rsidRDefault="005B5D40" w:rsidP="006E7FF9">
      <w:r w:rsidRPr="007F7BD2">
        <w:t>Uite</w:t>
      </w:r>
      <w:r>
        <w:t xml:space="preserve">indelijk dienen de impactscores </w:t>
      </w:r>
      <w:r w:rsidRPr="007F7BD2">
        <w:t>vertaald te worden naar een globale impactscore. Dit wordt op basis van een experteno</w:t>
      </w:r>
      <w:r>
        <w:t>ordeel uitgevoerd, rekening houdend met de onderscheiden elementen.</w:t>
      </w:r>
      <w:r w:rsidRPr="00CF0F2B">
        <w:t xml:space="preserve"> </w:t>
      </w:r>
      <w:r>
        <w:t>Hiertoe wordt ook van een zevendelige schaal gebruik gemaakt.</w:t>
      </w:r>
    </w:p>
    <w:p w:rsidR="005B5D40" w:rsidRDefault="005B5D40" w:rsidP="005B5D40"/>
    <w:p w:rsidR="005B5D40" w:rsidRDefault="005B5D40" w:rsidP="00695684">
      <w:pPr>
        <w:pStyle w:val="Caption"/>
        <w:keepNext/>
        <w:rPr>
          <w:sz w:val="18"/>
          <w:szCs w:val="18"/>
        </w:rPr>
      </w:pPr>
      <w:r>
        <w:lastRenderedPageBreak/>
        <w:t>Tabel</w:t>
      </w:r>
      <w:r w:rsidR="00357D99">
        <w:t xml:space="preserve"> </w:t>
      </w:r>
      <w:r w:rsidR="00C325A0">
        <w:fldChar w:fldCharType="begin"/>
      </w:r>
      <w:r w:rsidR="00357D99">
        <w:instrText xml:space="preserve"> REF t_lucht_kwalitatief_toetsingskader \h </w:instrText>
      </w:r>
      <w:r w:rsidR="00C325A0">
        <w:fldChar w:fldCharType="separate"/>
      </w:r>
      <w:r w:rsidR="008102D8">
        <w:t>VIII.2.2</w:t>
      </w:r>
      <w:r w:rsidR="00C325A0">
        <w:fldChar w:fldCharType="end"/>
      </w:r>
      <w:r>
        <w:t xml:space="preserve">: </w:t>
      </w:r>
      <w:r>
        <w:rPr>
          <w:sz w:val="18"/>
          <w:szCs w:val="18"/>
        </w:rPr>
        <w:t xml:space="preserve"> </w:t>
      </w:r>
      <w:r w:rsidRPr="00EA0860">
        <w:rPr>
          <w:sz w:val="18"/>
          <w:szCs w:val="18"/>
        </w:rPr>
        <w:t>Globaal</w:t>
      </w:r>
      <w:r w:rsidRPr="00050EA5">
        <w:rPr>
          <w:sz w:val="18"/>
          <w:szCs w:val="18"/>
        </w:rPr>
        <w:t xml:space="preserve"> kwalitatief toetsingskader impactbeoordeling luchtkwaliteit </w:t>
      </w:r>
    </w:p>
    <w:tbl>
      <w:tblPr>
        <w:tblW w:w="8505" w:type="dxa"/>
        <w:tblInd w:w="108" w:type="dxa"/>
        <w:tblBorders>
          <w:top w:val="single" w:sz="4" w:space="0" w:color="auto"/>
          <w:bottom w:val="single" w:sz="4" w:space="0" w:color="auto"/>
        </w:tblBorders>
        <w:tblLayout w:type="fixed"/>
        <w:tblLook w:val="01E0"/>
      </w:tblPr>
      <w:tblGrid>
        <w:gridCol w:w="2673"/>
        <w:gridCol w:w="2916"/>
        <w:gridCol w:w="2916"/>
      </w:tblGrid>
      <w:tr w:rsidR="005B5D40" w:rsidRPr="00AC7FD4" w:rsidTr="005B5D40">
        <w:trPr>
          <w:trHeight w:val="227"/>
        </w:trPr>
        <w:tc>
          <w:tcPr>
            <w:tcW w:w="2673" w:type="dxa"/>
            <w:tcBorders>
              <w:top w:val="single" w:sz="4" w:space="0" w:color="auto"/>
              <w:bottom w:val="single" w:sz="4" w:space="0" w:color="auto"/>
            </w:tcBorders>
            <w:shd w:val="clear" w:color="auto" w:fill="E0E0E0"/>
          </w:tcPr>
          <w:p w:rsidR="005B5D40" w:rsidRPr="00AC7FD4" w:rsidRDefault="005B5D40" w:rsidP="00695684">
            <w:pPr>
              <w:pStyle w:val="normaltabel"/>
              <w:keepNext/>
              <w:widowControl/>
              <w:jc w:val="center"/>
              <w:rPr>
                <w:b/>
              </w:rPr>
            </w:pPr>
            <w:r>
              <w:rPr>
                <w:b/>
              </w:rPr>
              <w:t>score</w:t>
            </w:r>
          </w:p>
        </w:tc>
        <w:tc>
          <w:tcPr>
            <w:tcW w:w="5832" w:type="dxa"/>
            <w:gridSpan w:val="2"/>
            <w:tcBorders>
              <w:top w:val="single" w:sz="4" w:space="0" w:color="auto"/>
              <w:bottom w:val="single" w:sz="4" w:space="0" w:color="auto"/>
            </w:tcBorders>
            <w:shd w:val="clear" w:color="auto" w:fill="E0E0E0"/>
          </w:tcPr>
          <w:p w:rsidR="005B5D40" w:rsidRPr="00AC7FD4" w:rsidRDefault="005B5D40" w:rsidP="00695684">
            <w:pPr>
              <w:pStyle w:val="normaltabel"/>
              <w:keepNext/>
              <w:widowControl/>
              <w:jc w:val="center"/>
              <w:rPr>
                <w:b/>
              </w:rPr>
            </w:pPr>
            <w:r w:rsidRPr="00AC7FD4">
              <w:rPr>
                <w:b/>
              </w:rPr>
              <w:t>Omschrijving</w:t>
            </w:r>
          </w:p>
        </w:tc>
      </w:tr>
      <w:tr w:rsidR="005B5D40" w:rsidRPr="00067EAA" w:rsidTr="005B5D40">
        <w:trPr>
          <w:trHeight w:val="227"/>
        </w:trPr>
        <w:tc>
          <w:tcPr>
            <w:tcW w:w="2673" w:type="dxa"/>
            <w:tcBorders>
              <w:top w:val="single" w:sz="4" w:space="0" w:color="auto"/>
            </w:tcBorders>
          </w:tcPr>
          <w:p w:rsidR="005B5D40" w:rsidRPr="00067EAA" w:rsidRDefault="005B5D40" w:rsidP="00695684">
            <w:pPr>
              <w:pStyle w:val="normaltabel0"/>
              <w:keepNext/>
              <w:widowControl/>
            </w:pPr>
            <w:r w:rsidRPr="00067EAA">
              <w:t>+3</w:t>
            </w:r>
          </w:p>
        </w:tc>
        <w:tc>
          <w:tcPr>
            <w:tcW w:w="2916" w:type="dxa"/>
            <w:tcBorders>
              <w:top w:val="single" w:sz="4" w:space="0" w:color="auto"/>
            </w:tcBorders>
          </w:tcPr>
          <w:p w:rsidR="005B5D40" w:rsidRPr="00067EAA" w:rsidRDefault="005B5D40" w:rsidP="00695684">
            <w:pPr>
              <w:pStyle w:val="normaltabel0"/>
              <w:keepNext/>
              <w:widowControl/>
            </w:pPr>
            <w:r w:rsidRPr="00067EAA">
              <w:t>significant positief effect</w:t>
            </w:r>
          </w:p>
        </w:tc>
        <w:tc>
          <w:tcPr>
            <w:tcW w:w="2916" w:type="dxa"/>
            <w:tcBorders>
              <w:top w:val="single" w:sz="4" w:space="0" w:color="auto"/>
            </w:tcBorders>
          </w:tcPr>
          <w:p w:rsidR="005B5D40" w:rsidRPr="00067EAA" w:rsidRDefault="005B5D40" w:rsidP="00695684">
            <w:pPr>
              <w:pStyle w:val="normaltabel0"/>
              <w:keepNext/>
              <w:widowControl/>
            </w:pPr>
            <w:r>
              <w:t>Belangrijke positieve impact</w:t>
            </w:r>
          </w:p>
        </w:tc>
      </w:tr>
      <w:tr w:rsidR="005B5D40" w:rsidRPr="00067EAA" w:rsidTr="005B5D40">
        <w:trPr>
          <w:trHeight w:val="227"/>
        </w:trPr>
        <w:tc>
          <w:tcPr>
            <w:tcW w:w="2673" w:type="dxa"/>
          </w:tcPr>
          <w:p w:rsidR="005B5D40" w:rsidRPr="00067EAA" w:rsidRDefault="005B5D40" w:rsidP="00695684">
            <w:pPr>
              <w:pStyle w:val="normaltabel0"/>
              <w:keepNext/>
              <w:widowControl/>
            </w:pPr>
            <w:r w:rsidRPr="00067EAA">
              <w:t>+2</w:t>
            </w:r>
          </w:p>
        </w:tc>
        <w:tc>
          <w:tcPr>
            <w:tcW w:w="2916" w:type="dxa"/>
          </w:tcPr>
          <w:p w:rsidR="005B5D40" w:rsidRPr="00067EAA" w:rsidRDefault="005B5D40" w:rsidP="00695684">
            <w:pPr>
              <w:pStyle w:val="normaltabel0"/>
              <w:keepNext/>
              <w:widowControl/>
            </w:pPr>
            <w:r w:rsidRPr="00067EAA">
              <w:t>matig significant positief effect</w:t>
            </w:r>
          </w:p>
        </w:tc>
        <w:tc>
          <w:tcPr>
            <w:tcW w:w="2916" w:type="dxa"/>
          </w:tcPr>
          <w:p w:rsidR="005B5D40" w:rsidRPr="00067EAA" w:rsidRDefault="005B5D40" w:rsidP="00695684">
            <w:pPr>
              <w:pStyle w:val="normaltabel0"/>
              <w:keepNext/>
              <w:widowControl/>
            </w:pPr>
            <w:r>
              <w:t>Relevante positieve impact</w:t>
            </w:r>
          </w:p>
        </w:tc>
      </w:tr>
      <w:tr w:rsidR="005B5D40" w:rsidRPr="00067EAA" w:rsidTr="005B5D40">
        <w:trPr>
          <w:trHeight w:val="227"/>
        </w:trPr>
        <w:tc>
          <w:tcPr>
            <w:tcW w:w="2673" w:type="dxa"/>
          </w:tcPr>
          <w:p w:rsidR="005B5D40" w:rsidRPr="00067EAA" w:rsidRDefault="005B5D40" w:rsidP="00695684">
            <w:pPr>
              <w:pStyle w:val="normaltabel0"/>
              <w:keepNext/>
              <w:widowControl/>
            </w:pPr>
            <w:r w:rsidRPr="00067EAA">
              <w:t>+1</w:t>
            </w:r>
          </w:p>
        </w:tc>
        <w:tc>
          <w:tcPr>
            <w:tcW w:w="2916" w:type="dxa"/>
          </w:tcPr>
          <w:p w:rsidR="005B5D40" w:rsidRPr="00067EAA" w:rsidRDefault="005B5D40" w:rsidP="00695684">
            <w:pPr>
              <w:pStyle w:val="normaltabel0"/>
              <w:keepNext/>
              <w:widowControl/>
            </w:pPr>
            <w:r w:rsidRPr="00067EAA">
              <w:t>gering significant positief effect</w:t>
            </w:r>
          </w:p>
        </w:tc>
        <w:tc>
          <w:tcPr>
            <w:tcW w:w="2916" w:type="dxa"/>
          </w:tcPr>
          <w:p w:rsidR="005B5D40" w:rsidRPr="00067EAA" w:rsidRDefault="005B5D40" w:rsidP="00695684">
            <w:pPr>
              <w:pStyle w:val="normaltabel0"/>
              <w:keepNext/>
              <w:widowControl/>
            </w:pPr>
            <w:r>
              <w:t>Beperkte positieve impact</w:t>
            </w:r>
          </w:p>
        </w:tc>
      </w:tr>
      <w:tr w:rsidR="005B5D40" w:rsidRPr="00067EAA" w:rsidTr="005B5D40">
        <w:trPr>
          <w:trHeight w:val="227"/>
        </w:trPr>
        <w:tc>
          <w:tcPr>
            <w:tcW w:w="2673" w:type="dxa"/>
          </w:tcPr>
          <w:p w:rsidR="005B5D40" w:rsidRPr="00067EAA" w:rsidRDefault="005B5D40" w:rsidP="00695684">
            <w:pPr>
              <w:pStyle w:val="normaltabel0"/>
              <w:keepNext/>
              <w:widowControl/>
            </w:pPr>
            <w:r w:rsidRPr="00067EAA">
              <w:t>0</w:t>
            </w:r>
          </w:p>
        </w:tc>
        <w:tc>
          <w:tcPr>
            <w:tcW w:w="2916" w:type="dxa"/>
          </w:tcPr>
          <w:p w:rsidR="005B5D40" w:rsidRPr="00067EAA" w:rsidRDefault="005B5D40" w:rsidP="00695684">
            <w:pPr>
              <w:pStyle w:val="normaltabel0"/>
              <w:keepNext/>
              <w:widowControl/>
            </w:pPr>
            <w:r w:rsidRPr="00067EAA">
              <w:t>geen aantoonbaar effect</w:t>
            </w:r>
          </w:p>
        </w:tc>
        <w:tc>
          <w:tcPr>
            <w:tcW w:w="2916" w:type="dxa"/>
          </w:tcPr>
          <w:p w:rsidR="005B5D40" w:rsidRPr="00067EAA" w:rsidRDefault="005B5D40" w:rsidP="00695684">
            <w:pPr>
              <w:pStyle w:val="normaltabel0"/>
              <w:keepNext/>
              <w:widowControl/>
            </w:pPr>
          </w:p>
        </w:tc>
      </w:tr>
      <w:tr w:rsidR="005B5D40" w:rsidRPr="00067EAA" w:rsidTr="005B5D40">
        <w:trPr>
          <w:trHeight w:val="227"/>
        </w:trPr>
        <w:tc>
          <w:tcPr>
            <w:tcW w:w="2673" w:type="dxa"/>
          </w:tcPr>
          <w:p w:rsidR="005B5D40" w:rsidRPr="00067EAA" w:rsidRDefault="005B5D40" w:rsidP="00695684">
            <w:pPr>
              <w:pStyle w:val="normaltabel0"/>
              <w:keepNext/>
              <w:widowControl/>
            </w:pPr>
            <w:r w:rsidRPr="00067EAA">
              <w:t>- 1</w:t>
            </w:r>
          </w:p>
        </w:tc>
        <w:tc>
          <w:tcPr>
            <w:tcW w:w="2916" w:type="dxa"/>
          </w:tcPr>
          <w:p w:rsidR="005B5D40" w:rsidRPr="00067EAA" w:rsidRDefault="005B5D40" w:rsidP="00695684">
            <w:pPr>
              <w:pStyle w:val="normaltabel0"/>
              <w:keepNext/>
              <w:widowControl/>
            </w:pPr>
            <w:r w:rsidRPr="00067EAA">
              <w:t>gering significant negatief effect</w:t>
            </w:r>
          </w:p>
        </w:tc>
        <w:tc>
          <w:tcPr>
            <w:tcW w:w="2916" w:type="dxa"/>
          </w:tcPr>
          <w:p w:rsidR="005B5D40" w:rsidRPr="00067EAA" w:rsidRDefault="005B5D40" w:rsidP="00695684">
            <w:pPr>
              <w:pStyle w:val="normaltabel0"/>
              <w:keepNext/>
              <w:widowControl/>
            </w:pPr>
            <w:r>
              <w:t>Beperkte negatieve impact</w:t>
            </w:r>
          </w:p>
        </w:tc>
      </w:tr>
      <w:tr w:rsidR="005B5D40" w:rsidRPr="00067EAA" w:rsidTr="005B5D40">
        <w:trPr>
          <w:trHeight w:val="227"/>
        </w:trPr>
        <w:tc>
          <w:tcPr>
            <w:tcW w:w="2673" w:type="dxa"/>
          </w:tcPr>
          <w:p w:rsidR="005B5D40" w:rsidRPr="00067EAA" w:rsidRDefault="005B5D40" w:rsidP="00695684">
            <w:pPr>
              <w:pStyle w:val="normaltabel0"/>
              <w:keepNext/>
              <w:widowControl/>
            </w:pPr>
            <w:r w:rsidRPr="00067EAA">
              <w:t>- 2</w:t>
            </w:r>
          </w:p>
        </w:tc>
        <w:tc>
          <w:tcPr>
            <w:tcW w:w="2916" w:type="dxa"/>
          </w:tcPr>
          <w:p w:rsidR="005B5D40" w:rsidRPr="00067EAA" w:rsidRDefault="005B5D40" w:rsidP="00695684">
            <w:pPr>
              <w:pStyle w:val="normaltabel0"/>
              <w:keepNext/>
              <w:widowControl/>
            </w:pPr>
            <w:r w:rsidRPr="00067EAA">
              <w:t>matig significant negatief effect</w:t>
            </w:r>
          </w:p>
        </w:tc>
        <w:tc>
          <w:tcPr>
            <w:tcW w:w="2916" w:type="dxa"/>
          </w:tcPr>
          <w:p w:rsidR="005B5D40" w:rsidRPr="00067EAA" w:rsidRDefault="005B5D40" w:rsidP="00695684">
            <w:pPr>
              <w:pStyle w:val="normaltabel0"/>
              <w:keepNext/>
              <w:widowControl/>
            </w:pPr>
            <w:r>
              <w:t>Relevante negatieve impact</w:t>
            </w:r>
          </w:p>
        </w:tc>
      </w:tr>
      <w:tr w:rsidR="005B5D40" w:rsidRPr="00067EAA" w:rsidTr="005B5D40">
        <w:trPr>
          <w:trHeight w:val="227"/>
        </w:trPr>
        <w:tc>
          <w:tcPr>
            <w:tcW w:w="2673" w:type="dxa"/>
            <w:tcBorders>
              <w:bottom w:val="single" w:sz="4" w:space="0" w:color="auto"/>
            </w:tcBorders>
          </w:tcPr>
          <w:p w:rsidR="005B5D40" w:rsidRPr="00067EAA" w:rsidRDefault="005B5D40" w:rsidP="00695684">
            <w:pPr>
              <w:pStyle w:val="normaltabel0"/>
              <w:keepNext/>
              <w:widowControl/>
            </w:pPr>
            <w:r w:rsidRPr="00067EAA">
              <w:t>- 3</w:t>
            </w:r>
          </w:p>
        </w:tc>
        <w:tc>
          <w:tcPr>
            <w:tcW w:w="2916" w:type="dxa"/>
            <w:tcBorders>
              <w:bottom w:val="single" w:sz="4" w:space="0" w:color="auto"/>
            </w:tcBorders>
          </w:tcPr>
          <w:p w:rsidR="005B5D40" w:rsidRPr="00067EAA" w:rsidRDefault="005B5D40" w:rsidP="00695684">
            <w:pPr>
              <w:pStyle w:val="normaltabel0"/>
              <w:keepNext/>
              <w:widowControl/>
            </w:pPr>
            <w:r w:rsidRPr="00067EAA">
              <w:t>significant negatief effect</w:t>
            </w:r>
          </w:p>
        </w:tc>
        <w:tc>
          <w:tcPr>
            <w:tcW w:w="2916" w:type="dxa"/>
            <w:tcBorders>
              <w:bottom w:val="single" w:sz="4" w:space="0" w:color="auto"/>
            </w:tcBorders>
          </w:tcPr>
          <w:p w:rsidR="005B5D40" w:rsidRPr="00067EAA" w:rsidRDefault="005B5D40" w:rsidP="00695684">
            <w:pPr>
              <w:pStyle w:val="normaltabel0"/>
              <w:keepNext/>
              <w:widowControl/>
            </w:pPr>
            <w:r>
              <w:t>Belangrijke negatieve impact</w:t>
            </w:r>
          </w:p>
        </w:tc>
      </w:tr>
    </w:tbl>
    <w:p w:rsidR="005B5D40" w:rsidRDefault="005B5D40" w:rsidP="005B5D40">
      <w:pPr>
        <w:rPr>
          <w:lang w:val="nl-NL"/>
        </w:rPr>
      </w:pPr>
    </w:p>
    <w:p w:rsidR="005B5D40" w:rsidRDefault="005B5D40" w:rsidP="005B5D40">
      <w:pPr>
        <w:pStyle w:val="Heading3"/>
        <w:jc w:val="left"/>
      </w:pPr>
      <w:bookmarkStart w:id="808" w:name="_Toc312069274"/>
      <w:r>
        <w:t>Grenswaarden en –richtwaarden luchtkwaliteit toegepast bij het beoordelingskader</w:t>
      </w:r>
      <w:bookmarkEnd w:id="808"/>
    </w:p>
    <w:p w:rsidR="005B5D40" w:rsidRDefault="005B5D40" w:rsidP="006E7FF9">
      <w:r>
        <w:t>In onderstaande tabel worden de actueel van toepassing zijnde, en de reeds vastgelegde toekomstige luchtkwaliteitsdoelstellingen opgenomen, zoals af te leiden uit de Europese regelgeving, en in Vlaanderen via VLAREM-II wetgeving geïmplementeerd.</w:t>
      </w:r>
    </w:p>
    <w:p w:rsidR="005B5D40" w:rsidRDefault="005B5D40" w:rsidP="005B5D40">
      <w:pPr>
        <w:pStyle w:val="Caption"/>
        <w:rPr>
          <w:rFonts w:cs="Arial"/>
          <w:sz w:val="18"/>
          <w:szCs w:val="18"/>
        </w:rPr>
      </w:pPr>
      <w:r>
        <w:rPr>
          <w:rFonts w:cs="Arial"/>
          <w:sz w:val="18"/>
          <w:szCs w:val="18"/>
        </w:rPr>
        <w:t xml:space="preserve">Tabel </w:t>
      </w:r>
      <w:r w:rsidR="00C325A0">
        <w:rPr>
          <w:rFonts w:cs="Arial"/>
          <w:sz w:val="18"/>
          <w:szCs w:val="18"/>
        </w:rPr>
        <w:fldChar w:fldCharType="begin"/>
      </w:r>
      <w:r w:rsidR="00357D99">
        <w:rPr>
          <w:rFonts w:cs="Arial"/>
          <w:sz w:val="18"/>
          <w:szCs w:val="18"/>
        </w:rPr>
        <w:instrText xml:space="preserve"> REF t_lucht_kwalitatief_grenswaarden_kaderrl \h </w:instrText>
      </w:r>
      <w:r w:rsidR="00C325A0">
        <w:rPr>
          <w:rFonts w:cs="Arial"/>
          <w:sz w:val="18"/>
          <w:szCs w:val="18"/>
        </w:rPr>
      </w:r>
      <w:r w:rsidR="00C325A0">
        <w:rPr>
          <w:rFonts w:cs="Arial"/>
          <w:sz w:val="18"/>
          <w:szCs w:val="18"/>
        </w:rPr>
        <w:fldChar w:fldCharType="separate"/>
      </w:r>
      <w:r w:rsidR="008102D8">
        <w:t>VIII.2.3</w:t>
      </w:r>
      <w:r w:rsidR="00C325A0">
        <w:rPr>
          <w:rFonts w:cs="Arial"/>
          <w:sz w:val="18"/>
          <w:szCs w:val="18"/>
        </w:rPr>
        <w:fldChar w:fldCharType="end"/>
      </w:r>
      <w:r>
        <w:rPr>
          <w:rFonts w:cs="Arial"/>
          <w:sz w:val="18"/>
          <w:szCs w:val="18"/>
        </w:rPr>
        <w:t>: Grenswaarden en –richtwaarden  overeenkomstig de Europese Kaderrichtlijn ‘Lucht’ (herziening goedgekeurd op 14 april 2008)</w:t>
      </w:r>
    </w:p>
    <w:tbl>
      <w:tblPr>
        <w:tblW w:w="5000" w:type="pct"/>
        <w:tblCellMar>
          <w:left w:w="107" w:type="dxa"/>
          <w:right w:w="107" w:type="dxa"/>
        </w:tblCellMar>
        <w:tblLook w:val="0000"/>
      </w:tblPr>
      <w:tblGrid>
        <w:gridCol w:w="1857"/>
        <w:gridCol w:w="1858"/>
        <w:gridCol w:w="1858"/>
        <w:gridCol w:w="1899"/>
        <w:gridCol w:w="78"/>
        <w:gridCol w:w="1693"/>
      </w:tblGrid>
      <w:tr w:rsidR="005B5D40" w:rsidTr="003E50C4">
        <w:trPr>
          <w:cantSplit/>
          <w:tblHeader/>
        </w:trPr>
        <w:tc>
          <w:tcPr>
            <w:tcW w:w="1005" w:type="pct"/>
            <w:tcBorders>
              <w:top w:val="single" w:sz="4" w:space="0" w:color="auto"/>
              <w:left w:val="single" w:sz="4" w:space="0" w:color="auto"/>
              <w:bottom w:val="single" w:sz="8" w:space="0" w:color="auto"/>
              <w:right w:val="nil"/>
            </w:tcBorders>
            <w:shd w:val="clear" w:color="auto" w:fill="D9D9D9"/>
          </w:tcPr>
          <w:p w:rsidR="005B5D40" w:rsidRDefault="005B5D40" w:rsidP="005B5D40">
            <w:pPr>
              <w:pStyle w:val="BodyTextTabelkop"/>
              <w:rPr>
                <w:sz w:val="14"/>
                <w:szCs w:val="14"/>
                <w:lang w:val="nl-NL"/>
              </w:rPr>
            </w:pPr>
            <w:r>
              <w:rPr>
                <w:sz w:val="14"/>
                <w:szCs w:val="14"/>
                <w:lang w:val="nl-NL"/>
              </w:rPr>
              <w:t>Polluent</w:t>
            </w:r>
          </w:p>
        </w:tc>
        <w:tc>
          <w:tcPr>
            <w:tcW w:w="1005" w:type="pct"/>
            <w:tcBorders>
              <w:top w:val="single" w:sz="4" w:space="0" w:color="auto"/>
              <w:left w:val="nil"/>
              <w:bottom w:val="single" w:sz="8" w:space="0" w:color="auto"/>
              <w:right w:val="nil"/>
            </w:tcBorders>
            <w:shd w:val="clear" w:color="auto" w:fill="D9D9D9"/>
          </w:tcPr>
          <w:p w:rsidR="005B5D40" w:rsidRDefault="005B5D40" w:rsidP="005B5D40">
            <w:pPr>
              <w:pStyle w:val="BodyTextTabelkop"/>
              <w:rPr>
                <w:sz w:val="14"/>
                <w:szCs w:val="14"/>
                <w:lang w:val="nl-NL"/>
              </w:rPr>
            </w:pPr>
            <w:r>
              <w:rPr>
                <w:sz w:val="14"/>
                <w:szCs w:val="14"/>
                <w:lang w:val="nl-NL"/>
              </w:rPr>
              <w:t>Middelingtijd</w:t>
            </w:r>
          </w:p>
        </w:tc>
        <w:tc>
          <w:tcPr>
            <w:tcW w:w="1005" w:type="pct"/>
            <w:tcBorders>
              <w:top w:val="single" w:sz="4" w:space="0" w:color="auto"/>
              <w:left w:val="nil"/>
              <w:bottom w:val="single" w:sz="8" w:space="0" w:color="auto"/>
              <w:right w:val="nil"/>
            </w:tcBorders>
            <w:shd w:val="clear" w:color="auto" w:fill="D9D9D9"/>
          </w:tcPr>
          <w:p w:rsidR="005B5D40" w:rsidRDefault="005B5D40" w:rsidP="005B5D40">
            <w:pPr>
              <w:pStyle w:val="BodyTextTabelkop"/>
              <w:rPr>
                <w:sz w:val="14"/>
                <w:szCs w:val="14"/>
                <w:lang w:val="nl-NL"/>
              </w:rPr>
            </w:pPr>
            <w:r>
              <w:rPr>
                <w:sz w:val="14"/>
                <w:szCs w:val="14"/>
                <w:lang w:val="nl-NL"/>
              </w:rPr>
              <w:t>Grenswaarde</w:t>
            </w:r>
          </w:p>
        </w:tc>
        <w:tc>
          <w:tcPr>
            <w:tcW w:w="1069" w:type="pct"/>
            <w:gridSpan w:val="2"/>
            <w:tcBorders>
              <w:top w:val="single" w:sz="4" w:space="0" w:color="auto"/>
              <w:left w:val="nil"/>
              <w:bottom w:val="single" w:sz="8" w:space="0" w:color="auto"/>
              <w:right w:val="nil"/>
            </w:tcBorders>
            <w:shd w:val="clear" w:color="auto" w:fill="D9D9D9"/>
          </w:tcPr>
          <w:p w:rsidR="005B5D40" w:rsidRDefault="005B5D40" w:rsidP="005B5D40">
            <w:pPr>
              <w:pStyle w:val="BodyTextTabelkop"/>
              <w:rPr>
                <w:sz w:val="14"/>
                <w:szCs w:val="14"/>
                <w:lang w:val="nl-NL"/>
              </w:rPr>
            </w:pPr>
            <w:r>
              <w:rPr>
                <w:sz w:val="14"/>
                <w:szCs w:val="14"/>
                <w:lang w:val="nl-NL"/>
              </w:rPr>
              <w:t>Overschrijdings</w:t>
            </w:r>
            <w:r>
              <w:rPr>
                <w:sz w:val="14"/>
                <w:szCs w:val="14"/>
                <w:lang w:val="nl-NL"/>
              </w:rPr>
              <w:softHyphen/>
              <w:t>marge</w:t>
            </w:r>
          </w:p>
        </w:tc>
        <w:tc>
          <w:tcPr>
            <w:tcW w:w="916" w:type="pct"/>
            <w:tcBorders>
              <w:top w:val="single" w:sz="4" w:space="0" w:color="auto"/>
              <w:left w:val="nil"/>
              <w:bottom w:val="single" w:sz="8" w:space="0" w:color="auto"/>
              <w:right w:val="single" w:sz="4" w:space="0" w:color="auto"/>
            </w:tcBorders>
            <w:shd w:val="clear" w:color="auto" w:fill="D9D9D9"/>
          </w:tcPr>
          <w:p w:rsidR="005B5D40" w:rsidRDefault="005B5D40" w:rsidP="005B5D40">
            <w:pPr>
              <w:pStyle w:val="BodyTextTabelkop"/>
              <w:rPr>
                <w:sz w:val="14"/>
                <w:szCs w:val="14"/>
                <w:lang w:val="nl-NL"/>
              </w:rPr>
            </w:pPr>
            <w:r>
              <w:rPr>
                <w:sz w:val="14"/>
                <w:szCs w:val="14"/>
                <w:lang w:val="nl-NL"/>
              </w:rPr>
              <w:t>Datum waarop aan de grenswaarde moet voldaan worden</w:t>
            </w:r>
          </w:p>
        </w:tc>
      </w:tr>
      <w:tr w:rsidR="005B5D40" w:rsidTr="006E7FF9">
        <w:trPr>
          <w:cantSplit/>
        </w:trPr>
        <w:tc>
          <w:tcPr>
            <w:tcW w:w="5000" w:type="pct"/>
            <w:gridSpan w:val="6"/>
            <w:tcBorders>
              <w:top w:val="single" w:sz="8" w:space="0" w:color="auto"/>
              <w:left w:val="single" w:sz="4" w:space="0" w:color="auto"/>
              <w:bottom w:val="single" w:sz="8" w:space="0" w:color="auto"/>
              <w:right w:val="single" w:sz="4" w:space="0" w:color="auto"/>
            </w:tcBorders>
          </w:tcPr>
          <w:p w:rsidR="005B5D40" w:rsidRDefault="005B5D40" w:rsidP="005B5D40">
            <w:pPr>
              <w:pStyle w:val="BodyTextTabel"/>
              <w:keepNext w:val="0"/>
              <w:rPr>
                <w:b/>
                <w:bCs/>
                <w:szCs w:val="16"/>
                <w:lang w:val="nl-NL"/>
              </w:rPr>
            </w:pPr>
            <w:r>
              <w:rPr>
                <w:b/>
                <w:bCs/>
                <w:szCs w:val="16"/>
                <w:lang w:val="nl-NL"/>
              </w:rPr>
              <w:t>Zwevende deeltjes (PM</w:t>
            </w:r>
            <w:r>
              <w:rPr>
                <w:b/>
                <w:bCs/>
                <w:szCs w:val="16"/>
                <w:vertAlign w:val="subscript"/>
                <w:lang w:val="nl-NL"/>
              </w:rPr>
              <w:t>10</w:t>
            </w:r>
            <w:r>
              <w:rPr>
                <w:b/>
                <w:bCs/>
                <w:szCs w:val="16"/>
                <w:lang w:val="nl-NL"/>
              </w:rPr>
              <w:t>)</w:t>
            </w:r>
          </w:p>
        </w:tc>
      </w:tr>
      <w:tr w:rsidR="005B5D40" w:rsidTr="003E50C4">
        <w:trPr>
          <w:cantSplit/>
          <w:trHeight w:val="2238"/>
        </w:trPr>
        <w:tc>
          <w:tcPr>
            <w:tcW w:w="1005" w:type="pct"/>
            <w:tcBorders>
              <w:top w:val="single" w:sz="8" w:space="0" w:color="auto"/>
              <w:left w:val="single" w:sz="4" w:space="0" w:color="auto"/>
              <w:bottom w:val="nil"/>
              <w:right w:val="nil"/>
            </w:tcBorders>
          </w:tcPr>
          <w:p w:rsidR="005B5D40" w:rsidRDefault="005B5D40" w:rsidP="005B5D40">
            <w:pPr>
              <w:pStyle w:val="BodyTextTabel"/>
              <w:keepNext w:val="0"/>
              <w:rPr>
                <w:szCs w:val="16"/>
                <w:lang w:val="nl-NL"/>
              </w:rPr>
            </w:pPr>
            <w:r>
              <w:rPr>
                <w:szCs w:val="16"/>
                <w:lang w:val="nl-NL"/>
              </w:rPr>
              <w:t>Daggrenswaarde voor de bescherming van de gezondheid van de mens</w:t>
            </w:r>
          </w:p>
        </w:tc>
        <w:tc>
          <w:tcPr>
            <w:tcW w:w="1005" w:type="pct"/>
            <w:tcBorders>
              <w:top w:val="single" w:sz="8" w:space="0" w:color="auto"/>
              <w:left w:val="nil"/>
              <w:bottom w:val="nil"/>
              <w:right w:val="nil"/>
            </w:tcBorders>
          </w:tcPr>
          <w:p w:rsidR="005B5D40" w:rsidRDefault="005B5D40" w:rsidP="005B5D40">
            <w:pPr>
              <w:pStyle w:val="BodyTextTabel"/>
              <w:keepNext w:val="0"/>
              <w:rPr>
                <w:szCs w:val="16"/>
                <w:lang w:val="nl-NL"/>
              </w:rPr>
            </w:pPr>
            <w:r>
              <w:rPr>
                <w:szCs w:val="16"/>
                <w:lang w:val="nl-NL"/>
              </w:rPr>
              <w:t>24 uur</w:t>
            </w:r>
          </w:p>
        </w:tc>
        <w:tc>
          <w:tcPr>
            <w:tcW w:w="1005" w:type="pct"/>
            <w:tcBorders>
              <w:top w:val="single" w:sz="8" w:space="0" w:color="auto"/>
              <w:left w:val="nil"/>
              <w:bottom w:val="nil"/>
              <w:right w:val="nil"/>
            </w:tcBorders>
          </w:tcPr>
          <w:p w:rsidR="005B5D40" w:rsidRDefault="005B5D40" w:rsidP="005B5D40">
            <w:pPr>
              <w:pStyle w:val="BodyTextTabel"/>
              <w:keepNext w:val="0"/>
              <w:rPr>
                <w:szCs w:val="16"/>
                <w:lang w:val="nl-NL"/>
              </w:rPr>
            </w:pPr>
            <w:r>
              <w:rPr>
                <w:szCs w:val="16"/>
                <w:lang w:val="nl-NL"/>
              </w:rPr>
              <w:t>50 µg/m</w:t>
            </w:r>
            <w:r>
              <w:rPr>
                <w:szCs w:val="16"/>
                <w:vertAlign w:val="superscript"/>
                <w:lang w:val="nl-NL"/>
              </w:rPr>
              <w:t>3</w:t>
            </w:r>
            <w:r>
              <w:rPr>
                <w:szCs w:val="16"/>
                <w:lang w:val="nl-NL"/>
              </w:rPr>
              <w:t xml:space="preserve"> PM</w:t>
            </w:r>
            <w:r>
              <w:rPr>
                <w:szCs w:val="16"/>
                <w:vertAlign w:val="subscript"/>
                <w:lang w:val="nl-NL"/>
              </w:rPr>
              <w:t xml:space="preserve">10 </w:t>
            </w:r>
            <w:r>
              <w:rPr>
                <w:szCs w:val="16"/>
                <w:lang w:val="nl-NL"/>
              </w:rPr>
              <w:t xml:space="preserve">mag niet meer dan 35 keer per jaar worden overschreden. (35/365 -&gt; P 90,40 - </w:t>
            </w:r>
          </w:p>
        </w:tc>
        <w:tc>
          <w:tcPr>
            <w:tcW w:w="1069" w:type="pct"/>
            <w:gridSpan w:val="2"/>
            <w:tcBorders>
              <w:top w:val="single" w:sz="8" w:space="0" w:color="auto"/>
              <w:left w:val="nil"/>
              <w:bottom w:val="nil"/>
              <w:right w:val="nil"/>
            </w:tcBorders>
          </w:tcPr>
          <w:p w:rsidR="005B5D40" w:rsidRDefault="005B5D40" w:rsidP="005B5D40">
            <w:pPr>
              <w:pStyle w:val="BodyTextTabel"/>
              <w:keepNext w:val="0"/>
              <w:rPr>
                <w:szCs w:val="16"/>
                <w:lang w:val="nl-NL"/>
              </w:rPr>
            </w:pPr>
            <w:r>
              <w:rPr>
                <w:szCs w:val="16"/>
                <w:lang w:val="nl-NL"/>
              </w:rPr>
              <w:t>50% bij de inwerking</w:t>
            </w:r>
            <w:r>
              <w:rPr>
                <w:szCs w:val="16"/>
                <w:lang w:val="nl-NL"/>
              </w:rPr>
              <w:softHyphen/>
              <w:t>treding van deze richtlijn, op 1 januari 2001 en daarna om de twaalf maanden met een gelijkblijvend jaarpercentage afnemend tot 0% uiterlijk 1 januari 2005</w:t>
            </w:r>
          </w:p>
        </w:tc>
        <w:tc>
          <w:tcPr>
            <w:tcW w:w="916" w:type="pct"/>
            <w:tcBorders>
              <w:top w:val="single" w:sz="8" w:space="0" w:color="auto"/>
              <w:left w:val="nil"/>
              <w:bottom w:val="nil"/>
              <w:right w:val="single" w:sz="4" w:space="0" w:color="auto"/>
            </w:tcBorders>
          </w:tcPr>
          <w:p w:rsidR="005B5D40" w:rsidRDefault="005B5D40" w:rsidP="005B5D40">
            <w:pPr>
              <w:pStyle w:val="BodyTextTabel"/>
              <w:keepNext w:val="0"/>
              <w:rPr>
                <w:szCs w:val="16"/>
                <w:lang w:val="nl-NL"/>
              </w:rPr>
            </w:pPr>
            <w:r>
              <w:rPr>
                <w:szCs w:val="16"/>
                <w:lang w:val="nl-NL"/>
              </w:rPr>
              <w:t>1 januari 2005</w:t>
            </w:r>
          </w:p>
        </w:tc>
      </w:tr>
      <w:tr w:rsidR="005B5D40" w:rsidTr="003E50C4">
        <w:trPr>
          <w:cantSplit/>
          <w:trHeight w:val="2545"/>
        </w:trPr>
        <w:tc>
          <w:tcPr>
            <w:tcW w:w="1005" w:type="pct"/>
            <w:tcBorders>
              <w:top w:val="nil"/>
              <w:left w:val="single" w:sz="4" w:space="0" w:color="auto"/>
              <w:bottom w:val="single" w:sz="8" w:space="0" w:color="auto"/>
              <w:right w:val="nil"/>
            </w:tcBorders>
          </w:tcPr>
          <w:p w:rsidR="005B5D40" w:rsidRDefault="005B5D40" w:rsidP="005B5D40">
            <w:pPr>
              <w:pStyle w:val="BodyTextTabel"/>
              <w:keepNext w:val="0"/>
              <w:rPr>
                <w:szCs w:val="16"/>
                <w:lang w:val="nl-NL"/>
              </w:rPr>
            </w:pPr>
            <w:r>
              <w:rPr>
                <w:szCs w:val="16"/>
                <w:lang w:val="nl-NL"/>
              </w:rPr>
              <w:t>Jaargrenswaarde voor de bescherming van de gezondheid van de mens</w:t>
            </w:r>
          </w:p>
        </w:tc>
        <w:tc>
          <w:tcPr>
            <w:tcW w:w="1005" w:type="pct"/>
            <w:tcBorders>
              <w:top w:val="nil"/>
              <w:left w:val="nil"/>
              <w:bottom w:val="single" w:sz="8" w:space="0" w:color="auto"/>
              <w:right w:val="nil"/>
            </w:tcBorders>
          </w:tcPr>
          <w:p w:rsidR="005B5D40" w:rsidRDefault="005B5D40" w:rsidP="005B5D40">
            <w:pPr>
              <w:pStyle w:val="BodyTextTabel"/>
              <w:keepNext w:val="0"/>
              <w:rPr>
                <w:szCs w:val="16"/>
                <w:lang w:val="nl-NL"/>
              </w:rPr>
            </w:pPr>
            <w:r>
              <w:rPr>
                <w:szCs w:val="16"/>
                <w:lang w:val="nl-NL"/>
              </w:rPr>
              <w:t>kalenderjaar</w:t>
            </w:r>
          </w:p>
        </w:tc>
        <w:tc>
          <w:tcPr>
            <w:tcW w:w="1005" w:type="pct"/>
            <w:tcBorders>
              <w:top w:val="nil"/>
              <w:left w:val="nil"/>
              <w:bottom w:val="single" w:sz="8" w:space="0" w:color="auto"/>
              <w:right w:val="nil"/>
            </w:tcBorders>
          </w:tcPr>
          <w:p w:rsidR="005B5D40" w:rsidRDefault="005B5D40" w:rsidP="005B5D40">
            <w:pPr>
              <w:pStyle w:val="BodyTextTabel"/>
              <w:keepNext w:val="0"/>
              <w:rPr>
                <w:szCs w:val="16"/>
                <w:vertAlign w:val="subscript"/>
                <w:lang w:val="nl-NL"/>
              </w:rPr>
            </w:pPr>
            <w:r>
              <w:rPr>
                <w:szCs w:val="16"/>
                <w:lang w:val="nl-NL"/>
              </w:rPr>
              <w:t>40 µg/m</w:t>
            </w:r>
            <w:r>
              <w:rPr>
                <w:szCs w:val="16"/>
                <w:vertAlign w:val="superscript"/>
                <w:lang w:val="nl-NL"/>
              </w:rPr>
              <w:t>3</w:t>
            </w:r>
            <w:r>
              <w:rPr>
                <w:szCs w:val="16"/>
                <w:lang w:val="nl-NL"/>
              </w:rPr>
              <w:t xml:space="preserve"> PM</w:t>
            </w:r>
            <w:r>
              <w:rPr>
                <w:szCs w:val="16"/>
                <w:vertAlign w:val="subscript"/>
                <w:lang w:val="nl-NL"/>
              </w:rPr>
              <w:t>10</w:t>
            </w:r>
          </w:p>
          <w:p w:rsidR="005B5D40" w:rsidRDefault="005B5D40" w:rsidP="005B5D40">
            <w:pPr>
              <w:pStyle w:val="BodyTextTabel"/>
              <w:keepNext w:val="0"/>
              <w:rPr>
                <w:szCs w:val="16"/>
                <w:lang w:val="nl-NL"/>
              </w:rPr>
            </w:pPr>
          </w:p>
        </w:tc>
        <w:tc>
          <w:tcPr>
            <w:tcW w:w="1069" w:type="pct"/>
            <w:gridSpan w:val="2"/>
            <w:tcBorders>
              <w:top w:val="nil"/>
              <w:left w:val="nil"/>
              <w:bottom w:val="single" w:sz="8" w:space="0" w:color="auto"/>
              <w:right w:val="nil"/>
            </w:tcBorders>
          </w:tcPr>
          <w:p w:rsidR="005B5D40" w:rsidRDefault="005B5D40" w:rsidP="005B5D40">
            <w:pPr>
              <w:pStyle w:val="BodyTextTabel"/>
              <w:keepNext w:val="0"/>
              <w:rPr>
                <w:szCs w:val="16"/>
                <w:lang w:val="nl-NL"/>
              </w:rPr>
            </w:pPr>
            <w:r>
              <w:rPr>
                <w:szCs w:val="16"/>
                <w:lang w:val="nl-NL"/>
              </w:rPr>
              <w:t>20% bij de inwerking</w:t>
            </w:r>
            <w:r>
              <w:rPr>
                <w:szCs w:val="16"/>
                <w:lang w:val="nl-NL"/>
              </w:rPr>
              <w:softHyphen/>
              <w:t>treding van deze richtlijn, op 1 januari 2001 en daarna om de twaalf maanden met een gelijkblijvend jaarpercentage afnemend tot 0% uiterlijk 1 januari 2005</w:t>
            </w:r>
          </w:p>
        </w:tc>
        <w:tc>
          <w:tcPr>
            <w:tcW w:w="916" w:type="pct"/>
            <w:tcBorders>
              <w:top w:val="nil"/>
              <w:left w:val="nil"/>
              <w:bottom w:val="single" w:sz="8" w:space="0" w:color="auto"/>
              <w:right w:val="single" w:sz="4" w:space="0" w:color="auto"/>
            </w:tcBorders>
          </w:tcPr>
          <w:p w:rsidR="005B5D40" w:rsidRDefault="005B5D40" w:rsidP="005B5D40">
            <w:pPr>
              <w:pStyle w:val="BodyTextTabel"/>
              <w:keepNext w:val="0"/>
              <w:rPr>
                <w:szCs w:val="16"/>
                <w:lang w:val="nl-NL"/>
              </w:rPr>
            </w:pPr>
            <w:r>
              <w:rPr>
                <w:szCs w:val="16"/>
                <w:lang w:val="nl-NL"/>
              </w:rPr>
              <w:t>1 januari 2005</w:t>
            </w:r>
          </w:p>
        </w:tc>
      </w:tr>
      <w:tr w:rsidR="005B5D40" w:rsidTr="006E7FF9">
        <w:trPr>
          <w:cantSplit/>
        </w:trPr>
        <w:tc>
          <w:tcPr>
            <w:tcW w:w="5000" w:type="pct"/>
            <w:gridSpan w:val="6"/>
            <w:tcBorders>
              <w:top w:val="nil"/>
              <w:left w:val="single" w:sz="4" w:space="0" w:color="auto"/>
              <w:bottom w:val="nil"/>
              <w:right w:val="single" w:sz="4" w:space="0" w:color="auto"/>
            </w:tcBorders>
          </w:tcPr>
          <w:p w:rsidR="005B5D40" w:rsidRDefault="005B5D40" w:rsidP="005B5D40">
            <w:pPr>
              <w:pStyle w:val="BodyTextTabel"/>
              <w:keepNext w:val="0"/>
              <w:rPr>
                <w:szCs w:val="16"/>
                <w:lang w:val="nl-NL"/>
              </w:rPr>
            </w:pPr>
            <w:r>
              <w:rPr>
                <w:b/>
                <w:bCs/>
                <w:szCs w:val="16"/>
                <w:lang w:val="nl-NL"/>
              </w:rPr>
              <w:lastRenderedPageBreak/>
              <w:t>Zwevende deeltjes (PM</w:t>
            </w:r>
            <w:r>
              <w:rPr>
                <w:b/>
                <w:bCs/>
                <w:szCs w:val="16"/>
                <w:vertAlign w:val="subscript"/>
                <w:lang w:val="nl-NL"/>
              </w:rPr>
              <w:t>2,5</w:t>
            </w:r>
            <w:r>
              <w:rPr>
                <w:b/>
                <w:bCs/>
                <w:szCs w:val="16"/>
                <w:lang w:val="nl-NL"/>
              </w:rPr>
              <w:t>)</w:t>
            </w:r>
          </w:p>
        </w:tc>
      </w:tr>
      <w:tr w:rsidR="005B5D40" w:rsidTr="003E50C4">
        <w:trPr>
          <w:cantSplit/>
        </w:trPr>
        <w:tc>
          <w:tcPr>
            <w:tcW w:w="1005" w:type="pct"/>
            <w:tcBorders>
              <w:top w:val="nil"/>
              <w:left w:val="single" w:sz="4" w:space="0" w:color="auto"/>
              <w:bottom w:val="nil"/>
              <w:right w:val="nil"/>
            </w:tcBorders>
          </w:tcPr>
          <w:p w:rsidR="005B5D40" w:rsidRDefault="005B5D40" w:rsidP="005B5D40">
            <w:pPr>
              <w:pStyle w:val="BodyTextTabel"/>
              <w:keepNext w:val="0"/>
              <w:rPr>
                <w:szCs w:val="16"/>
                <w:lang w:val="nl-NL"/>
              </w:rPr>
            </w:pPr>
            <w:r>
              <w:rPr>
                <w:szCs w:val="16"/>
                <w:lang w:val="nl-NL"/>
              </w:rPr>
              <w:t>Jaargrenswaarde voor de bescherming van de gezondheid van de mens</w:t>
            </w:r>
          </w:p>
        </w:tc>
        <w:tc>
          <w:tcPr>
            <w:tcW w:w="1005" w:type="pct"/>
            <w:tcBorders>
              <w:top w:val="nil"/>
              <w:left w:val="nil"/>
              <w:bottom w:val="nil"/>
              <w:right w:val="nil"/>
            </w:tcBorders>
          </w:tcPr>
          <w:p w:rsidR="005B5D40" w:rsidRDefault="005B5D40" w:rsidP="005B5D40">
            <w:pPr>
              <w:pStyle w:val="BodyTextTabel"/>
              <w:keepNext w:val="0"/>
              <w:rPr>
                <w:szCs w:val="16"/>
                <w:lang w:val="nl-NL"/>
              </w:rPr>
            </w:pPr>
            <w:r>
              <w:rPr>
                <w:szCs w:val="16"/>
                <w:lang w:val="nl-NL"/>
              </w:rPr>
              <w:t>kalenderjaar</w:t>
            </w:r>
          </w:p>
        </w:tc>
        <w:tc>
          <w:tcPr>
            <w:tcW w:w="1005" w:type="pct"/>
            <w:tcBorders>
              <w:top w:val="nil"/>
              <w:left w:val="nil"/>
              <w:bottom w:val="nil"/>
              <w:right w:val="nil"/>
            </w:tcBorders>
          </w:tcPr>
          <w:p w:rsidR="005B5D40" w:rsidRDefault="005B5D40" w:rsidP="005B5D40">
            <w:pPr>
              <w:pStyle w:val="BodyTextTabel"/>
              <w:keepNext w:val="0"/>
              <w:rPr>
                <w:szCs w:val="16"/>
                <w:lang w:val="nl-NL"/>
              </w:rPr>
            </w:pPr>
            <w:r>
              <w:rPr>
                <w:szCs w:val="16"/>
                <w:lang w:val="nl-NL"/>
              </w:rPr>
              <w:t>25 µg/m</w:t>
            </w:r>
            <w:r>
              <w:rPr>
                <w:szCs w:val="16"/>
                <w:vertAlign w:val="superscript"/>
                <w:lang w:val="nl-NL"/>
              </w:rPr>
              <w:t>3</w:t>
            </w:r>
            <w:r>
              <w:rPr>
                <w:szCs w:val="16"/>
                <w:lang w:val="nl-NL"/>
              </w:rPr>
              <w:t xml:space="preserve"> PM</w:t>
            </w:r>
            <w:r>
              <w:rPr>
                <w:szCs w:val="16"/>
                <w:vertAlign w:val="subscript"/>
                <w:lang w:val="nl-NL"/>
              </w:rPr>
              <w:t>2,5</w:t>
            </w:r>
            <w:r>
              <w:rPr>
                <w:szCs w:val="16"/>
                <w:lang w:val="nl-NL"/>
              </w:rPr>
              <w:t xml:space="preserve"> </w:t>
            </w:r>
            <w:r>
              <w:rPr>
                <w:szCs w:val="16"/>
                <w:vertAlign w:val="superscript"/>
                <w:lang w:val="nl-NL"/>
              </w:rPr>
              <w:t>1</w:t>
            </w:r>
          </w:p>
        </w:tc>
        <w:tc>
          <w:tcPr>
            <w:tcW w:w="1985" w:type="pct"/>
            <w:gridSpan w:val="3"/>
            <w:tcBorders>
              <w:top w:val="nil"/>
              <w:left w:val="nil"/>
              <w:bottom w:val="nil"/>
              <w:right w:val="single" w:sz="4" w:space="0" w:color="auto"/>
            </w:tcBorders>
          </w:tcPr>
          <w:p w:rsidR="005B5D40" w:rsidRDefault="005B5D40" w:rsidP="005B5D40">
            <w:pPr>
              <w:pStyle w:val="BodyTextTabel"/>
              <w:keepNext w:val="0"/>
              <w:rPr>
                <w:szCs w:val="16"/>
                <w:lang w:val="nl-NL"/>
              </w:rPr>
            </w:pPr>
          </w:p>
        </w:tc>
      </w:tr>
      <w:tr w:rsidR="005B5D40" w:rsidTr="006E7FF9">
        <w:trPr>
          <w:cantSplit/>
        </w:trPr>
        <w:tc>
          <w:tcPr>
            <w:tcW w:w="5000" w:type="pct"/>
            <w:gridSpan w:val="6"/>
            <w:tcBorders>
              <w:top w:val="single" w:sz="8" w:space="0" w:color="auto"/>
              <w:left w:val="single" w:sz="4" w:space="0" w:color="auto"/>
              <w:bottom w:val="single" w:sz="8" w:space="0" w:color="auto"/>
              <w:right w:val="single" w:sz="4" w:space="0" w:color="auto"/>
            </w:tcBorders>
          </w:tcPr>
          <w:p w:rsidR="005B5D40" w:rsidRDefault="005B5D40" w:rsidP="005B5D40">
            <w:pPr>
              <w:pStyle w:val="BodyTextTabel"/>
              <w:keepNext w:val="0"/>
              <w:rPr>
                <w:b/>
                <w:bCs/>
                <w:szCs w:val="16"/>
                <w:lang w:val="nl-NL"/>
              </w:rPr>
            </w:pPr>
            <w:r>
              <w:rPr>
                <w:szCs w:val="16"/>
                <w:vertAlign w:val="superscript"/>
              </w:rPr>
              <w:t>1</w:t>
            </w:r>
            <w:r>
              <w:rPr>
                <w:szCs w:val="16"/>
              </w:rPr>
              <w:t xml:space="preserve"> : tot 2015 geldt de waarde als streefwaarde; voor 2020 staat een indicatieve waarde van 20 µg/m³ vermeld. </w:t>
            </w:r>
          </w:p>
        </w:tc>
      </w:tr>
      <w:tr w:rsidR="005B5D40" w:rsidTr="006E7FF9">
        <w:trPr>
          <w:cantSplit/>
        </w:trPr>
        <w:tc>
          <w:tcPr>
            <w:tcW w:w="5000" w:type="pct"/>
            <w:gridSpan w:val="6"/>
            <w:tcBorders>
              <w:top w:val="single" w:sz="8" w:space="0" w:color="auto"/>
              <w:left w:val="single" w:sz="4" w:space="0" w:color="auto"/>
              <w:bottom w:val="single" w:sz="8" w:space="0" w:color="auto"/>
              <w:right w:val="single" w:sz="4" w:space="0" w:color="auto"/>
            </w:tcBorders>
          </w:tcPr>
          <w:p w:rsidR="005B5D40" w:rsidRDefault="005B5D40" w:rsidP="005B5D40">
            <w:pPr>
              <w:pStyle w:val="BodyTextTabel"/>
              <w:keepNext w:val="0"/>
              <w:rPr>
                <w:b/>
                <w:bCs/>
                <w:sz w:val="14"/>
                <w:szCs w:val="14"/>
                <w:lang w:val="nl-NL"/>
              </w:rPr>
            </w:pPr>
            <w:r>
              <w:rPr>
                <w:b/>
                <w:bCs/>
                <w:sz w:val="14"/>
                <w:szCs w:val="14"/>
                <w:lang w:val="nl-NL"/>
              </w:rPr>
              <w:t>Stikstofdioxide (NO</w:t>
            </w:r>
            <w:r>
              <w:rPr>
                <w:b/>
                <w:bCs/>
                <w:sz w:val="14"/>
                <w:szCs w:val="14"/>
                <w:vertAlign w:val="subscript"/>
                <w:lang w:val="nl-NL"/>
              </w:rPr>
              <w:t>2</w:t>
            </w:r>
            <w:r>
              <w:rPr>
                <w:b/>
                <w:bCs/>
                <w:sz w:val="14"/>
                <w:szCs w:val="14"/>
                <w:lang w:val="nl-NL"/>
              </w:rPr>
              <w:t>) en stikstofoxiden (NO</w:t>
            </w:r>
            <w:r>
              <w:rPr>
                <w:b/>
                <w:bCs/>
                <w:sz w:val="14"/>
                <w:szCs w:val="14"/>
                <w:vertAlign w:val="subscript"/>
                <w:lang w:val="nl-NL"/>
              </w:rPr>
              <w:t>X</w:t>
            </w:r>
            <w:r>
              <w:rPr>
                <w:b/>
                <w:bCs/>
                <w:sz w:val="14"/>
                <w:szCs w:val="14"/>
                <w:lang w:val="nl-NL"/>
              </w:rPr>
              <w:t>)</w:t>
            </w:r>
          </w:p>
        </w:tc>
      </w:tr>
      <w:tr w:rsidR="005B5D40" w:rsidTr="003E50C4">
        <w:trPr>
          <w:cantSplit/>
        </w:trPr>
        <w:tc>
          <w:tcPr>
            <w:tcW w:w="1005" w:type="pct"/>
            <w:tcBorders>
              <w:top w:val="single" w:sz="8" w:space="0" w:color="auto"/>
              <w:left w:val="single" w:sz="4" w:space="0" w:color="auto"/>
              <w:bottom w:val="nil"/>
              <w:right w:val="nil"/>
            </w:tcBorders>
          </w:tcPr>
          <w:p w:rsidR="005B5D40" w:rsidRDefault="005B5D40" w:rsidP="005B5D40">
            <w:pPr>
              <w:pStyle w:val="BodyTextTabel"/>
              <w:keepNext w:val="0"/>
              <w:rPr>
                <w:sz w:val="14"/>
                <w:szCs w:val="14"/>
                <w:lang w:val="nl-NL"/>
              </w:rPr>
            </w:pPr>
            <w:r>
              <w:rPr>
                <w:sz w:val="14"/>
                <w:szCs w:val="14"/>
                <w:lang w:val="nl-NL"/>
              </w:rPr>
              <w:t>Uurgrenswaarde voor de bescherming van de gezondheid van de mens</w:t>
            </w:r>
          </w:p>
        </w:tc>
        <w:tc>
          <w:tcPr>
            <w:tcW w:w="1005" w:type="pct"/>
            <w:tcBorders>
              <w:top w:val="single" w:sz="8" w:space="0" w:color="auto"/>
              <w:left w:val="nil"/>
              <w:bottom w:val="nil"/>
              <w:right w:val="nil"/>
            </w:tcBorders>
          </w:tcPr>
          <w:p w:rsidR="005B5D40" w:rsidRDefault="005B5D40" w:rsidP="005B5D40">
            <w:pPr>
              <w:pStyle w:val="BodyTextTabel"/>
              <w:keepNext w:val="0"/>
              <w:rPr>
                <w:sz w:val="14"/>
                <w:szCs w:val="14"/>
                <w:lang w:val="nl-NL"/>
              </w:rPr>
            </w:pPr>
            <w:r>
              <w:rPr>
                <w:sz w:val="14"/>
                <w:szCs w:val="14"/>
                <w:lang w:val="nl-NL"/>
              </w:rPr>
              <w:t>1 uur</w:t>
            </w:r>
          </w:p>
        </w:tc>
        <w:tc>
          <w:tcPr>
            <w:tcW w:w="1005" w:type="pct"/>
            <w:tcBorders>
              <w:top w:val="single" w:sz="8" w:space="0" w:color="auto"/>
              <w:left w:val="nil"/>
              <w:bottom w:val="nil"/>
              <w:right w:val="nil"/>
            </w:tcBorders>
          </w:tcPr>
          <w:p w:rsidR="005B5D40" w:rsidRDefault="005B5D40" w:rsidP="005B5D40">
            <w:pPr>
              <w:pStyle w:val="BodyTextTabel"/>
              <w:keepNext w:val="0"/>
              <w:rPr>
                <w:sz w:val="14"/>
                <w:szCs w:val="14"/>
                <w:lang w:val="nl-NL"/>
              </w:rPr>
            </w:pPr>
            <w:r>
              <w:rPr>
                <w:sz w:val="14"/>
                <w:szCs w:val="14"/>
                <w:lang w:val="nl-NL"/>
              </w:rPr>
              <w:t>200 µg/m</w:t>
            </w:r>
            <w:r>
              <w:rPr>
                <w:sz w:val="14"/>
                <w:szCs w:val="14"/>
                <w:vertAlign w:val="superscript"/>
                <w:lang w:val="nl-NL"/>
              </w:rPr>
              <w:t>3</w:t>
            </w:r>
            <w:r>
              <w:rPr>
                <w:sz w:val="14"/>
                <w:szCs w:val="14"/>
                <w:lang w:val="nl-NL"/>
              </w:rPr>
              <w:t xml:space="preserve"> NO</w:t>
            </w:r>
            <w:r>
              <w:rPr>
                <w:sz w:val="14"/>
                <w:szCs w:val="14"/>
                <w:vertAlign w:val="subscript"/>
                <w:lang w:val="nl-NL"/>
              </w:rPr>
              <w:t>2</w:t>
            </w:r>
            <w:r>
              <w:rPr>
                <w:sz w:val="14"/>
                <w:szCs w:val="14"/>
                <w:lang w:val="nl-NL"/>
              </w:rPr>
              <w:t xml:space="preserve"> mag niet meer dan 18 keer per kalenderjaar worden overschreden (18/8760 -&gt; P 99,79 - </w:t>
            </w:r>
          </w:p>
        </w:tc>
        <w:tc>
          <w:tcPr>
            <w:tcW w:w="1985" w:type="pct"/>
            <w:gridSpan w:val="3"/>
            <w:tcBorders>
              <w:top w:val="single" w:sz="8" w:space="0" w:color="auto"/>
              <w:left w:val="nil"/>
              <w:bottom w:val="nil"/>
              <w:right w:val="single" w:sz="4" w:space="0" w:color="auto"/>
            </w:tcBorders>
          </w:tcPr>
          <w:p w:rsidR="005B5D40" w:rsidRDefault="005B5D40" w:rsidP="005B5D40">
            <w:pPr>
              <w:pStyle w:val="BodyTextTabel"/>
              <w:keepNext w:val="0"/>
              <w:rPr>
                <w:sz w:val="14"/>
                <w:szCs w:val="14"/>
                <w:lang w:val="nl-NL"/>
              </w:rPr>
            </w:pPr>
            <w:r>
              <w:rPr>
                <w:sz w:val="14"/>
                <w:szCs w:val="14"/>
                <w:lang w:val="nl-NL"/>
              </w:rPr>
              <w:t>50% bij de inwerking</w:t>
            </w:r>
            <w:r>
              <w:rPr>
                <w:sz w:val="14"/>
                <w:szCs w:val="14"/>
                <w:lang w:val="nl-NL"/>
              </w:rPr>
              <w:softHyphen/>
              <w:t>treding van deze richtlijn, op 1 januari 2001 en daarna om de twaalf maanden met een gelijkblijvend jaarpercentage afnemend tot 0%</w:t>
            </w:r>
          </w:p>
        </w:tc>
      </w:tr>
      <w:tr w:rsidR="005B5D40" w:rsidTr="003E50C4">
        <w:trPr>
          <w:cantSplit/>
        </w:trPr>
        <w:tc>
          <w:tcPr>
            <w:tcW w:w="1005" w:type="pct"/>
            <w:tcBorders>
              <w:top w:val="nil"/>
              <w:left w:val="single" w:sz="4" w:space="0" w:color="auto"/>
              <w:bottom w:val="nil"/>
              <w:right w:val="nil"/>
            </w:tcBorders>
          </w:tcPr>
          <w:p w:rsidR="005B5D40" w:rsidRDefault="005B5D40" w:rsidP="005B5D40">
            <w:pPr>
              <w:pStyle w:val="BodyTextTabel"/>
              <w:keepNext w:val="0"/>
              <w:rPr>
                <w:sz w:val="14"/>
                <w:szCs w:val="14"/>
                <w:lang w:val="nl-NL"/>
              </w:rPr>
            </w:pPr>
            <w:r>
              <w:rPr>
                <w:sz w:val="14"/>
                <w:szCs w:val="14"/>
                <w:lang w:val="nl-NL"/>
              </w:rPr>
              <w:t>jaargrenswaarde voor de bescherming van de gezondheid van de mens</w:t>
            </w:r>
          </w:p>
        </w:tc>
        <w:tc>
          <w:tcPr>
            <w:tcW w:w="1005" w:type="pct"/>
            <w:tcBorders>
              <w:top w:val="nil"/>
              <w:left w:val="nil"/>
              <w:bottom w:val="nil"/>
              <w:right w:val="nil"/>
            </w:tcBorders>
          </w:tcPr>
          <w:p w:rsidR="005B5D40" w:rsidRDefault="005B5D40" w:rsidP="005B5D40">
            <w:pPr>
              <w:pStyle w:val="BodyTextTabel"/>
              <w:keepNext w:val="0"/>
              <w:rPr>
                <w:sz w:val="14"/>
                <w:szCs w:val="14"/>
                <w:lang w:val="nl-NL"/>
              </w:rPr>
            </w:pPr>
            <w:r>
              <w:rPr>
                <w:sz w:val="14"/>
                <w:szCs w:val="14"/>
                <w:lang w:val="nl-NL"/>
              </w:rPr>
              <w:t>Kalenderjaar</w:t>
            </w:r>
          </w:p>
        </w:tc>
        <w:tc>
          <w:tcPr>
            <w:tcW w:w="1005" w:type="pct"/>
            <w:tcBorders>
              <w:top w:val="nil"/>
              <w:left w:val="nil"/>
              <w:bottom w:val="nil"/>
              <w:right w:val="nil"/>
            </w:tcBorders>
          </w:tcPr>
          <w:p w:rsidR="005B5D40" w:rsidRDefault="005B5D40" w:rsidP="005B5D40">
            <w:pPr>
              <w:pStyle w:val="BodyTextTabel"/>
              <w:keepNext w:val="0"/>
              <w:rPr>
                <w:sz w:val="14"/>
                <w:szCs w:val="14"/>
                <w:vertAlign w:val="subscript"/>
                <w:lang w:val="nl-NL"/>
              </w:rPr>
            </w:pPr>
            <w:r>
              <w:rPr>
                <w:sz w:val="14"/>
                <w:szCs w:val="14"/>
                <w:lang w:val="nl-NL"/>
              </w:rPr>
              <w:t>40 µg/m</w:t>
            </w:r>
            <w:r>
              <w:rPr>
                <w:sz w:val="14"/>
                <w:szCs w:val="14"/>
                <w:vertAlign w:val="superscript"/>
                <w:lang w:val="nl-NL"/>
              </w:rPr>
              <w:t>3</w:t>
            </w:r>
            <w:r>
              <w:rPr>
                <w:sz w:val="14"/>
                <w:szCs w:val="14"/>
                <w:lang w:val="nl-NL"/>
              </w:rPr>
              <w:t xml:space="preserve"> NO</w:t>
            </w:r>
            <w:r>
              <w:rPr>
                <w:sz w:val="14"/>
                <w:szCs w:val="14"/>
                <w:vertAlign w:val="subscript"/>
                <w:lang w:val="nl-NL"/>
              </w:rPr>
              <w:t>2</w:t>
            </w:r>
          </w:p>
          <w:p w:rsidR="005B5D40" w:rsidRDefault="005B5D40" w:rsidP="005B5D40">
            <w:pPr>
              <w:pStyle w:val="BodyTextTabel"/>
              <w:keepNext w:val="0"/>
              <w:rPr>
                <w:sz w:val="14"/>
                <w:szCs w:val="14"/>
                <w:lang w:val="nl-NL"/>
              </w:rPr>
            </w:pPr>
          </w:p>
        </w:tc>
        <w:tc>
          <w:tcPr>
            <w:tcW w:w="1985" w:type="pct"/>
            <w:gridSpan w:val="3"/>
            <w:tcBorders>
              <w:top w:val="nil"/>
              <w:left w:val="nil"/>
              <w:bottom w:val="nil"/>
              <w:right w:val="single" w:sz="4" w:space="0" w:color="auto"/>
            </w:tcBorders>
          </w:tcPr>
          <w:p w:rsidR="005B5D40" w:rsidRDefault="005B5D40" w:rsidP="005B5D40">
            <w:pPr>
              <w:pStyle w:val="BodyTextTabel"/>
              <w:keepNext w:val="0"/>
              <w:rPr>
                <w:sz w:val="14"/>
                <w:szCs w:val="14"/>
                <w:lang w:val="nl-NL"/>
              </w:rPr>
            </w:pPr>
            <w:r>
              <w:rPr>
                <w:sz w:val="14"/>
                <w:szCs w:val="14"/>
                <w:lang w:val="nl-NL"/>
              </w:rPr>
              <w:t>50% bij de inwerking</w:t>
            </w:r>
            <w:r>
              <w:rPr>
                <w:sz w:val="14"/>
                <w:szCs w:val="14"/>
                <w:lang w:val="nl-NL"/>
              </w:rPr>
              <w:softHyphen/>
              <w:t>treding van deze richtlijn, op 1 januari 2001 en daarna om de twaalf maanden met een gelijkblijvend jaarpercentage afnemend tot 0% uiterlijk 1 januari 2010</w:t>
            </w:r>
          </w:p>
        </w:tc>
      </w:tr>
      <w:tr w:rsidR="005B5D40" w:rsidTr="003E50C4">
        <w:trPr>
          <w:cantSplit/>
        </w:trPr>
        <w:tc>
          <w:tcPr>
            <w:tcW w:w="1005" w:type="pct"/>
            <w:tcBorders>
              <w:top w:val="nil"/>
              <w:left w:val="single" w:sz="4" w:space="0" w:color="auto"/>
              <w:bottom w:val="nil"/>
              <w:right w:val="nil"/>
            </w:tcBorders>
          </w:tcPr>
          <w:p w:rsidR="005B5D40" w:rsidRDefault="005B5D40" w:rsidP="005B5D40">
            <w:pPr>
              <w:pStyle w:val="BodyTextTabel"/>
              <w:keepNext w:val="0"/>
              <w:rPr>
                <w:sz w:val="14"/>
                <w:szCs w:val="14"/>
                <w:lang w:val="nl-NL"/>
              </w:rPr>
            </w:pPr>
            <w:r>
              <w:rPr>
                <w:sz w:val="14"/>
                <w:szCs w:val="14"/>
                <w:lang w:val="nl-NL"/>
              </w:rPr>
              <w:t>alarmdrempel</w:t>
            </w:r>
          </w:p>
        </w:tc>
        <w:tc>
          <w:tcPr>
            <w:tcW w:w="1005" w:type="pct"/>
            <w:tcBorders>
              <w:top w:val="nil"/>
              <w:left w:val="nil"/>
              <w:bottom w:val="nil"/>
              <w:right w:val="nil"/>
            </w:tcBorders>
          </w:tcPr>
          <w:p w:rsidR="005B5D40" w:rsidRDefault="005B5D40" w:rsidP="005B5D40">
            <w:pPr>
              <w:pStyle w:val="BodyTextTabel"/>
              <w:keepNext w:val="0"/>
              <w:rPr>
                <w:sz w:val="14"/>
                <w:szCs w:val="14"/>
                <w:lang w:val="nl-NL"/>
              </w:rPr>
            </w:pPr>
            <w:r>
              <w:rPr>
                <w:sz w:val="14"/>
                <w:szCs w:val="14"/>
                <w:lang w:val="nl-NL"/>
              </w:rPr>
              <w:t>uurbasis</w:t>
            </w:r>
          </w:p>
        </w:tc>
        <w:tc>
          <w:tcPr>
            <w:tcW w:w="1005" w:type="pct"/>
            <w:tcBorders>
              <w:top w:val="nil"/>
              <w:left w:val="nil"/>
              <w:bottom w:val="nil"/>
              <w:right w:val="nil"/>
            </w:tcBorders>
          </w:tcPr>
          <w:p w:rsidR="005B5D40" w:rsidRDefault="005B5D40" w:rsidP="005B5D40">
            <w:pPr>
              <w:pStyle w:val="BodyTextTabel"/>
              <w:keepNext w:val="0"/>
              <w:rPr>
                <w:sz w:val="14"/>
                <w:szCs w:val="14"/>
                <w:lang w:val="nl-NL"/>
              </w:rPr>
            </w:pPr>
            <w:r>
              <w:rPr>
                <w:sz w:val="14"/>
                <w:szCs w:val="14"/>
                <w:lang w:val="nl-NL"/>
              </w:rPr>
              <w:t>400 µg/m</w:t>
            </w:r>
            <w:r>
              <w:rPr>
                <w:sz w:val="14"/>
                <w:szCs w:val="14"/>
                <w:vertAlign w:val="superscript"/>
                <w:lang w:val="nl-NL"/>
              </w:rPr>
              <w:t>3</w:t>
            </w:r>
            <w:r>
              <w:rPr>
                <w:sz w:val="14"/>
                <w:szCs w:val="14"/>
                <w:lang w:val="nl-NL"/>
              </w:rPr>
              <w:t xml:space="preserve"> NO</w:t>
            </w:r>
            <w:r>
              <w:rPr>
                <w:sz w:val="14"/>
                <w:szCs w:val="14"/>
                <w:vertAlign w:val="subscript"/>
                <w:lang w:val="nl-NL"/>
              </w:rPr>
              <w:t xml:space="preserve">2 </w:t>
            </w:r>
            <w:r>
              <w:rPr>
                <w:sz w:val="14"/>
                <w:szCs w:val="14"/>
                <w:lang w:val="nl-NL"/>
              </w:rPr>
              <w:t xml:space="preserve">gedurende 3 opeenvolgende uren </w:t>
            </w:r>
          </w:p>
        </w:tc>
        <w:tc>
          <w:tcPr>
            <w:tcW w:w="1027" w:type="pct"/>
            <w:tcBorders>
              <w:top w:val="nil"/>
              <w:left w:val="nil"/>
              <w:bottom w:val="nil"/>
              <w:right w:val="nil"/>
            </w:tcBorders>
          </w:tcPr>
          <w:p w:rsidR="005B5D40" w:rsidRDefault="005B5D40" w:rsidP="005B5D40">
            <w:pPr>
              <w:pStyle w:val="BodyTextTabel"/>
              <w:keepNext w:val="0"/>
              <w:rPr>
                <w:sz w:val="14"/>
                <w:szCs w:val="14"/>
                <w:lang w:val="nl-NL"/>
              </w:rPr>
            </w:pPr>
            <w:r>
              <w:rPr>
                <w:sz w:val="14"/>
                <w:szCs w:val="14"/>
                <w:lang w:val="nl-NL"/>
              </w:rPr>
              <w:t>Geen overschrijdingsmarge</w:t>
            </w:r>
          </w:p>
        </w:tc>
        <w:tc>
          <w:tcPr>
            <w:tcW w:w="958" w:type="pct"/>
            <w:gridSpan w:val="2"/>
            <w:tcBorders>
              <w:top w:val="nil"/>
              <w:left w:val="nil"/>
              <w:bottom w:val="nil"/>
              <w:right w:val="single" w:sz="4" w:space="0" w:color="auto"/>
            </w:tcBorders>
          </w:tcPr>
          <w:p w:rsidR="005B5D40" w:rsidRDefault="005B5D40" w:rsidP="005B5D40">
            <w:pPr>
              <w:pStyle w:val="BodyTextTabel"/>
              <w:keepNext w:val="0"/>
              <w:rPr>
                <w:sz w:val="14"/>
                <w:szCs w:val="14"/>
                <w:lang w:val="nl-NL"/>
              </w:rPr>
            </w:pPr>
          </w:p>
        </w:tc>
      </w:tr>
      <w:tr w:rsidR="005B5D40" w:rsidTr="003E50C4">
        <w:trPr>
          <w:cantSplit/>
        </w:trPr>
        <w:tc>
          <w:tcPr>
            <w:tcW w:w="1005" w:type="pct"/>
            <w:tcBorders>
              <w:top w:val="nil"/>
              <w:left w:val="single" w:sz="4" w:space="0" w:color="auto"/>
              <w:bottom w:val="nil"/>
              <w:right w:val="nil"/>
            </w:tcBorders>
          </w:tcPr>
          <w:p w:rsidR="005B5D40" w:rsidRDefault="005B5D40" w:rsidP="005B5D40">
            <w:pPr>
              <w:pStyle w:val="BodyTextTabel"/>
              <w:keepNext w:val="0"/>
              <w:rPr>
                <w:sz w:val="14"/>
                <w:szCs w:val="14"/>
                <w:lang w:val="nl-NL"/>
              </w:rPr>
            </w:pPr>
            <w:r>
              <w:rPr>
                <w:sz w:val="14"/>
                <w:szCs w:val="14"/>
                <w:lang w:val="nl-NL"/>
              </w:rPr>
              <w:t>jaargrenswaarde voor de bescherming van de vegetatie</w:t>
            </w:r>
          </w:p>
        </w:tc>
        <w:tc>
          <w:tcPr>
            <w:tcW w:w="1005" w:type="pct"/>
            <w:tcBorders>
              <w:top w:val="nil"/>
              <w:left w:val="nil"/>
              <w:bottom w:val="nil"/>
              <w:right w:val="nil"/>
            </w:tcBorders>
          </w:tcPr>
          <w:p w:rsidR="005B5D40" w:rsidRDefault="005B5D40" w:rsidP="005B5D40">
            <w:pPr>
              <w:pStyle w:val="BodyTextTabel"/>
              <w:keepNext w:val="0"/>
              <w:rPr>
                <w:sz w:val="14"/>
                <w:szCs w:val="14"/>
                <w:lang w:val="nl-NL"/>
              </w:rPr>
            </w:pPr>
            <w:r>
              <w:rPr>
                <w:sz w:val="14"/>
                <w:szCs w:val="14"/>
                <w:lang w:val="nl-NL"/>
              </w:rPr>
              <w:t>Kalenderjaar</w:t>
            </w:r>
          </w:p>
        </w:tc>
        <w:tc>
          <w:tcPr>
            <w:tcW w:w="1005" w:type="pct"/>
            <w:tcBorders>
              <w:top w:val="nil"/>
              <w:left w:val="nil"/>
              <w:bottom w:val="nil"/>
              <w:right w:val="nil"/>
            </w:tcBorders>
          </w:tcPr>
          <w:p w:rsidR="005B5D40" w:rsidRDefault="005B5D40" w:rsidP="005B5D40">
            <w:pPr>
              <w:pStyle w:val="BodyTextTabel"/>
              <w:keepNext w:val="0"/>
              <w:rPr>
                <w:sz w:val="14"/>
                <w:szCs w:val="14"/>
                <w:lang w:val="nl-NL"/>
              </w:rPr>
            </w:pPr>
            <w:r>
              <w:rPr>
                <w:sz w:val="14"/>
                <w:szCs w:val="14"/>
                <w:lang w:val="nl-NL"/>
              </w:rPr>
              <w:t>30 µg/m</w:t>
            </w:r>
            <w:r>
              <w:rPr>
                <w:sz w:val="14"/>
                <w:szCs w:val="14"/>
                <w:vertAlign w:val="superscript"/>
                <w:lang w:val="nl-NL"/>
              </w:rPr>
              <w:t>3</w:t>
            </w:r>
            <w:r>
              <w:rPr>
                <w:sz w:val="14"/>
                <w:szCs w:val="14"/>
                <w:lang w:val="nl-NL"/>
              </w:rPr>
              <w:t xml:space="preserve"> NO</w:t>
            </w:r>
            <w:r>
              <w:rPr>
                <w:sz w:val="14"/>
                <w:szCs w:val="14"/>
                <w:vertAlign w:val="subscript"/>
                <w:lang w:val="nl-NL"/>
              </w:rPr>
              <w:t>x</w:t>
            </w:r>
          </w:p>
        </w:tc>
        <w:tc>
          <w:tcPr>
            <w:tcW w:w="1027" w:type="pct"/>
            <w:tcBorders>
              <w:top w:val="nil"/>
              <w:left w:val="nil"/>
              <w:bottom w:val="nil"/>
              <w:right w:val="nil"/>
            </w:tcBorders>
          </w:tcPr>
          <w:p w:rsidR="005B5D40" w:rsidRDefault="005B5D40" w:rsidP="005B5D40">
            <w:pPr>
              <w:pStyle w:val="BodyTextTabel"/>
              <w:keepNext w:val="0"/>
              <w:rPr>
                <w:sz w:val="14"/>
                <w:szCs w:val="14"/>
                <w:lang w:val="nl-NL"/>
              </w:rPr>
            </w:pPr>
            <w:r>
              <w:rPr>
                <w:sz w:val="14"/>
                <w:szCs w:val="14"/>
                <w:lang w:val="nl-NL"/>
              </w:rPr>
              <w:t>Geen overschrijdingsmarge</w:t>
            </w:r>
          </w:p>
        </w:tc>
        <w:tc>
          <w:tcPr>
            <w:tcW w:w="958" w:type="pct"/>
            <w:gridSpan w:val="2"/>
            <w:tcBorders>
              <w:top w:val="nil"/>
              <w:left w:val="nil"/>
              <w:bottom w:val="nil"/>
              <w:right w:val="single" w:sz="4" w:space="0" w:color="auto"/>
            </w:tcBorders>
          </w:tcPr>
          <w:p w:rsidR="005B5D40" w:rsidRDefault="005B5D40" w:rsidP="005B5D40">
            <w:pPr>
              <w:pStyle w:val="BodyTextTabel"/>
              <w:keepNext w:val="0"/>
              <w:rPr>
                <w:sz w:val="14"/>
                <w:szCs w:val="14"/>
                <w:lang w:val="nl-NL"/>
              </w:rPr>
            </w:pPr>
          </w:p>
        </w:tc>
      </w:tr>
      <w:tr w:rsidR="005B5D40" w:rsidTr="006E7FF9">
        <w:trPr>
          <w:cantSplit/>
        </w:trPr>
        <w:tc>
          <w:tcPr>
            <w:tcW w:w="5000" w:type="pct"/>
            <w:gridSpan w:val="6"/>
            <w:tcBorders>
              <w:top w:val="single" w:sz="8" w:space="0" w:color="auto"/>
              <w:left w:val="single" w:sz="4" w:space="0" w:color="auto"/>
              <w:bottom w:val="single" w:sz="8" w:space="0" w:color="auto"/>
              <w:right w:val="single" w:sz="4" w:space="0" w:color="auto"/>
            </w:tcBorders>
          </w:tcPr>
          <w:p w:rsidR="005B5D40" w:rsidRDefault="005B5D40" w:rsidP="005B5D40">
            <w:pPr>
              <w:pStyle w:val="BodyTextTabel"/>
              <w:keepNext w:val="0"/>
              <w:rPr>
                <w:b/>
                <w:bCs/>
                <w:sz w:val="14"/>
                <w:szCs w:val="14"/>
                <w:lang w:val="nl-NL"/>
              </w:rPr>
            </w:pPr>
            <w:r>
              <w:rPr>
                <w:b/>
                <w:bCs/>
                <w:sz w:val="14"/>
                <w:szCs w:val="14"/>
                <w:lang w:val="nl-NL"/>
              </w:rPr>
              <w:t>Zwaveldioxide (SO</w:t>
            </w:r>
            <w:r>
              <w:rPr>
                <w:b/>
                <w:bCs/>
                <w:sz w:val="14"/>
                <w:szCs w:val="14"/>
                <w:vertAlign w:val="subscript"/>
                <w:lang w:val="nl-NL"/>
              </w:rPr>
              <w:t>2</w:t>
            </w:r>
            <w:r>
              <w:rPr>
                <w:b/>
                <w:bCs/>
                <w:sz w:val="14"/>
                <w:szCs w:val="14"/>
                <w:lang w:val="nl-NL"/>
              </w:rPr>
              <w:t>)</w:t>
            </w:r>
          </w:p>
        </w:tc>
      </w:tr>
      <w:tr w:rsidR="005B5D40" w:rsidTr="003E50C4">
        <w:trPr>
          <w:cantSplit/>
        </w:trPr>
        <w:tc>
          <w:tcPr>
            <w:tcW w:w="1005" w:type="pct"/>
            <w:tcBorders>
              <w:top w:val="single" w:sz="8" w:space="0" w:color="auto"/>
              <w:left w:val="single" w:sz="4" w:space="0" w:color="auto"/>
              <w:bottom w:val="nil"/>
              <w:right w:val="nil"/>
            </w:tcBorders>
          </w:tcPr>
          <w:p w:rsidR="005B5D40" w:rsidRDefault="005B5D40" w:rsidP="005B5D40">
            <w:pPr>
              <w:pStyle w:val="BodyTextTabel"/>
              <w:keepNext w:val="0"/>
              <w:rPr>
                <w:sz w:val="14"/>
                <w:szCs w:val="14"/>
                <w:lang w:val="nl-NL"/>
              </w:rPr>
            </w:pPr>
            <w:r>
              <w:rPr>
                <w:sz w:val="14"/>
                <w:szCs w:val="14"/>
                <w:lang w:val="nl-NL"/>
              </w:rPr>
              <w:t>Uurgrenswaarde voor de bescherming van de gezondheid van de mens</w:t>
            </w:r>
          </w:p>
        </w:tc>
        <w:tc>
          <w:tcPr>
            <w:tcW w:w="1005" w:type="pct"/>
            <w:tcBorders>
              <w:top w:val="single" w:sz="8" w:space="0" w:color="auto"/>
              <w:left w:val="nil"/>
              <w:bottom w:val="nil"/>
              <w:right w:val="nil"/>
            </w:tcBorders>
          </w:tcPr>
          <w:p w:rsidR="005B5D40" w:rsidRDefault="005B5D40" w:rsidP="005B5D40">
            <w:pPr>
              <w:pStyle w:val="BodyTextTabel"/>
              <w:keepNext w:val="0"/>
              <w:rPr>
                <w:sz w:val="14"/>
                <w:szCs w:val="14"/>
                <w:lang w:val="nl-NL"/>
              </w:rPr>
            </w:pPr>
            <w:r>
              <w:rPr>
                <w:sz w:val="14"/>
                <w:szCs w:val="14"/>
                <w:lang w:val="nl-NL"/>
              </w:rPr>
              <w:t>1 uur</w:t>
            </w:r>
          </w:p>
        </w:tc>
        <w:tc>
          <w:tcPr>
            <w:tcW w:w="1005" w:type="pct"/>
            <w:tcBorders>
              <w:top w:val="single" w:sz="8" w:space="0" w:color="auto"/>
              <w:left w:val="nil"/>
              <w:bottom w:val="nil"/>
              <w:right w:val="nil"/>
            </w:tcBorders>
          </w:tcPr>
          <w:p w:rsidR="005B5D40" w:rsidRDefault="005B5D40" w:rsidP="005B5D40">
            <w:pPr>
              <w:pStyle w:val="BodyTextTabel"/>
              <w:keepNext w:val="0"/>
              <w:rPr>
                <w:sz w:val="14"/>
                <w:szCs w:val="14"/>
                <w:lang w:val="nl-NL"/>
              </w:rPr>
            </w:pPr>
            <w:r>
              <w:rPr>
                <w:sz w:val="14"/>
                <w:szCs w:val="14"/>
                <w:lang w:val="nl-NL"/>
              </w:rPr>
              <w:t>350 µg/m</w:t>
            </w:r>
            <w:r>
              <w:rPr>
                <w:sz w:val="14"/>
                <w:szCs w:val="14"/>
                <w:vertAlign w:val="superscript"/>
                <w:lang w:val="nl-NL"/>
              </w:rPr>
              <w:t>3</w:t>
            </w:r>
            <w:r>
              <w:rPr>
                <w:sz w:val="14"/>
                <w:szCs w:val="14"/>
                <w:lang w:val="nl-NL"/>
              </w:rPr>
              <w:t xml:space="preserve"> mag niet meer dan 24 keer per kalenderjaar worden overschreden</w:t>
            </w:r>
          </w:p>
        </w:tc>
        <w:tc>
          <w:tcPr>
            <w:tcW w:w="1985" w:type="pct"/>
            <w:gridSpan w:val="3"/>
            <w:tcBorders>
              <w:top w:val="single" w:sz="8" w:space="0" w:color="auto"/>
              <w:left w:val="nil"/>
              <w:bottom w:val="nil"/>
              <w:right w:val="single" w:sz="4" w:space="0" w:color="auto"/>
            </w:tcBorders>
          </w:tcPr>
          <w:p w:rsidR="005B5D40" w:rsidRDefault="005B5D40" w:rsidP="005B5D40">
            <w:pPr>
              <w:pStyle w:val="BodyTextTabel"/>
              <w:keepNext w:val="0"/>
              <w:rPr>
                <w:sz w:val="14"/>
                <w:szCs w:val="14"/>
                <w:lang w:val="nl-NL"/>
              </w:rPr>
            </w:pPr>
            <w:r>
              <w:rPr>
                <w:sz w:val="14"/>
                <w:szCs w:val="14"/>
                <w:lang w:val="nl-NL"/>
              </w:rPr>
              <w:t>150 µg/m</w:t>
            </w:r>
            <w:r>
              <w:rPr>
                <w:sz w:val="14"/>
                <w:szCs w:val="14"/>
                <w:vertAlign w:val="superscript"/>
                <w:lang w:val="nl-NL"/>
              </w:rPr>
              <w:t>3</w:t>
            </w:r>
            <w:r>
              <w:rPr>
                <w:sz w:val="14"/>
                <w:szCs w:val="14"/>
                <w:lang w:val="nl-NL"/>
              </w:rPr>
              <w:t xml:space="preserve"> (43%) bij de inwerkingtreding van deze richtlijn, op 1 januari 2001 en daarna om de twaalf maanden met een gelijkblijvend jaarper</w:t>
            </w:r>
            <w:r>
              <w:rPr>
                <w:sz w:val="14"/>
                <w:szCs w:val="14"/>
                <w:lang w:val="nl-NL"/>
              </w:rPr>
              <w:softHyphen/>
              <w:t>centage afnemend tot 0% uiterlijk 1 januari 2005</w:t>
            </w:r>
          </w:p>
        </w:tc>
      </w:tr>
      <w:tr w:rsidR="005B5D40" w:rsidTr="003E50C4">
        <w:trPr>
          <w:cantSplit/>
        </w:trPr>
        <w:tc>
          <w:tcPr>
            <w:tcW w:w="1005" w:type="pct"/>
            <w:tcBorders>
              <w:top w:val="nil"/>
              <w:left w:val="single" w:sz="4" w:space="0" w:color="auto"/>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Daggrenswaarde voor de bescherming van de gezondheid van de mens</w:t>
            </w:r>
          </w:p>
        </w:tc>
        <w:tc>
          <w:tcPr>
            <w:tcW w:w="1005" w:type="pct"/>
            <w:tcBorders>
              <w:top w:val="nil"/>
              <w:left w:val="nil"/>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24 uur</w:t>
            </w:r>
          </w:p>
        </w:tc>
        <w:tc>
          <w:tcPr>
            <w:tcW w:w="1005" w:type="pct"/>
            <w:tcBorders>
              <w:top w:val="nil"/>
              <w:left w:val="nil"/>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125 µg/m</w:t>
            </w:r>
            <w:r>
              <w:rPr>
                <w:sz w:val="14"/>
                <w:szCs w:val="14"/>
                <w:vertAlign w:val="superscript"/>
                <w:lang w:val="nl-NL"/>
              </w:rPr>
              <w:t>3</w:t>
            </w:r>
            <w:r>
              <w:rPr>
                <w:sz w:val="14"/>
                <w:szCs w:val="14"/>
                <w:lang w:val="nl-NL"/>
              </w:rPr>
              <w:t xml:space="preserve"> mag niet meer dan 3 keer per kalenderjaar worden overschreden</w:t>
            </w:r>
          </w:p>
        </w:tc>
        <w:tc>
          <w:tcPr>
            <w:tcW w:w="1027" w:type="pct"/>
            <w:tcBorders>
              <w:top w:val="nil"/>
              <w:left w:val="nil"/>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geen</w:t>
            </w:r>
          </w:p>
        </w:tc>
        <w:tc>
          <w:tcPr>
            <w:tcW w:w="958" w:type="pct"/>
            <w:gridSpan w:val="2"/>
            <w:tcBorders>
              <w:top w:val="nil"/>
              <w:left w:val="nil"/>
              <w:bottom w:val="single" w:sz="8" w:space="0" w:color="auto"/>
              <w:right w:val="single" w:sz="4" w:space="0" w:color="auto"/>
            </w:tcBorders>
          </w:tcPr>
          <w:p w:rsidR="005B5D40" w:rsidRDefault="005B5D40" w:rsidP="005B5D40">
            <w:pPr>
              <w:pStyle w:val="BodyTextTabel"/>
              <w:keepNext w:val="0"/>
              <w:rPr>
                <w:sz w:val="14"/>
                <w:szCs w:val="14"/>
                <w:lang w:val="nl-NL"/>
              </w:rPr>
            </w:pPr>
          </w:p>
        </w:tc>
      </w:tr>
      <w:tr w:rsidR="005B5D40" w:rsidTr="006E7FF9">
        <w:trPr>
          <w:cantSplit/>
        </w:trPr>
        <w:tc>
          <w:tcPr>
            <w:tcW w:w="5000" w:type="pct"/>
            <w:gridSpan w:val="6"/>
            <w:tcBorders>
              <w:top w:val="single" w:sz="8" w:space="0" w:color="auto"/>
              <w:left w:val="single" w:sz="4" w:space="0" w:color="auto"/>
              <w:bottom w:val="single" w:sz="8" w:space="0" w:color="auto"/>
              <w:right w:val="single" w:sz="4" w:space="0" w:color="auto"/>
            </w:tcBorders>
          </w:tcPr>
          <w:p w:rsidR="005B5D40" w:rsidRDefault="005B5D40" w:rsidP="005B5D40">
            <w:pPr>
              <w:pStyle w:val="BodyTextTabel"/>
              <w:keepNext w:val="0"/>
              <w:rPr>
                <w:b/>
                <w:bCs/>
                <w:sz w:val="14"/>
                <w:szCs w:val="14"/>
                <w:lang w:val="nl-NL"/>
              </w:rPr>
            </w:pPr>
            <w:r>
              <w:rPr>
                <w:b/>
                <w:bCs/>
                <w:sz w:val="14"/>
                <w:szCs w:val="14"/>
                <w:lang w:val="nl-NL"/>
              </w:rPr>
              <w:t>Koolstofmonoxide (CO)</w:t>
            </w:r>
          </w:p>
        </w:tc>
      </w:tr>
      <w:tr w:rsidR="005B5D40" w:rsidTr="003E50C4">
        <w:trPr>
          <w:cantSplit/>
        </w:trPr>
        <w:tc>
          <w:tcPr>
            <w:tcW w:w="1005" w:type="pct"/>
            <w:tcBorders>
              <w:top w:val="single" w:sz="8" w:space="0" w:color="auto"/>
              <w:left w:val="single" w:sz="4" w:space="0" w:color="auto"/>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Grenswaarde voor de bescherming van de gezondheid van de mens</w:t>
            </w:r>
          </w:p>
        </w:tc>
        <w:tc>
          <w:tcPr>
            <w:tcW w:w="1005" w:type="pct"/>
            <w:tcBorders>
              <w:top w:val="single" w:sz="8" w:space="0" w:color="auto"/>
              <w:left w:val="nil"/>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Gemiddeld dagelijks maximum over 8 uur</w:t>
            </w:r>
          </w:p>
        </w:tc>
        <w:tc>
          <w:tcPr>
            <w:tcW w:w="1005" w:type="pct"/>
            <w:tcBorders>
              <w:top w:val="single" w:sz="8" w:space="0" w:color="auto"/>
              <w:left w:val="nil"/>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10 mg/m</w:t>
            </w:r>
            <w:r>
              <w:rPr>
                <w:sz w:val="14"/>
                <w:szCs w:val="14"/>
                <w:vertAlign w:val="superscript"/>
                <w:lang w:val="nl-NL"/>
              </w:rPr>
              <w:t>3</w:t>
            </w:r>
          </w:p>
        </w:tc>
        <w:tc>
          <w:tcPr>
            <w:tcW w:w="1985" w:type="pct"/>
            <w:gridSpan w:val="3"/>
            <w:tcBorders>
              <w:top w:val="single" w:sz="8" w:space="0" w:color="auto"/>
              <w:left w:val="nil"/>
              <w:bottom w:val="single" w:sz="8" w:space="0" w:color="auto"/>
              <w:right w:val="single" w:sz="4" w:space="0" w:color="auto"/>
            </w:tcBorders>
          </w:tcPr>
          <w:p w:rsidR="005B5D40" w:rsidRDefault="005B5D40" w:rsidP="005B5D40">
            <w:pPr>
              <w:pStyle w:val="BodyTextTabel"/>
              <w:keepNext w:val="0"/>
              <w:rPr>
                <w:sz w:val="14"/>
                <w:szCs w:val="14"/>
                <w:lang w:val="nl-NL"/>
              </w:rPr>
            </w:pPr>
            <w:r>
              <w:rPr>
                <w:sz w:val="14"/>
                <w:szCs w:val="14"/>
                <w:lang w:val="nl-NL"/>
              </w:rPr>
              <w:t>6 mg/m</w:t>
            </w:r>
            <w:r>
              <w:rPr>
                <w:sz w:val="14"/>
                <w:szCs w:val="14"/>
                <w:vertAlign w:val="superscript"/>
                <w:lang w:val="nl-NL"/>
              </w:rPr>
              <w:t>3</w:t>
            </w:r>
            <w:r>
              <w:rPr>
                <w:sz w:val="14"/>
                <w:szCs w:val="14"/>
                <w:lang w:val="nl-NL"/>
              </w:rPr>
              <w:t xml:space="preserve"> op 13 december 2000, op 1 januari 2003 en daarna om de 12 maanden afnemend met 2 mg/m</w:t>
            </w:r>
            <w:r>
              <w:rPr>
                <w:sz w:val="14"/>
                <w:szCs w:val="14"/>
                <w:vertAlign w:val="superscript"/>
                <w:lang w:val="nl-NL"/>
              </w:rPr>
              <w:t>3</w:t>
            </w:r>
            <w:r>
              <w:rPr>
                <w:sz w:val="14"/>
                <w:szCs w:val="14"/>
                <w:lang w:val="nl-NL"/>
              </w:rPr>
              <w:t>, om op 1 januari 2005 uit te komen op 0%</w:t>
            </w:r>
          </w:p>
        </w:tc>
      </w:tr>
      <w:tr w:rsidR="005B5D40" w:rsidTr="006E7FF9">
        <w:trPr>
          <w:cantSplit/>
        </w:trPr>
        <w:tc>
          <w:tcPr>
            <w:tcW w:w="5000" w:type="pct"/>
            <w:gridSpan w:val="6"/>
            <w:tcBorders>
              <w:top w:val="single" w:sz="8" w:space="0" w:color="auto"/>
              <w:left w:val="single" w:sz="4" w:space="0" w:color="auto"/>
              <w:bottom w:val="single" w:sz="8" w:space="0" w:color="auto"/>
              <w:right w:val="single" w:sz="4" w:space="0" w:color="auto"/>
            </w:tcBorders>
          </w:tcPr>
          <w:p w:rsidR="005B5D40" w:rsidRDefault="005B5D40" w:rsidP="005B5D40">
            <w:pPr>
              <w:pStyle w:val="BodyTextTabel"/>
              <w:keepNext w:val="0"/>
              <w:rPr>
                <w:b/>
                <w:bCs/>
                <w:sz w:val="14"/>
                <w:szCs w:val="14"/>
                <w:lang w:val="nl-NL"/>
              </w:rPr>
            </w:pPr>
            <w:r>
              <w:rPr>
                <w:b/>
                <w:bCs/>
                <w:sz w:val="14"/>
                <w:szCs w:val="14"/>
                <w:lang w:val="nl-NL"/>
              </w:rPr>
              <w:t>Lood (Pb)</w:t>
            </w:r>
          </w:p>
        </w:tc>
      </w:tr>
      <w:tr w:rsidR="005B5D40" w:rsidTr="003E50C4">
        <w:trPr>
          <w:cantSplit/>
        </w:trPr>
        <w:tc>
          <w:tcPr>
            <w:tcW w:w="1005" w:type="pct"/>
            <w:tcBorders>
              <w:top w:val="single" w:sz="8" w:space="0" w:color="auto"/>
              <w:left w:val="single" w:sz="4" w:space="0" w:color="auto"/>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Jaargrenswaarde voor de bescherming van de gezondheid van de mens</w:t>
            </w:r>
          </w:p>
        </w:tc>
        <w:tc>
          <w:tcPr>
            <w:tcW w:w="1005" w:type="pct"/>
            <w:tcBorders>
              <w:top w:val="single" w:sz="8" w:space="0" w:color="auto"/>
              <w:left w:val="nil"/>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kalenderjaar</w:t>
            </w:r>
          </w:p>
        </w:tc>
        <w:tc>
          <w:tcPr>
            <w:tcW w:w="1005" w:type="pct"/>
            <w:tcBorders>
              <w:top w:val="single" w:sz="8" w:space="0" w:color="auto"/>
              <w:left w:val="nil"/>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0,5 µg/m</w:t>
            </w:r>
            <w:r>
              <w:rPr>
                <w:sz w:val="14"/>
                <w:szCs w:val="14"/>
                <w:vertAlign w:val="superscript"/>
                <w:lang w:val="nl-NL"/>
              </w:rPr>
              <w:t>3</w:t>
            </w:r>
          </w:p>
        </w:tc>
        <w:tc>
          <w:tcPr>
            <w:tcW w:w="1985" w:type="pct"/>
            <w:gridSpan w:val="3"/>
            <w:tcBorders>
              <w:top w:val="single" w:sz="8" w:space="0" w:color="auto"/>
              <w:left w:val="nil"/>
              <w:bottom w:val="single" w:sz="8" w:space="0" w:color="auto"/>
              <w:right w:val="single" w:sz="4" w:space="0" w:color="auto"/>
            </w:tcBorders>
          </w:tcPr>
          <w:p w:rsidR="005B5D40" w:rsidRDefault="005B5D40" w:rsidP="005B5D40">
            <w:pPr>
              <w:pStyle w:val="BodyTextTabel"/>
              <w:keepNext w:val="0"/>
              <w:rPr>
                <w:sz w:val="14"/>
                <w:szCs w:val="14"/>
                <w:lang w:val="nl-NL"/>
              </w:rPr>
            </w:pPr>
            <w:r>
              <w:rPr>
                <w:sz w:val="14"/>
                <w:szCs w:val="14"/>
                <w:lang w:val="nl-NL"/>
              </w:rPr>
              <w:t>100% 1 januari 2001 – 12 maanden afnemend tot 0% op 1 januari 2005 (2010)</w:t>
            </w:r>
          </w:p>
        </w:tc>
      </w:tr>
      <w:tr w:rsidR="005B5D40" w:rsidTr="006E7FF9">
        <w:trPr>
          <w:cantSplit/>
        </w:trPr>
        <w:tc>
          <w:tcPr>
            <w:tcW w:w="5000" w:type="pct"/>
            <w:gridSpan w:val="6"/>
            <w:tcBorders>
              <w:top w:val="single" w:sz="8" w:space="0" w:color="auto"/>
              <w:left w:val="single" w:sz="4" w:space="0" w:color="auto"/>
              <w:bottom w:val="single" w:sz="8" w:space="0" w:color="auto"/>
              <w:right w:val="single" w:sz="4" w:space="0" w:color="auto"/>
            </w:tcBorders>
          </w:tcPr>
          <w:p w:rsidR="005B5D40" w:rsidRDefault="005B5D40" w:rsidP="005B5D40">
            <w:pPr>
              <w:pStyle w:val="BodyTextTabel"/>
              <w:keepNext w:val="0"/>
              <w:rPr>
                <w:b/>
                <w:bCs/>
                <w:sz w:val="14"/>
                <w:szCs w:val="14"/>
                <w:lang w:val="nl-NL"/>
              </w:rPr>
            </w:pPr>
            <w:r>
              <w:rPr>
                <w:b/>
                <w:bCs/>
                <w:sz w:val="14"/>
                <w:szCs w:val="14"/>
                <w:lang w:val="nl-NL"/>
              </w:rPr>
              <w:t>Benzeen (C</w:t>
            </w:r>
            <w:r>
              <w:rPr>
                <w:b/>
                <w:bCs/>
                <w:sz w:val="14"/>
                <w:szCs w:val="14"/>
                <w:vertAlign w:val="subscript"/>
                <w:lang w:val="nl-NL"/>
              </w:rPr>
              <w:t>6</w:t>
            </w:r>
            <w:r>
              <w:rPr>
                <w:b/>
                <w:bCs/>
                <w:sz w:val="14"/>
                <w:szCs w:val="14"/>
                <w:lang w:val="nl-NL"/>
              </w:rPr>
              <w:t>H</w:t>
            </w:r>
            <w:r>
              <w:rPr>
                <w:b/>
                <w:bCs/>
                <w:sz w:val="14"/>
                <w:szCs w:val="14"/>
                <w:vertAlign w:val="subscript"/>
                <w:lang w:val="nl-NL"/>
              </w:rPr>
              <w:t>6</w:t>
            </w:r>
            <w:r>
              <w:rPr>
                <w:b/>
                <w:bCs/>
                <w:sz w:val="14"/>
                <w:szCs w:val="14"/>
                <w:lang w:val="nl-NL"/>
              </w:rPr>
              <w:t>)3</w:t>
            </w:r>
          </w:p>
        </w:tc>
      </w:tr>
      <w:tr w:rsidR="005B5D40" w:rsidTr="003E50C4">
        <w:trPr>
          <w:cantSplit/>
        </w:trPr>
        <w:tc>
          <w:tcPr>
            <w:tcW w:w="1005" w:type="pct"/>
            <w:tcBorders>
              <w:top w:val="single" w:sz="8" w:space="0" w:color="auto"/>
              <w:left w:val="single" w:sz="4" w:space="0" w:color="auto"/>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Jaargrenswaarde voor de bescherming van de gezondheid van de mens</w:t>
            </w:r>
          </w:p>
        </w:tc>
        <w:tc>
          <w:tcPr>
            <w:tcW w:w="1005" w:type="pct"/>
            <w:tcBorders>
              <w:top w:val="single" w:sz="8" w:space="0" w:color="auto"/>
              <w:left w:val="nil"/>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kalenderjaar</w:t>
            </w:r>
          </w:p>
        </w:tc>
        <w:tc>
          <w:tcPr>
            <w:tcW w:w="1005" w:type="pct"/>
            <w:tcBorders>
              <w:top w:val="single" w:sz="8" w:space="0" w:color="auto"/>
              <w:left w:val="nil"/>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5 µg/m</w:t>
            </w:r>
            <w:r>
              <w:rPr>
                <w:sz w:val="14"/>
                <w:szCs w:val="14"/>
                <w:vertAlign w:val="superscript"/>
                <w:lang w:val="nl-NL"/>
              </w:rPr>
              <w:t>3</w:t>
            </w:r>
          </w:p>
        </w:tc>
        <w:tc>
          <w:tcPr>
            <w:tcW w:w="1985" w:type="pct"/>
            <w:gridSpan w:val="3"/>
            <w:tcBorders>
              <w:top w:val="single" w:sz="8" w:space="0" w:color="auto"/>
              <w:left w:val="nil"/>
              <w:bottom w:val="single" w:sz="8" w:space="0" w:color="auto"/>
              <w:right w:val="single" w:sz="4" w:space="0" w:color="auto"/>
            </w:tcBorders>
          </w:tcPr>
          <w:p w:rsidR="005B5D40" w:rsidRDefault="005B5D40" w:rsidP="005B5D40">
            <w:pPr>
              <w:pStyle w:val="BodyTextTabel"/>
              <w:keepNext w:val="0"/>
              <w:rPr>
                <w:sz w:val="14"/>
                <w:szCs w:val="14"/>
                <w:lang w:val="nl-NL"/>
              </w:rPr>
            </w:pPr>
          </w:p>
        </w:tc>
      </w:tr>
      <w:tr w:rsidR="005B5D40" w:rsidTr="003E50C4">
        <w:trPr>
          <w:cantSplit/>
        </w:trPr>
        <w:tc>
          <w:tcPr>
            <w:tcW w:w="1005" w:type="pct"/>
            <w:tcBorders>
              <w:top w:val="single" w:sz="8" w:space="0" w:color="auto"/>
              <w:left w:val="single" w:sz="4" w:space="0" w:color="auto"/>
              <w:bottom w:val="single" w:sz="8" w:space="0" w:color="auto"/>
              <w:right w:val="nil"/>
            </w:tcBorders>
          </w:tcPr>
          <w:p w:rsidR="005B5D40" w:rsidRDefault="005B5D40" w:rsidP="005B5D40">
            <w:pPr>
              <w:pStyle w:val="BodyTextTabel"/>
              <w:keepNext w:val="0"/>
              <w:rPr>
                <w:sz w:val="14"/>
                <w:szCs w:val="14"/>
                <w:lang w:val="nl-NL"/>
              </w:rPr>
            </w:pPr>
          </w:p>
        </w:tc>
        <w:tc>
          <w:tcPr>
            <w:tcW w:w="1005" w:type="pct"/>
            <w:tcBorders>
              <w:top w:val="single" w:sz="8" w:space="0" w:color="auto"/>
              <w:left w:val="nil"/>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daggemiddelde</w:t>
            </w:r>
          </w:p>
        </w:tc>
        <w:tc>
          <w:tcPr>
            <w:tcW w:w="1005" w:type="pct"/>
            <w:tcBorders>
              <w:top w:val="single" w:sz="8" w:space="0" w:color="auto"/>
              <w:left w:val="nil"/>
              <w:bottom w:val="single" w:sz="8" w:space="0" w:color="auto"/>
              <w:right w:val="nil"/>
            </w:tcBorders>
          </w:tcPr>
          <w:p w:rsidR="005B5D40" w:rsidRDefault="005B5D40" w:rsidP="005B5D40">
            <w:pPr>
              <w:pStyle w:val="BodyTextTabel"/>
              <w:keepNext w:val="0"/>
              <w:rPr>
                <w:sz w:val="14"/>
                <w:szCs w:val="14"/>
                <w:lang w:val="nl-NL"/>
              </w:rPr>
            </w:pPr>
            <w:r>
              <w:rPr>
                <w:sz w:val="14"/>
                <w:szCs w:val="14"/>
                <w:lang w:val="nl-NL"/>
              </w:rPr>
              <w:t>50 µg/m³ (als 98P)</w:t>
            </w:r>
          </w:p>
        </w:tc>
        <w:tc>
          <w:tcPr>
            <w:tcW w:w="1985" w:type="pct"/>
            <w:gridSpan w:val="3"/>
            <w:tcBorders>
              <w:top w:val="single" w:sz="8" w:space="0" w:color="auto"/>
              <w:left w:val="nil"/>
              <w:bottom w:val="single" w:sz="8" w:space="0" w:color="auto"/>
              <w:right w:val="single" w:sz="4" w:space="0" w:color="auto"/>
            </w:tcBorders>
          </w:tcPr>
          <w:p w:rsidR="005B5D40" w:rsidRDefault="005B5D40" w:rsidP="005B5D40">
            <w:pPr>
              <w:pStyle w:val="BodyTextTabel"/>
              <w:keepNext w:val="0"/>
              <w:rPr>
                <w:sz w:val="14"/>
                <w:szCs w:val="14"/>
                <w:lang w:val="nl-NL"/>
              </w:rPr>
            </w:pPr>
            <w:r>
              <w:rPr>
                <w:sz w:val="14"/>
                <w:szCs w:val="14"/>
                <w:lang w:val="nl-NL"/>
              </w:rPr>
              <w:t>-</w:t>
            </w:r>
          </w:p>
        </w:tc>
      </w:tr>
      <w:tr w:rsidR="005B5D40" w:rsidTr="006E7FF9">
        <w:trPr>
          <w:cantSplit/>
        </w:trPr>
        <w:tc>
          <w:tcPr>
            <w:tcW w:w="5000" w:type="pct"/>
            <w:gridSpan w:val="6"/>
            <w:tcBorders>
              <w:top w:val="single" w:sz="8" w:space="0" w:color="auto"/>
              <w:left w:val="single" w:sz="4" w:space="0" w:color="auto"/>
              <w:bottom w:val="single" w:sz="8" w:space="0" w:color="auto"/>
              <w:right w:val="single" w:sz="4" w:space="0" w:color="auto"/>
            </w:tcBorders>
          </w:tcPr>
          <w:p w:rsidR="005B5D40" w:rsidRDefault="005B5D40" w:rsidP="005B5D40">
            <w:pPr>
              <w:pStyle w:val="BodyTextTabel"/>
              <w:keepNext w:val="0"/>
              <w:rPr>
                <w:b/>
                <w:bCs/>
                <w:sz w:val="14"/>
                <w:szCs w:val="14"/>
                <w:lang w:val="nl-NL"/>
              </w:rPr>
            </w:pPr>
            <w:r>
              <w:rPr>
                <w:b/>
                <w:bCs/>
                <w:sz w:val="14"/>
                <w:szCs w:val="14"/>
                <w:lang w:val="nl-NL"/>
              </w:rPr>
              <w:t>Ozon (O</w:t>
            </w:r>
            <w:r>
              <w:rPr>
                <w:b/>
                <w:bCs/>
                <w:sz w:val="14"/>
                <w:szCs w:val="14"/>
                <w:vertAlign w:val="subscript"/>
                <w:lang w:val="nl-NL"/>
              </w:rPr>
              <w:t>3</w:t>
            </w:r>
            <w:r>
              <w:rPr>
                <w:b/>
                <w:bCs/>
                <w:sz w:val="14"/>
                <w:szCs w:val="14"/>
                <w:lang w:val="nl-NL"/>
              </w:rPr>
              <w:t>)</w:t>
            </w:r>
          </w:p>
        </w:tc>
      </w:tr>
      <w:tr w:rsidR="005B5D40" w:rsidTr="003E50C4">
        <w:trPr>
          <w:cantSplit/>
        </w:trPr>
        <w:tc>
          <w:tcPr>
            <w:tcW w:w="1005" w:type="pct"/>
            <w:tcBorders>
              <w:top w:val="single" w:sz="8" w:space="0" w:color="auto"/>
              <w:left w:val="single" w:sz="4" w:space="0" w:color="auto"/>
              <w:bottom w:val="single" w:sz="4" w:space="0" w:color="auto"/>
              <w:right w:val="nil"/>
            </w:tcBorders>
          </w:tcPr>
          <w:p w:rsidR="005B5D40" w:rsidRDefault="005B5D40" w:rsidP="005B5D40">
            <w:pPr>
              <w:pStyle w:val="BodyTextTabel"/>
              <w:keepNext w:val="0"/>
              <w:rPr>
                <w:sz w:val="14"/>
                <w:szCs w:val="14"/>
                <w:lang w:val="nl-NL"/>
              </w:rPr>
            </w:pPr>
            <w:r>
              <w:rPr>
                <w:sz w:val="14"/>
                <w:szCs w:val="14"/>
                <w:lang w:val="nl-NL"/>
              </w:rPr>
              <w:lastRenderedPageBreak/>
              <w:t>Streefwaarde voor de bescherming van de gezondheid van de mens</w:t>
            </w:r>
          </w:p>
        </w:tc>
        <w:tc>
          <w:tcPr>
            <w:tcW w:w="1005" w:type="pct"/>
            <w:tcBorders>
              <w:top w:val="single" w:sz="8" w:space="0" w:color="auto"/>
              <w:left w:val="nil"/>
              <w:bottom w:val="single" w:sz="4" w:space="0" w:color="auto"/>
              <w:right w:val="nil"/>
            </w:tcBorders>
          </w:tcPr>
          <w:p w:rsidR="005B5D40" w:rsidRDefault="005B5D40" w:rsidP="005B5D40">
            <w:pPr>
              <w:pStyle w:val="BodyTextTabel"/>
              <w:keepNext w:val="0"/>
              <w:rPr>
                <w:sz w:val="14"/>
                <w:szCs w:val="14"/>
                <w:lang w:val="nl-NL"/>
              </w:rPr>
            </w:pPr>
            <w:r>
              <w:rPr>
                <w:sz w:val="14"/>
                <w:szCs w:val="14"/>
                <w:lang w:val="nl-NL"/>
              </w:rPr>
              <w:t>Gemiddeld dagelijks maximum over 8 uur</w:t>
            </w:r>
          </w:p>
        </w:tc>
        <w:tc>
          <w:tcPr>
            <w:tcW w:w="1005" w:type="pct"/>
            <w:tcBorders>
              <w:top w:val="single" w:sz="8" w:space="0" w:color="auto"/>
              <w:left w:val="nil"/>
              <w:bottom w:val="single" w:sz="4" w:space="0" w:color="auto"/>
              <w:right w:val="nil"/>
            </w:tcBorders>
          </w:tcPr>
          <w:p w:rsidR="005B5D40" w:rsidRDefault="005B5D40" w:rsidP="005B5D40">
            <w:pPr>
              <w:pStyle w:val="BodyTextTabel"/>
              <w:keepNext w:val="0"/>
              <w:rPr>
                <w:sz w:val="14"/>
                <w:szCs w:val="14"/>
                <w:lang w:val="nl-NL"/>
              </w:rPr>
            </w:pPr>
            <w:r>
              <w:rPr>
                <w:sz w:val="14"/>
                <w:szCs w:val="14"/>
                <w:lang w:val="nl-NL"/>
              </w:rPr>
              <w:t>120 µg/m³ (25 x gemiddelde over 3 jaar)</w:t>
            </w:r>
          </w:p>
        </w:tc>
        <w:tc>
          <w:tcPr>
            <w:tcW w:w="1069" w:type="pct"/>
            <w:gridSpan w:val="2"/>
            <w:tcBorders>
              <w:top w:val="single" w:sz="8" w:space="0" w:color="auto"/>
              <w:left w:val="nil"/>
              <w:bottom w:val="single" w:sz="4" w:space="0" w:color="auto"/>
              <w:right w:val="nil"/>
            </w:tcBorders>
          </w:tcPr>
          <w:p w:rsidR="005B5D40" w:rsidRDefault="005B5D40" w:rsidP="005B5D40">
            <w:pPr>
              <w:pStyle w:val="BodyTextTabel"/>
              <w:keepNext w:val="0"/>
              <w:rPr>
                <w:sz w:val="14"/>
                <w:szCs w:val="14"/>
                <w:lang w:val="nl-NL"/>
              </w:rPr>
            </w:pPr>
            <w:r>
              <w:rPr>
                <w:sz w:val="14"/>
                <w:szCs w:val="14"/>
                <w:lang w:val="nl-NL"/>
              </w:rPr>
              <w:t>Grenswaarde nog niet definitief</w:t>
            </w:r>
          </w:p>
        </w:tc>
        <w:tc>
          <w:tcPr>
            <w:tcW w:w="916" w:type="pct"/>
            <w:tcBorders>
              <w:top w:val="single" w:sz="8" w:space="0" w:color="auto"/>
              <w:left w:val="nil"/>
              <w:bottom w:val="single" w:sz="4" w:space="0" w:color="auto"/>
              <w:right w:val="single" w:sz="4" w:space="0" w:color="auto"/>
            </w:tcBorders>
          </w:tcPr>
          <w:p w:rsidR="005B5D40" w:rsidRDefault="005B5D40" w:rsidP="005B5D40">
            <w:pPr>
              <w:pStyle w:val="BodyTextTabel"/>
              <w:keepNext w:val="0"/>
              <w:rPr>
                <w:sz w:val="14"/>
                <w:szCs w:val="14"/>
                <w:lang w:val="nl-NL"/>
              </w:rPr>
            </w:pPr>
            <w:r>
              <w:rPr>
                <w:sz w:val="14"/>
                <w:szCs w:val="14"/>
                <w:lang w:val="nl-NL"/>
              </w:rPr>
              <w:t>1 januari 2010</w:t>
            </w:r>
          </w:p>
        </w:tc>
      </w:tr>
    </w:tbl>
    <w:p w:rsidR="005B5D40" w:rsidRDefault="005B5D40" w:rsidP="005B5D40">
      <w:r>
        <w:t>Ten aanzien van het Europees kader dient vermeld dat de  lidstaten de mogelijkheid hebben om uitstel te vragen voor  de NO</w:t>
      </w:r>
      <w:r>
        <w:rPr>
          <w:vertAlign w:val="subscript"/>
        </w:rPr>
        <w:t>2</w:t>
      </w:r>
      <w:r>
        <w:t xml:space="preserve"> en PM</w:t>
      </w:r>
      <w:r>
        <w:rPr>
          <w:vertAlign w:val="subscript"/>
        </w:rPr>
        <w:t>10</w:t>
      </w:r>
      <w:r>
        <w:t xml:space="preserve"> doelstellingen. Dergelijk uitstel werd  niet verleend aan België.</w:t>
      </w:r>
    </w:p>
    <w:p w:rsidR="005B5D40" w:rsidRDefault="005B5D40" w:rsidP="005B5D40">
      <w:r>
        <w:t>M.b.t. de vermelde grenswaarden dient gesteld dat het voldoen hieraan zeker niet impliceert dat er geen gezondheidseffecten meer zullen zijn. Dit is geenszins het geval m.b.t. fijn stof waarvan aangenomen wordt dat er geen onderste concentratie bestaat beneden dewelke er geen (gezondheids)effecten meer zouden optreden. Inzake PM2,5 en PM10 wordt door WHO trouwens een doelstelling van respectievelijk 10 en 20 µg/m³ voorop gesteld.</w:t>
      </w:r>
    </w:p>
    <w:p w:rsidR="005B5D40" w:rsidRDefault="005B5D40" w:rsidP="005B5D40"/>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1843"/>
        <w:gridCol w:w="1842"/>
        <w:gridCol w:w="1134"/>
      </w:tblGrid>
      <w:tr w:rsidR="005B5D40" w:rsidTr="005B5D40">
        <w:trPr>
          <w:gridAfter w:val="1"/>
          <w:wAfter w:w="1134" w:type="dxa"/>
          <w:trHeight w:val="164"/>
          <w:tblHeader/>
        </w:trPr>
        <w:tc>
          <w:tcPr>
            <w:tcW w:w="7654" w:type="dxa"/>
            <w:gridSpan w:val="3"/>
            <w:tcBorders>
              <w:top w:val="nil"/>
              <w:left w:val="nil"/>
              <w:bottom w:val="single" w:sz="4" w:space="0" w:color="auto"/>
              <w:right w:val="nil"/>
            </w:tcBorders>
          </w:tcPr>
          <w:p w:rsidR="005B5D40" w:rsidRDefault="005B5D40" w:rsidP="00357D99">
            <w:pPr>
              <w:pStyle w:val="Caption"/>
              <w:keepNext/>
              <w:rPr>
                <w:rFonts w:cs="Arial"/>
                <w:sz w:val="18"/>
                <w:szCs w:val="18"/>
              </w:rPr>
            </w:pPr>
            <w:r>
              <w:rPr>
                <w:rFonts w:cs="Arial"/>
                <w:sz w:val="18"/>
                <w:szCs w:val="18"/>
              </w:rPr>
              <w:t xml:space="preserve">Tabel </w:t>
            </w:r>
            <w:r w:rsidR="00C325A0">
              <w:rPr>
                <w:rFonts w:cs="Arial"/>
                <w:sz w:val="18"/>
                <w:szCs w:val="18"/>
              </w:rPr>
              <w:fldChar w:fldCharType="begin"/>
            </w:r>
            <w:r w:rsidR="00357D99">
              <w:rPr>
                <w:rFonts w:cs="Arial"/>
                <w:sz w:val="18"/>
                <w:szCs w:val="18"/>
              </w:rPr>
              <w:instrText xml:space="preserve"> REF t_lucht_kwalitatief_VLAREM \h </w:instrText>
            </w:r>
            <w:r w:rsidR="00C325A0">
              <w:rPr>
                <w:rFonts w:cs="Arial"/>
                <w:sz w:val="18"/>
                <w:szCs w:val="18"/>
              </w:rPr>
            </w:r>
            <w:r w:rsidR="00C325A0">
              <w:rPr>
                <w:rFonts w:cs="Arial"/>
                <w:sz w:val="18"/>
                <w:szCs w:val="18"/>
              </w:rPr>
              <w:fldChar w:fldCharType="separate"/>
            </w:r>
            <w:r w:rsidR="008102D8">
              <w:t>VIII.2.4</w:t>
            </w:r>
            <w:r w:rsidR="00C325A0">
              <w:rPr>
                <w:rFonts w:cs="Arial"/>
                <w:sz w:val="18"/>
                <w:szCs w:val="18"/>
              </w:rPr>
              <w:fldChar w:fldCharType="end"/>
            </w:r>
            <w:r>
              <w:rPr>
                <w:rFonts w:cs="Arial"/>
                <w:sz w:val="18"/>
                <w:szCs w:val="18"/>
              </w:rPr>
              <w:t>:</w:t>
            </w:r>
            <w:r w:rsidR="00357D99">
              <w:rPr>
                <w:rFonts w:cs="Arial"/>
                <w:sz w:val="18"/>
                <w:szCs w:val="18"/>
              </w:rPr>
              <w:t xml:space="preserve"> </w:t>
            </w:r>
            <w:r>
              <w:rPr>
                <w:rFonts w:cs="Arial"/>
                <w:sz w:val="18"/>
                <w:szCs w:val="18"/>
              </w:rPr>
              <w:t>Grenswaarden specifieke VOS opgenomen in VLAREM-II</w:t>
            </w:r>
          </w:p>
        </w:tc>
      </w:tr>
      <w:tr w:rsidR="005B5D40" w:rsidTr="005B5D40">
        <w:trPr>
          <w:trHeight w:val="164"/>
          <w:tblHeader/>
        </w:trPr>
        <w:tc>
          <w:tcPr>
            <w:tcW w:w="3969" w:type="dxa"/>
            <w:tcBorders>
              <w:top w:val="single" w:sz="4" w:space="0" w:color="auto"/>
              <w:left w:val="single" w:sz="4" w:space="0" w:color="auto"/>
              <w:bottom w:val="single" w:sz="4" w:space="0" w:color="auto"/>
              <w:right w:val="single" w:sz="4" w:space="0" w:color="auto"/>
            </w:tcBorders>
            <w:shd w:val="clear" w:color="auto" w:fill="D9D9D9"/>
          </w:tcPr>
          <w:p w:rsidR="005B5D40" w:rsidRDefault="005B5D40" w:rsidP="005B5D40">
            <w:pPr>
              <w:spacing w:after="0"/>
              <w:rPr>
                <w:rFonts w:cs="Arial"/>
                <w:sz w:val="18"/>
              </w:rPr>
            </w:pPr>
            <w:r>
              <w:rPr>
                <w:rFonts w:cs="Arial"/>
                <w:sz w:val="18"/>
              </w:rPr>
              <w:t>Parameter</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5B5D40" w:rsidRDefault="005B5D40" w:rsidP="005B5D40">
            <w:pPr>
              <w:spacing w:after="0"/>
              <w:rPr>
                <w:rFonts w:cs="Arial"/>
                <w:sz w:val="18"/>
              </w:rPr>
            </w:pPr>
            <w:r>
              <w:rPr>
                <w:rFonts w:cs="Arial"/>
                <w:sz w:val="18"/>
              </w:rPr>
              <w:t>Middelingstijd</w:t>
            </w:r>
          </w:p>
        </w:tc>
        <w:tc>
          <w:tcPr>
            <w:tcW w:w="2976" w:type="dxa"/>
            <w:gridSpan w:val="2"/>
            <w:tcBorders>
              <w:top w:val="single" w:sz="4" w:space="0" w:color="auto"/>
              <w:left w:val="single" w:sz="4" w:space="0" w:color="auto"/>
              <w:bottom w:val="single" w:sz="4" w:space="0" w:color="auto"/>
              <w:right w:val="single" w:sz="4" w:space="0" w:color="auto"/>
            </w:tcBorders>
            <w:shd w:val="clear" w:color="auto" w:fill="D9D9D9"/>
          </w:tcPr>
          <w:p w:rsidR="005B5D40" w:rsidRDefault="005B5D40" w:rsidP="005B5D40">
            <w:pPr>
              <w:spacing w:after="0"/>
              <w:rPr>
                <w:rFonts w:cs="Arial"/>
                <w:sz w:val="18"/>
              </w:rPr>
            </w:pPr>
            <w:r>
              <w:rPr>
                <w:rFonts w:cs="Arial"/>
                <w:sz w:val="18"/>
              </w:rPr>
              <w:t>Grenswaarde</w:t>
            </w:r>
          </w:p>
        </w:tc>
      </w:tr>
      <w:tr w:rsidR="005B5D40" w:rsidTr="005B5D40">
        <w:trPr>
          <w:trHeight w:val="164"/>
        </w:trPr>
        <w:tc>
          <w:tcPr>
            <w:tcW w:w="3969" w:type="dxa"/>
            <w:tcBorders>
              <w:top w:val="single" w:sz="4" w:space="0" w:color="auto"/>
              <w:left w:val="single" w:sz="4" w:space="0" w:color="auto"/>
              <w:bottom w:val="single" w:sz="4" w:space="0" w:color="auto"/>
              <w:right w:val="single" w:sz="4" w:space="0" w:color="auto"/>
            </w:tcBorders>
          </w:tcPr>
          <w:p w:rsidR="005B5D40" w:rsidRDefault="005B5D40" w:rsidP="005B5D40">
            <w:pPr>
              <w:spacing w:after="0" w:line="240" w:lineRule="auto"/>
              <w:rPr>
                <w:rFonts w:cs="Arial"/>
                <w:sz w:val="18"/>
              </w:rPr>
            </w:pPr>
            <w:r>
              <w:rPr>
                <w:rFonts w:cs="Arial"/>
                <w:sz w:val="18"/>
              </w:rPr>
              <w:t>Benzeen, Jaargrenswaarde voor de bescherming van de gezondheid van de mens</w:t>
            </w:r>
          </w:p>
        </w:tc>
        <w:tc>
          <w:tcPr>
            <w:tcW w:w="1843" w:type="dxa"/>
            <w:tcBorders>
              <w:top w:val="single" w:sz="4" w:space="0" w:color="auto"/>
              <w:left w:val="single" w:sz="4" w:space="0" w:color="auto"/>
              <w:bottom w:val="single" w:sz="4" w:space="0" w:color="auto"/>
              <w:right w:val="single" w:sz="4" w:space="0" w:color="auto"/>
            </w:tcBorders>
          </w:tcPr>
          <w:p w:rsidR="005B5D40" w:rsidRDefault="005B5D40" w:rsidP="005B5D40">
            <w:pPr>
              <w:spacing w:after="0" w:line="240" w:lineRule="auto"/>
              <w:rPr>
                <w:rFonts w:cs="Arial"/>
                <w:sz w:val="18"/>
              </w:rPr>
            </w:pPr>
            <w:r>
              <w:rPr>
                <w:rFonts w:cs="Arial"/>
                <w:sz w:val="18"/>
              </w:rPr>
              <w:t>Kalenderjaar</w:t>
            </w:r>
          </w:p>
        </w:tc>
        <w:tc>
          <w:tcPr>
            <w:tcW w:w="2976" w:type="dxa"/>
            <w:gridSpan w:val="2"/>
            <w:tcBorders>
              <w:top w:val="single" w:sz="4" w:space="0" w:color="auto"/>
              <w:left w:val="single" w:sz="4" w:space="0" w:color="auto"/>
              <w:bottom w:val="single" w:sz="4" w:space="0" w:color="auto"/>
              <w:right w:val="single" w:sz="4" w:space="0" w:color="auto"/>
            </w:tcBorders>
          </w:tcPr>
          <w:p w:rsidR="005B5D40" w:rsidRDefault="005B5D40" w:rsidP="005B5D40">
            <w:pPr>
              <w:spacing w:after="0" w:line="240" w:lineRule="auto"/>
              <w:rPr>
                <w:rFonts w:cs="Arial"/>
                <w:sz w:val="18"/>
              </w:rPr>
            </w:pPr>
            <w:r>
              <w:rPr>
                <w:rFonts w:cs="Arial"/>
                <w:sz w:val="18"/>
              </w:rPr>
              <w:t>5 µg/m</w:t>
            </w:r>
            <w:r>
              <w:rPr>
                <w:rFonts w:cs="Arial"/>
                <w:sz w:val="18"/>
                <w:vertAlign w:val="superscript"/>
              </w:rPr>
              <w:t>3</w:t>
            </w:r>
          </w:p>
        </w:tc>
      </w:tr>
      <w:tr w:rsidR="005B5D40" w:rsidTr="005B5D40">
        <w:trPr>
          <w:trHeight w:val="164"/>
        </w:trPr>
        <w:tc>
          <w:tcPr>
            <w:tcW w:w="3969" w:type="dxa"/>
            <w:tcBorders>
              <w:top w:val="single" w:sz="4" w:space="0" w:color="auto"/>
              <w:left w:val="single" w:sz="4" w:space="0" w:color="auto"/>
              <w:bottom w:val="single" w:sz="4" w:space="0" w:color="auto"/>
              <w:right w:val="single" w:sz="4" w:space="0" w:color="auto"/>
            </w:tcBorders>
          </w:tcPr>
          <w:p w:rsidR="005B5D40" w:rsidRDefault="005B5D40" w:rsidP="005B5D40">
            <w:pPr>
              <w:spacing w:after="0" w:line="240" w:lineRule="auto"/>
              <w:rPr>
                <w:rFonts w:cs="Arial"/>
                <w:sz w:val="18"/>
              </w:rPr>
            </w:pPr>
            <w:r>
              <w:rPr>
                <w:rFonts w:cs="Arial"/>
                <w:sz w:val="18"/>
              </w:rPr>
              <w:t>Benzeen, Daggrenswaarde</w:t>
            </w:r>
          </w:p>
        </w:tc>
        <w:tc>
          <w:tcPr>
            <w:tcW w:w="1843" w:type="dxa"/>
            <w:tcBorders>
              <w:top w:val="single" w:sz="4" w:space="0" w:color="auto"/>
              <w:left w:val="single" w:sz="4" w:space="0" w:color="auto"/>
              <w:bottom w:val="single" w:sz="4" w:space="0" w:color="auto"/>
              <w:right w:val="single" w:sz="4" w:space="0" w:color="auto"/>
            </w:tcBorders>
          </w:tcPr>
          <w:p w:rsidR="005B5D40" w:rsidRDefault="005B5D40" w:rsidP="005B5D40">
            <w:pPr>
              <w:spacing w:after="0" w:line="240" w:lineRule="auto"/>
              <w:rPr>
                <w:rFonts w:cs="Arial"/>
                <w:sz w:val="18"/>
              </w:rPr>
            </w:pPr>
            <w:r>
              <w:rPr>
                <w:rFonts w:cs="Arial"/>
                <w:sz w:val="18"/>
              </w:rPr>
              <w:t>24 uur</w:t>
            </w:r>
          </w:p>
        </w:tc>
        <w:tc>
          <w:tcPr>
            <w:tcW w:w="2976" w:type="dxa"/>
            <w:gridSpan w:val="2"/>
            <w:tcBorders>
              <w:top w:val="single" w:sz="4" w:space="0" w:color="auto"/>
              <w:left w:val="single" w:sz="4" w:space="0" w:color="auto"/>
              <w:bottom w:val="single" w:sz="4" w:space="0" w:color="auto"/>
              <w:right w:val="single" w:sz="4" w:space="0" w:color="auto"/>
            </w:tcBorders>
          </w:tcPr>
          <w:p w:rsidR="005B5D40" w:rsidRDefault="005B5D40" w:rsidP="005B5D40">
            <w:pPr>
              <w:spacing w:after="0" w:line="240" w:lineRule="auto"/>
              <w:rPr>
                <w:rFonts w:cs="Arial"/>
                <w:sz w:val="18"/>
              </w:rPr>
            </w:pPr>
            <w:r>
              <w:rPr>
                <w:rFonts w:cs="Arial"/>
                <w:sz w:val="18"/>
              </w:rPr>
              <w:t>50 µg/m</w:t>
            </w:r>
            <w:r>
              <w:rPr>
                <w:rFonts w:cs="Arial"/>
                <w:sz w:val="18"/>
                <w:vertAlign w:val="superscript"/>
              </w:rPr>
              <w:t xml:space="preserve">3 </w:t>
            </w:r>
            <w:r>
              <w:rPr>
                <w:rFonts w:cs="Arial"/>
                <w:sz w:val="18"/>
              </w:rPr>
              <w:t>als 98ste percentiel van de daggemiddelden over 1 kalenderjaar</w:t>
            </w:r>
          </w:p>
        </w:tc>
      </w:tr>
      <w:tr w:rsidR="005B5D40" w:rsidTr="005B5D40">
        <w:trPr>
          <w:trHeight w:val="164"/>
        </w:trPr>
        <w:tc>
          <w:tcPr>
            <w:tcW w:w="3969" w:type="dxa"/>
            <w:tcBorders>
              <w:top w:val="single" w:sz="4" w:space="0" w:color="auto"/>
              <w:left w:val="single" w:sz="4" w:space="0" w:color="auto"/>
              <w:bottom w:val="single" w:sz="4" w:space="0" w:color="auto"/>
              <w:right w:val="single" w:sz="4" w:space="0" w:color="auto"/>
            </w:tcBorders>
          </w:tcPr>
          <w:p w:rsidR="005B5D40" w:rsidRDefault="005B5D40" w:rsidP="005B5D40">
            <w:pPr>
              <w:spacing w:after="0" w:line="240" w:lineRule="auto"/>
              <w:rPr>
                <w:rFonts w:cs="Arial"/>
                <w:sz w:val="18"/>
              </w:rPr>
            </w:pPr>
            <w:r>
              <w:rPr>
                <w:rFonts w:cs="Arial"/>
                <w:sz w:val="18"/>
              </w:rPr>
              <w:t>monovinylchloride</w:t>
            </w:r>
          </w:p>
        </w:tc>
        <w:tc>
          <w:tcPr>
            <w:tcW w:w="1843" w:type="dxa"/>
            <w:tcBorders>
              <w:top w:val="single" w:sz="4" w:space="0" w:color="auto"/>
              <w:left w:val="single" w:sz="4" w:space="0" w:color="auto"/>
              <w:bottom w:val="single" w:sz="4" w:space="0" w:color="auto"/>
              <w:right w:val="single" w:sz="4" w:space="0" w:color="auto"/>
            </w:tcBorders>
          </w:tcPr>
          <w:p w:rsidR="005B5D40" w:rsidRDefault="005B5D40" w:rsidP="005B5D40">
            <w:pPr>
              <w:spacing w:after="0" w:line="240" w:lineRule="auto"/>
              <w:rPr>
                <w:rFonts w:cs="Arial"/>
                <w:sz w:val="18"/>
              </w:rPr>
            </w:pPr>
            <w:r>
              <w:rPr>
                <w:rFonts w:cs="Arial"/>
                <w:sz w:val="18"/>
              </w:rPr>
              <w:t>Jaar</w:t>
            </w:r>
          </w:p>
        </w:tc>
        <w:tc>
          <w:tcPr>
            <w:tcW w:w="2976" w:type="dxa"/>
            <w:gridSpan w:val="2"/>
            <w:tcBorders>
              <w:top w:val="single" w:sz="4" w:space="0" w:color="auto"/>
              <w:left w:val="single" w:sz="4" w:space="0" w:color="auto"/>
              <w:bottom w:val="single" w:sz="4" w:space="0" w:color="auto"/>
              <w:right w:val="single" w:sz="4" w:space="0" w:color="auto"/>
            </w:tcBorders>
          </w:tcPr>
          <w:p w:rsidR="005B5D40" w:rsidRDefault="005B5D40" w:rsidP="005B5D40">
            <w:pPr>
              <w:spacing w:after="0" w:line="240" w:lineRule="auto"/>
              <w:rPr>
                <w:rFonts w:cs="Arial"/>
                <w:sz w:val="18"/>
              </w:rPr>
            </w:pPr>
            <w:r>
              <w:rPr>
                <w:rFonts w:cs="Arial"/>
                <w:sz w:val="18"/>
              </w:rPr>
              <w:t>1 µg/m³</w:t>
            </w:r>
          </w:p>
        </w:tc>
      </w:tr>
      <w:tr w:rsidR="005B5D40" w:rsidTr="005B5D40">
        <w:trPr>
          <w:trHeight w:val="164"/>
        </w:trPr>
        <w:tc>
          <w:tcPr>
            <w:tcW w:w="3969" w:type="dxa"/>
            <w:tcBorders>
              <w:top w:val="single" w:sz="4" w:space="0" w:color="auto"/>
              <w:left w:val="single" w:sz="4" w:space="0" w:color="auto"/>
              <w:bottom w:val="single" w:sz="4" w:space="0" w:color="auto"/>
              <w:right w:val="single" w:sz="4" w:space="0" w:color="auto"/>
            </w:tcBorders>
          </w:tcPr>
          <w:p w:rsidR="005B5D40" w:rsidRDefault="005B5D40" w:rsidP="005B5D40">
            <w:pPr>
              <w:spacing w:after="0" w:line="240" w:lineRule="auto"/>
              <w:rPr>
                <w:rFonts w:cs="Arial"/>
                <w:sz w:val="18"/>
              </w:rPr>
            </w:pPr>
            <w:r>
              <w:rPr>
                <w:rFonts w:cs="Arial"/>
                <w:sz w:val="18"/>
              </w:rPr>
              <w:t>monovinylchloride</w:t>
            </w:r>
          </w:p>
        </w:tc>
        <w:tc>
          <w:tcPr>
            <w:tcW w:w="1843" w:type="dxa"/>
            <w:tcBorders>
              <w:top w:val="single" w:sz="4" w:space="0" w:color="auto"/>
              <w:left w:val="single" w:sz="4" w:space="0" w:color="auto"/>
              <w:bottom w:val="single" w:sz="4" w:space="0" w:color="auto"/>
              <w:right w:val="single" w:sz="4" w:space="0" w:color="auto"/>
            </w:tcBorders>
          </w:tcPr>
          <w:p w:rsidR="005B5D40" w:rsidRDefault="005B5D40" w:rsidP="005B5D40">
            <w:pPr>
              <w:spacing w:after="0" w:line="240" w:lineRule="auto"/>
              <w:rPr>
                <w:rFonts w:cs="Arial"/>
                <w:sz w:val="18"/>
              </w:rPr>
            </w:pPr>
            <w:r>
              <w:rPr>
                <w:rFonts w:cs="Arial"/>
                <w:sz w:val="18"/>
              </w:rPr>
              <w:t>Jaar</w:t>
            </w:r>
          </w:p>
        </w:tc>
        <w:tc>
          <w:tcPr>
            <w:tcW w:w="2976" w:type="dxa"/>
            <w:gridSpan w:val="2"/>
            <w:tcBorders>
              <w:top w:val="single" w:sz="4" w:space="0" w:color="auto"/>
              <w:left w:val="single" w:sz="4" w:space="0" w:color="auto"/>
              <w:bottom w:val="single" w:sz="4" w:space="0" w:color="auto"/>
              <w:right w:val="single" w:sz="4" w:space="0" w:color="auto"/>
            </w:tcBorders>
          </w:tcPr>
          <w:p w:rsidR="005B5D40" w:rsidRDefault="005B5D40" w:rsidP="005B5D40">
            <w:pPr>
              <w:spacing w:after="0" w:line="240" w:lineRule="auto"/>
              <w:rPr>
                <w:rFonts w:cs="Arial"/>
                <w:sz w:val="18"/>
              </w:rPr>
            </w:pPr>
            <w:r>
              <w:rPr>
                <w:rFonts w:cs="Arial"/>
                <w:sz w:val="18"/>
              </w:rPr>
              <w:t>10 µg/m³ als 98P waarde van halfuur- of uurgemiddelden</w:t>
            </w:r>
          </w:p>
        </w:tc>
      </w:tr>
    </w:tbl>
    <w:p w:rsidR="005B5D40" w:rsidRDefault="005B5D40" w:rsidP="005B5D40">
      <w:pPr>
        <w:spacing w:after="0"/>
        <w:rPr>
          <w:rFonts w:cs="Arial"/>
        </w:rPr>
      </w:pPr>
      <w:r>
        <w:rPr>
          <w:rFonts w:cs="Arial"/>
        </w:rPr>
        <w:t>Voor de meeste specifieke VOS bestaan geen Europese of Vlaamse grens- of streefwaarden. Internationaal gezien bestaan er wel voorstellen tot het hanteren van bvb streefwaarden (WGO) of maximale toelaatbare risicowaarden (= MTR waarden in Nederland).</w:t>
      </w:r>
    </w:p>
    <w:p w:rsidR="005B5D40" w:rsidRDefault="005B5D40" w:rsidP="005B5D40">
      <w:pPr>
        <w:rPr>
          <w:rFonts w:cs="Arial"/>
        </w:rPr>
      </w:pPr>
      <w:r>
        <w:rPr>
          <w:rFonts w:cs="Arial"/>
        </w:rPr>
        <w:t>De MTR-waarde is de bovengrens voor een stof, die op basis van wetenschappelijke gegevens aangeeft bij welke concentratie ofwel geen als negatief te waarderen effect is of, in het geval van carcinogene stoffen, een kans van 10</w:t>
      </w:r>
      <w:r>
        <w:rPr>
          <w:rFonts w:cs="Arial"/>
          <w:vertAlign w:val="superscript"/>
        </w:rPr>
        <w:t>-6</w:t>
      </w:r>
      <w:r>
        <w:rPr>
          <w:rFonts w:cs="Arial"/>
        </w:rPr>
        <w:t xml:space="preserve"> op sterfte voorspeld kan worden. </w:t>
      </w:r>
    </w:p>
    <w:p w:rsidR="005B5D40" w:rsidRDefault="005B5D40" w:rsidP="005B5D40">
      <w:pPr>
        <w:rPr>
          <w:rFonts w:cs="Arial"/>
        </w:rPr>
      </w:pPr>
      <w:r>
        <w:rPr>
          <w:rFonts w:cs="Arial"/>
        </w:rPr>
        <w:t>De streefwaarde geeft aan wanneer er sprake is van verwaarloosbare effecten op het milieu.</w:t>
      </w:r>
    </w:p>
    <w:p w:rsidR="0046513B" w:rsidRPr="002B1316" w:rsidRDefault="0046513B" w:rsidP="0046513B">
      <w:pPr>
        <w:rPr>
          <w:rFonts w:asciiTheme="minorHAnsi" w:hAnsiTheme="minorHAnsi"/>
          <w:lang w:eastAsia="nl-NL"/>
        </w:rPr>
      </w:pPr>
      <w:r w:rsidRPr="001752DC">
        <w:rPr>
          <w:rFonts w:asciiTheme="minorHAnsi" w:hAnsiTheme="minorHAnsi"/>
          <w:lang w:eastAsia="nl-NL"/>
        </w:rPr>
        <w:t>Door RIVM wordt volgende definiëring gehanteerd:</w:t>
      </w:r>
    </w:p>
    <w:p w:rsidR="0046513B" w:rsidRPr="001752DC" w:rsidRDefault="0046513B" w:rsidP="0046513B">
      <w:pPr>
        <w:pStyle w:val="ListParagraph"/>
        <w:numPr>
          <w:ilvl w:val="0"/>
          <w:numId w:val="120"/>
        </w:numPr>
        <w:rPr>
          <w:rFonts w:asciiTheme="minorHAnsi" w:hAnsiTheme="minorHAnsi"/>
          <w:lang w:eastAsia="nl-NL"/>
        </w:rPr>
      </w:pPr>
      <w:r w:rsidRPr="001752DC">
        <w:rPr>
          <w:rFonts w:asciiTheme="minorHAnsi" w:hAnsiTheme="minorHAnsi"/>
          <w:lang w:eastAsia="nl-NL"/>
        </w:rPr>
        <w:t xml:space="preserve">MTR: het Maximaal Toelaatbaar Risiconiveau is de concentratie van een stof in water, sediment, bodem of lucht waaronder geen negatief effect is te verwachten. </w:t>
      </w:r>
    </w:p>
    <w:p w:rsidR="0046513B" w:rsidRPr="001752DC" w:rsidRDefault="0046513B" w:rsidP="0046513B">
      <w:pPr>
        <w:pStyle w:val="ListParagraph"/>
        <w:numPr>
          <w:ilvl w:val="0"/>
          <w:numId w:val="120"/>
        </w:numPr>
        <w:rPr>
          <w:rFonts w:asciiTheme="minorHAnsi" w:hAnsiTheme="minorHAnsi" w:cs="Arial"/>
        </w:rPr>
      </w:pPr>
      <w:r w:rsidRPr="001752DC">
        <w:rPr>
          <w:rFonts w:asciiTheme="minorHAnsi" w:hAnsiTheme="minorHAnsi"/>
          <w:lang w:eastAsia="nl-NL"/>
        </w:rPr>
        <w:t>SW: de StreefWaarde ligt meestal op een honderdste van het MTR. De SW geeft het niveau aan waarbij we spreken van duurzame milieukwaliteit op lange termijn.</w:t>
      </w:r>
    </w:p>
    <w:p w:rsidR="0046513B" w:rsidRDefault="0046513B" w:rsidP="005B5D40">
      <w:pPr>
        <w:rPr>
          <w:rFonts w:cs="Arial"/>
        </w:rPr>
      </w:pPr>
    </w:p>
    <w:p w:rsidR="005B5D40" w:rsidRDefault="005B5D40" w:rsidP="005B5D40">
      <w:pPr>
        <w:rPr>
          <w:rFonts w:cs="Arial"/>
        </w:rPr>
      </w:pPr>
      <w:r>
        <w:rPr>
          <w:rFonts w:cs="Arial"/>
        </w:rPr>
        <w:t xml:space="preserve">Voor die specifieke VOS waarvoor geen grenswaarden of algemeen toegepaste internationale doelstellingen voorop gesteld worden, wordt cf. het richtlijnenboek lucht een toetsingswaarde vastgesteld afgeleid uit de TLV waarden, rekening houdend met een zekerheidsfactor </w:t>
      </w:r>
      <w:r w:rsidR="0013222E">
        <w:rPr>
          <w:rFonts w:cs="Arial"/>
        </w:rPr>
        <w:t>(voor gedefinië</w:t>
      </w:r>
      <w:r w:rsidR="0046513B">
        <w:rPr>
          <w:rFonts w:cs="Arial"/>
        </w:rPr>
        <w:t>erde risicogroepen :TLV/5000 voor kankerverwekkende stoffen en TLV/200 voor andere; voor de algemene bevolking : TLV/1000 voor kankerverwekkende stoffen en TLV/10 voor andere).</w:t>
      </w:r>
    </w:p>
    <w:p w:rsidR="005B5D40" w:rsidRDefault="005B5D40" w:rsidP="00614746">
      <w:r>
        <w:lastRenderedPageBreak/>
        <w:t xml:space="preserve">Ten aanzien van organische stoffen zijn er nauwelijks wettelijke grenswaarden of algemeen aanvaarde doelstellingen beschikbaar (behoudens voor bvb. benzeen). De gehanteerde toetsingswaarde wordt afgeleid uit o.a. enkele WGO-doelstellingen zoals hierboven reeds aangegeven. Zo bedraagt dit voor tolueen en styreen 260 µg/m³ (als weekgemiddelde). Diverse internationale doelstellingen hanteren ten aanzien van formaldehyde een beoordelingswaarde van 100/120 µg/m³ (als halfuursgemiddelde). </w:t>
      </w:r>
      <w:r w:rsidR="0046513B">
        <w:t>Ook in Nederland worden voor een aantal organische stoffen MTR waarden gehanteerd welke zich doorgaans boven 100 µg/m³ situeren voor courant voorkomende VOS. Voor isopropanol bvb ligt deze op niet minder dan 2.200 µg/m³, voor styreen op 800, voor butanol op 550, voor isopropylether op 400,  vinylacetaat 200,…. . Zelfs voor een aantal gechloreerde stoffen worden gelijkaardige MTR waarden opgenomen (bvb 200 voor 1,1-dichlooretheen tot zelfs 1700 voor dichloormethaan (met een streefwaarde van 17). De in Nederland voorgestelde streefwaarden situeren zich doorgaans op 1/100 ste van de MTR waarden en liggen voor een aantal specifieke stoffen waarvoor streefwaarden opgenomen zijn  op het niveau van enkele µg/m³.</w:t>
      </w:r>
    </w:p>
    <w:p w:rsidR="005B5D40" w:rsidRDefault="005B5D40" w:rsidP="00614746">
      <w:r>
        <w:t xml:space="preserve">Voor de beoordeling van de somparameter VOS gelden noch wettelijke noch beleidsmatige doelstellingen. </w:t>
      </w:r>
    </w:p>
    <w:p w:rsidR="0046513B" w:rsidRDefault="0046513B" w:rsidP="0046513B">
      <w:r>
        <w:t xml:space="preserve">Bij de beoordeling van de </w:t>
      </w:r>
      <w:r>
        <w:rPr>
          <w:u w:val="single"/>
        </w:rPr>
        <w:t>totale VOS</w:t>
      </w:r>
      <w:r>
        <w:t xml:space="preserve"> bijdrage wordt louter als indicatieve toetsingswaarde 150 µg/m³ voorgesteld. Dergelijke waarde kan, rekening houdend met de door WGO en de in Nederland vooropgestelde doelstellingen en streefwaarden voor een groot aantal VOS, dan ook aanzien worden als een relatief strenge doelstelling, zeker voor de industriegebieden zonder bewoning. </w:t>
      </w:r>
      <w:r w:rsidR="005B5D40">
        <w:t>Grootte orde komt een dergelijke waarde overeen met een TOC van zowat 100 µg C-equivalenten/m³. De waarde van 150 µg/m³ ligt ook een factor 1000 lager dan de algemene VLAREM-II emissiegrenswaarde voor som van VOS (vanaf een emissiedrempel van 3 kg/uur).</w:t>
      </w:r>
      <w:r>
        <w:t xml:space="preserve"> Een verdunning met een factor 1000 treedt zeer snel op, zodat in de omgeving van geleide bronnen zeer snel voldaan zal worden aan de gehanteerde indicatieve toetsingswaarde.</w:t>
      </w:r>
    </w:p>
    <w:p w:rsidR="0046513B" w:rsidRDefault="0046513B" w:rsidP="0046513B">
      <w:r>
        <w:t xml:space="preserve">Ten aanzien van de te hanteren grens- en streefwaarden ter bescherming van de volksgezondheid stelt zich, gezien de ligging van het bedrijf en de afwezigheid van bewoning in de buurt, de vraag naar de toepasbaarheid van deze waarden voor werknemers van omliggende bedrijven. </w:t>
      </w:r>
    </w:p>
    <w:p w:rsidR="0046513B" w:rsidRDefault="0046513B" w:rsidP="0046513B">
      <w:r w:rsidRPr="00932A1F">
        <w:t>In Nede</w:t>
      </w:r>
      <w:r>
        <w:t>r</w:t>
      </w:r>
      <w:r w:rsidRPr="00932A1F">
        <w:t xml:space="preserve">land wordt overeenkomstig het zgn. toepasbaarheidsbeginsel  </w:t>
      </w:r>
      <w:r>
        <w:t xml:space="preserve">expliciet </w:t>
      </w:r>
      <w:r w:rsidRPr="00932A1F">
        <w:t>gesteld dat op plaatsen waar de arbeidshygiënewetgeving van toepassing is de luchtkwaliteitsnormen voor bescherming van de volksgezo</w:t>
      </w:r>
      <w:r>
        <w:t xml:space="preserve">ndheid niet van toepassing zijn </w:t>
      </w:r>
      <w:r w:rsidRPr="006951B2">
        <w:rPr>
          <w:rFonts w:ascii="Garamond" w:hAnsi="Garamond"/>
        </w:rPr>
        <w:t>(</w:t>
      </w:r>
      <w:r>
        <w:t xml:space="preserve">actualisatie 2011 van  </w:t>
      </w:r>
      <w:r w:rsidRPr="006951B2">
        <w:t>“Handreiking Rekenen aan Luchtkwaliteit” v/h Ministerie van Infrastructuur en Milieu).</w:t>
      </w:r>
      <w:r>
        <w:t xml:space="preserve"> Deze bepaling werd specifiek in de regelgeving in Nederland opgenomen in “De wet van 12 maart 2009 tot wijziging van de Wet milieubeheer (implementatie en derogatie luchtkwaliteitseisen)”.</w:t>
      </w:r>
    </w:p>
    <w:p w:rsidR="0046513B" w:rsidRDefault="0046513B" w:rsidP="0046513B">
      <w:r>
        <w:t>Deze bepaling dat de Europese luchtkwaliteitsdoelstellingen niet van toepassing zijn op werkplaatsen waar de arbeidshygiëne wetgeving van toepassing is, volgt in feite uit de definities van de Europese kaderrichtlijn lucht zelf:</w:t>
      </w:r>
    </w:p>
    <w:p w:rsidR="0046513B" w:rsidRDefault="00144D5E" w:rsidP="0046513B">
      <w:r>
        <w:rPr>
          <w:noProof/>
        </w:rPr>
        <w:drawing>
          <wp:inline distT="0" distB="0" distL="0" distR="0">
            <wp:extent cx="3115583" cy="1514916"/>
            <wp:effectExtent l="19050" t="0" r="8617" b="0"/>
            <wp:docPr id="4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srcRect/>
                    <a:stretch>
                      <a:fillRect/>
                    </a:stretch>
                  </pic:blipFill>
                  <pic:spPr bwMode="auto">
                    <a:xfrm>
                      <a:off x="0" y="0"/>
                      <a:ext cx="3119288" cy="1516718"/>
                    </a:xfrm>
                    <a:prstGeom prst="rect">
                      <a:avLst/>
                    </a:prstGeom>
                    <a:noFill/>
                    <a:ln w="9525">
                      <a:noFill/>
                      <a:miter lim="800000"/>
                      <a:headEnd/>
                      <a:tailEnd/>
                    </a:ln>
                  </pic:spPr>
                </pic:pic>
              </a:graphicData>
            </a:graphic>
          </wp:inline>
        </w:drawing>
      </w:r>
    </w:p>
    <w:p w:rsidR="0046513B" w:rsidRDefault="0046513B" w:rsidP="0046513B">
      <w:r>
        <w:t>Cfr. de Europese bepalingen dient bij de beoordeling ook rekening gehouden te worden met de blootstellingskarakteristieken. Indien enkel kortstondige blootstelling mogelijk is (bvb op plaatsen waar men normalerwijze slechts kortstondig kan verblijven, dan zijn bvb jaargemiddelde grenswaarden gebaseerd op levenlange blootstellling, minder relevant.</w:t>
      </w:r>
    </w:p>
    <w:p w:rsidR="0046513B" w:rsidRDefault="0046513B" w:rsidP="0046513B">
      <w:r>
        <w:lastRenderedPageBreak/>
        <w:t>Gezien de aard en de hoeveelheden van de emissies blijkt uit deze studie (zie ook hierna) dat enkel de VOS specifiek te beoordelen zijn naar impact (de andere emissies blijken niet relevant te zijn). Bij het uitwerken van een beoordelingskader van deze specifieke VOS zal dan ook rekening gehouden worden met een dubbel toetsingskader, enerzijds een kader van toepassing in de omgeving van het bedrijf (beperkte blootstelling gedurende de werktijden, 5 dagen per week, 40 jaar) en anderzijds een kader dat van toepassing gesteld kan worden voor de meest nabijgelegen woongebieden.</w:t>
      </w:r>
    </w:p>
    <w:p w:rsidR="0046513B" w:rsidRDefault="0046513B" w:rsidP="0046513B">
      <w:pPr>
        <w:rPr>
          <w:rFonts w:asciiTheme="minorHAnsi" w:hAnsiTheme="minorHAnsi"/>
          <w:lang w:eastAsia="nl-NL"/>
        </w:rPr>
      </w:pPr>
      <w:r>
        <w:t xml:space="preserve">Voor de woongebieden zal dan ook rekening gehouden worden met streefwaarden cfr. </w:t>
      </w:r>
      <w:r>
        <w:rPr>
          <w:rFonts w:asciiTheme="minorHAnsi" w:hAnsiTheme="minorHAnsi"/>
          <w:lang w:eastAsia="nl-NL"/>
        </w:rPr>
        <w:t xml:space="preserve">het niveau  waarbij </w:t>
      </w:r>
      <w:r w:rsidRPr="002B1316">
        <w:rPr>
          <w:rFonts w:asciiTheme="minorHAnsi" w:hAnsiTheme="minorHAnsi"/>
          <w:lang w:eastAsia="nl-NL"/>
        </w:rPr>
        <w:t xml:space="preserve"> duurzame milieukwaliteit op lange termijn</w:t>
      </w:r>
      <w:r>
        <w:rPr>
          <w:rFonts w:asciiTheme="minorHAnsi" w:hAnsiTheme="minorHAnsi"/>
          <w:lang w:eastAsia="nl-NL"/>
        </w:rPr>
        <w:t xml:space="preserve"> nagestreefd wordt cfr RIVM (Nl) doelstellingen. Voor de beoordeling van de impact in de onmiddellijke omgeving kunnen de MTR-waarden gehanteerd worden (concentraties </w:t>
      </w:r>
      <w:r w:rsidRPr="002B1316">
        <w:rPr>
          <w:rFonts w:asciiTheme="minorHAnsi" w:hAnsiTheme="minorHAnsi"/>
          <w:lang w:eastAsia="nl-NL"/>
        </w:rPr>
        <w:t>waaronder geen negatief effect is te verwachten</w:t>
      </w:r>
      <w:r>
        <w:rPr>
          <w:rFonts w:asciiTheme="minorHAnsi" w:hAnsiTheme="minorHAnsi"/>
          <w:lang w:eastAsia="nl-NL"/>
        </w:rPr>
        <w:t>). Deze waarden liggen wel nog zeer aanzienlijk lager dan de TLV-waarden die bij arbeidshygiëne van toepassing zijn, maar op deze manier wordt ook in enige mate rekening gehouden  met mogelijke cumulatieve effecten.</w:t>
      </w:r>
    </w:p>
    <w:p w:rsidR="0046513B" w:rsidRDefault="0046513B" w:rsidP="0046513B">
      <w:pPr>
        <w:rPr>
          <w:rFonts w:asciiTheme="minorHAnsi" w:hAnsiTheme="minorHAnsi"/>
          <w:lang w:eastAsia="nl-NL"/>
        </w:rPr>
      </w:pPr>
      <w:r>
        <w:rPr>
          <w:rFonts w:asciiTheme="minorHAnsi" w:hAnsiTheme="minorHAnsi"/>
          <w:lang w:eastAsia="nl-NL"/>
        </w:rPr>
        <w:t>Voor benzeen wordt uiteraard de wettelijke grenswaarde toegepast, maar in lijn met bovenstaande kan ook voor de beoordeling t.h.v. de bewoning rekening gehouden worden met de Nederlandse streefwaarde van 1 µg/m³. Door de WGO wordt evenwel een doelstelling van 0,17 µg/m³ gehanteerd. In het MEr zal dan ook van deze strengere waarde uitgegaan worden..</w:t>
      </w:r>
    </w:p>
    <w:p w:rsidR="0046513B" w:rsidRDefault="0046513B" w:rsidP="0046513B">
      <w:r>
        <w:rPr>
          <w:rFonts w:asciiTheme="minorHAnsi" w:hAnsiTheme="minorHAnsi"/>
          <w:lang w:eastAsia="nl-NL"/>
        </w:rPr>
        <w:t>Voor crotonaldehyde worden de beoordelingswaarden afgeleid uit de TLV-waarden. In België wordt hierbij een STEL-waarde (15 minuten blootstelling) gehanteerd van 0,87 mg/m³ maar wordt er geen 8-uursgrenswaarde opgenomen (bron : FOD Werkgelegenheid Arbeid en Sociaal overleg, lijst van grenswaarden). Voor toepassing bij het MER is een omzetting naar een vergelijkende waarde op langere blootstellingstermijn aangeraden (gezien de impactberekeningen uitgevoerd worden ten aanzien van jaargemiddelden. Voor verschillende stoffen worden bij de grenswaarden voor beroepsmatige blootstelling zowel STEL waarden als 8-uursgemiddelden opgenomen, vaak in een verhouding van 2 of 3. Voor het afleiden van het toetsingskader voor crotonaldehyde wordt  uitgegaan van de strengere factor 3. Verder wordt er cfr het RLB lucht de factor 1/10 gehanteerd voor beoordeling voor de algemene bevolking (deze toetsingswaarde wordt dan gebruikt voor de impactbeoordeling in de onmiddellijke omgeving van het bedrijf) en een factor van 1/200 voor de beoordeling voor “gedefinieerde risicogroepen” (deze toetsingswaarde wordt dan gebruikt voor de impactbeoordeling t.h.v. de meest nabijgelegen woonzones).</w:t>
      </w:r>
    </w:p>
    <w:p w:rsidR="005B5D40" w:rsidRDefault="005B5D40" w:rsidP="00614746"/>
    <w:p w:rsidR="0046513B" w:rsidRDefault="0046513B" w:rsidP="0046513B">
      <w:pPr>
        <w:rPr>
          <w:rFonts w:cs="Arial"/>
        </w:rPr>
      </w:pPr>
      <w:r>
        <w:rPr>
          <w:rFonts w:cs="Arial"/>
        </w:rPr>
        <w:t xml:space="preserve">Op basis van bovenstaande wordt een overzicht van de gehanteerde toetsingswaarden voor de beoordeling van de impact van  enkele specifieke CMR stoffen  in onderstaande tabel opgenomen. </w:t>
      </w:r>
    </w:p>
    <w:p w:rsidR="005B5D40" w:rsidRDefault="005B5D40" w:rsidP="005B5D40">
      <w:pPr>
        <w:rPr>
          <w:rFonts w:cs="Arial"/>
        </w:rPr>
      </w:pPr>
    </w:p>
    <w:p w:rsidR="00357D99" w:rsidRDefault="00357D99" w:rsidP="00357D99">
      <w:pPr>
        <w:pStyle w:val="Caption"/>
        <w:keepNext/>
      </w:pPr>
      <w:r>
        <w:t xml:space="preserve">Tabel </w:t>
      </w:r>
      <w:r w:rsidR="00C325A0">
        <w:fldChar w:fldCharType="begin"/>
      </w:r>
      <w:r>
        <w:instrText xml:space="preserve"> REF t_lucht_toetsingswaarden_VOS \h </w:instrText>
      </w:r>
      <w:r w:rsidR="00C325A0">
        <w:fldChar w:fldCharType="separate"/>
      </w:r>
      <w:r w:rsidR="008102D8">
        <w:t>VIII.2.5</w:t>
      </w:r>
      <w:r w:rsidR="00C325A0">
        <w:fldChar w:fldCharType="end"/>
      </w:r>
      <w:r>
        <w:t xml:space="preserve">: </w:t>
      </w:r>
      <w:r>
        <w:rPr>
          <w:rFonts w:cs="Arial"/>
          <w:sz w:val="18"/>
          <w:szCs w:val="18"/>
        </w:rPr>
        <w:t xml:space="preserve">Overzicht gehanteerde toetsingswaarden  specifieke VOS en totaal VOS  </w:t>
      </w:r>
    </w:p>
    <w:tbl>
      <w:tblPr>
        <w:tblW w:w="7385" w:type="dxa"/>
        <w:tblInd w:w="57" w:type="dxa"/>
        <w:tblCellMar>
          <w:left w:w="70" w:type="dxa"/>
          <w:right w:w="70" w:type="dxa"/>
        </w:tblCellMar>
        <w:tblLook w:val="04A0"/>
      </w:tblPr>
      <w:tblGrid>
        <w:gridCol w:w="2281"/>
        <w:gridCol w:w="2552"/>
        <w:gridCol w:w="2552"/>
      </w:tblGrid>
      <w:tr w:rsidR="0046513B" w:rsidRPr="006C79FE" w:rsidTr="0046513B">
        <w:trPr>
          <w:trHeight w:val="300"/>
        </w:trPr>
        <w:tc>
          <w:tcPr>
            <w:tcW w:w="2281" w:type="dxa"/>
            <w:tcBorders>
              <w:bottom w:val="single" w:sz="4" w:space="0" w:color="auto"/>
              <w:right w:val="single" w:sz="4" w:space="0" w:color="auto"/>
            </w:tcBorders>
            <w:shd w:val="clear" w:color="auto" w:fill="auto"/>
            <w:noWrap/>
            <w:vAlign w:val="center"/>
            <w:hideMark/>
          </w:tcPr>
          <w:p w:rsidR="0046513B" w:rsidRPr="00357D99" w:rsidRDefault="0046513B" w:rsidP="00357D99">
            <w:pPr>
              <w:keepLines w:val="0"/>
              <w:spacing w:before="0" w:after="0" w:line="240" w:lineRule="auto"/>
              <w:jc w:val="center"/>
              <w:rPr>
                <w:rFonts w:asciiTheme="minorHAnsi" w:hAnsiTheme="minorHAnsi" w:cstheme="minorHAnsi"/>
                <w:sz w:val="18"/>
                <w:szCs w:val="18"/>
                <w:lang w:val="nl-NL" w:eastAsia="nl-NL"/>
              </w:rPr>
            </w:pPr>
          </w:p>
        </w:tc>
        <w:tc>
          <w:tcPr>
            <w:tcW w:w="2552" w:type="dxa"/>
            <w:tcBorders>
              <w:top w:val="single" w:sz="4" w:space="0" w:color="auto"/>
              <w:bottom w:val="single" w:sz="4" w:space="0" w:color="auto"/>
              <w:right w:val="single" w:sz="4" w:space="0" w:color="auto"/>
            </w:tcBorders>
            <w:vAlign w:val="center"/>
          </w:tcPr>
          <w:p w:rsidR="0046513B" w:rsidRDefault="0046513B" w:rsidP="00744234">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Beoordeling thv nabijgelegen woongebieden</w:t>
            </w:r>
          </w:p>
          <w:p w:rsidR="0046513B" w:rsidRPr="00357D99" w:rsidRDefault="0046513B" w:rsidP="00357D99">
            <w:pPr>
              <w:keepLines w:val="0"/>
              <w:spacing w:before="0" w:after="0" w:line="240" w:lineRule="auto"/>
              <w:jc w:val="center"/>
              <w:rPr>
                <w:rFonts w:asciiTheme="minorHAnsi" w:hAnsiTheme="minorHAnsi" w:cstheme="minorHAnsi"/>
                <w:sz w:val="18"/>
                <w:szCs w:val="18"/>
                <w:lang w:val="nl-NL" w:eastAsia="nl-NL"/>
              </w:rPr>
            </w:pPr>
            <w:r w:rsidRPr="00357D99">
              <w:rPr>
                <w:rFonts w:asciiTheme="minorHAnsi" w:hAnsiTheme="minorHAnsi" w:cstheme="minorHAnsi"/>
                <w:sz w:val="18"/>
                <w:szCs w:val="18"/>
                <w:lang w:val="nl-NL" w:eastAsia="nl-NL"/>
              </w:rPr>
              <w:t>Toetsingswaarde, in µg/m³</w:t>
            </w:r>
          </w:p>
        </w:tc>
        <w:tc>
          <w:tcPr>
            <w:tcW w:w="2552" w:type="dxa"/>
            <w:tcBorders>
              <w:top w:val="single" w:sz="4" w:space="0" w:color="auto"/>
              <w:left w:val="single" w:sz="4" w:space="0" w:color="auto"/>
              <w:bottom w:val="single" w:sz="4" w:space="0" w:color="auto"/>
              <w:right w:val="single" w:sz="4" w:space="0" w:color="auto"/>
            </w:tcBorders>
            <w:vAlign w:val="center"/>
          </w:tcPr>
          <w:p w:rsidR="0046513B" w:rsidRDefault="0046513B" w:rsidP="00744234">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Beoordeling in onmiddellijke omgeving v/h bedrijf in industriegebied</w:t>
            </w:r>
          </w:p>
          <w:p w:rsidR="0046513B" w:rsidRPr="00357D99" w:rsidRDefault="0046513B" w:rsidP="00357D99">
            <w:pPr>
              <w:keepLines w:val="0"/>
              <w:spacing w:before="0" w:after="0" w:line="240" w:lineRule="auto"/>
              <w:jc w:val="center"/>
              <w:rPr>
                <w:rFonts w:asciiTheme="minorHAnsi" w:hAnsiTheme="minorHAnsi" w:cstheme="minorHAnsi"/>
                <w:sz w:val="18"/>
                <w:szCs w:val="18"/>
                <w:lang w:val="nl-NL" w:eastAsia="nl-NL"/>
              </w:rPr>
            </w:pPr>
            <w:r w:rsidRPr="00357D99">
              <w:rPr>
                <w:rFonts w:asciiTheme="minorHAnsi" w:hAnsiTheme="minorHAnsi" w:cstheme="minorHAnsi"/>
                <w:sz w:val="18"/>
                <w:szCs w:val="18"/>
                <w:lang w:val="nl-NL" w:eastAsia="nl-NL"/>
              </w:rPr>
              <w:t>Toetsingswaarde, in µg/m³</w:t>
            </w:r>
          </w:p>
        </w:tc>
      </w:tr>
      <w:tr w:rsidR="0046513B" w:rsidRPr="006C79FE" w:rsidTr="0046513B">
        <w:trPr>
          <w:trHeight w:val="300"/>
        </w:trPr>
        <w:tc>
          <w:tcPr>
            <w:tcW w:w="2281" w:type="dxa"/>
            <w:tcBorders>
              <w:top w:val="single" w:sz="4" w:space="0" w:color="auto"/>
              <w:left w:val="single" w:sz="4" w:space="0" w:color="auto"/>
              <w:right w:val="single" w:sz="4" w:space="0" w:color="auto"/>
            </w:tcBorders>
            <w:shd w:val="clear" w:color="auto" w:fill="auto"/>
            <w:noWrap/>
            <w:vAlign w:val="center"/>
            <w:hideMark/>
          </w:tcPr>
          <w:p w:rsidR="0046513B" w:rsidRPr="00357D99" w:rsidRDefault="0046513B" w:rsidP="00357D99">
            <w:pPr>
              <w:keepLines w:val="0"/>
              <w:spacing w:before="0" w:after="0" w:line="240" w:lineRule="auto"/>
              <w:jc w:val="right"/>
              <w:rPr>
                <w:rFonts w:asciiTheme="minorHAnsi" w:hAnsiTheme="minorHAnsi" w:cstheme="minorHAnsi"/>
                <w:sz w:val="18"/>
                <w:szCs w:val="18"/>
                <w:lang w:val="nl-NL" w:eastAsia="nl-NL"/>
              </w:rPr>
            </w:pPr>
            <w:r w:rsidRPr="00357D99">
              <w:rPr>
                <w:rFonts w:asciiTheme="minorHAnsi" w:hAnsiTheme="minorHAnsi" w:cstheme="minorHAnsi"/>
                <w:sz w:val="18"/>
                <w:szCs w:val="18"/>
                <w:lang w:eastAsia="nl-NL"/>
              </w:rPr>
              <w:t>crotonaldehyde</w:t>
            </w:r>
          </w:p>
        </w:tc>
        <w:tc>
          <w:tcPr>
            <w:tcW w:w="2552" w:type="dxa"/>
            <w:tcBorders>
              <w:top w:val="single" w:sz="4" w:space="0" w:color="auto"/>
              <w:left w:val="single" w:sz="4" w:space="0" w:color="auto"/>
              <w:right w:val="single" w:sz="4" w:space="0" w:color="auto"/>
            </w:tcBorders>
            <w:vAlign w:val="center"/>
          </w:tcPr>
          <w:p w:rsidR="0046513B" w:rsidRPr="00357D99" w:rsidRDefault="0046513B" w:rsidP="0046513B">
            <w:pPr>
              <w:keepLines w:val="0"/>
              <w:spacing w:before="0" w:after="0" w:line="240" w:lineRule="auto"/>
              <w:jc w:val="center"/>
              <w:rPr>
                <w:rFonts w:asciiTheme="minorHAnsi" w:hAnsiTheme="minorHAnsi" w:cstheme="minorHAnsi"/>
                <w:sz w:val="18"/>
                <w:szCs w:val="18"/>
              </w:rPr>
            </w:pPr>
            <w:r w:rsidRPr="00357D99">
              <w:rPr>
                <w:rFonts w:asciiTheme="minorHAnsi" w:hAnsiTheme="minorHAnsi" w:cstheme="minorHAnsi"/>
                <w:sz w:val="18"/>
                <w:szCs w:val="18"/>
              </w:rPr>
              <w:t>1</w:t>
            </w:r>
            <w:r>
              <w:rPr>
                <w:rFonts w:asciiTheme="minorHAnsi" w:hAnsiTheme="minorHAnsi" w:cstheme="minorHAnsi"/>
                <w:sz w:val="18"/>
                <w:szCs w:val="18"/>
              </w:rPr>
              <w:t>,4</w:t>
            </w:r>
          </w:p>
        </w:tc>
        <w:tc>
          <w:tcPr>
            <w:tcW w:w="2552" w:type="dxa"/>
            <w:tcBorders>
              <w:top w:val="single" w:sz="4" w:space="0" w:color="auto"/>
              <w:left w:val="single" w:sz="4" w:space="0" w:color="auto"/>
              <w:right w:val="single" w:sz="4" w:space="0" w:color="auto"/>
            </w:tcBorders>
            <w:vAlign w:val="center"/>
          </w:tcPr>
          <w:p w:rsidR="00F077DA" w:rsidRDefault="0046513B" w:rsidP="00F077DA">
            <w:pPr>
              <w:keepLines w:val="0"/>
              <w:spacing w:before="0" w:after="0" w:line="240" w:lineRule="auto"/>
              <w:ind w:left="-70" w:firstLine="70"/>
              <w:jc w:val="center"/>
              <w:rPr>
                <w:rFonts w:asciiTheme="minorHAnsi" w:hAnsiTheme="minorHAnsi" w:cstheme="minorHAnsi"/>
                <w:sz w:val="18"/>
                <w:szCs w:val="18"/>
              </w:rPr>
            </w:pPr>
            <w:r>
              <w:rPr>
                <w:rFonts w:asciiTheme="minorHAnsi" w:hAnsiTheme="minorHAnsi" w:cstheme="minorHAnsi"/>
                <w:sz w:val="18"/>
                <w:szCs w:val="18"/>
              </w:rPr>
              <w:t xml:space="preserve">27 (afgeleid uit TLV-STEL) </w:t>
            </w:r>
            <w:r>
              <w:rPr>
                <w:rFonts w:asciiTheme="minorHAnsi" w:hAnsiTheme="minorHAnsi" w:cstheme="minorHAnsi"/>
                <w:sz w:val="18"/>
                <w:szCs w:val="18"/>
                <w:vertAlign w:val="superscript"/>
              </w:rPr>
              <w:t>1</w:t>
            </w:r>
          </w:p>
        </w:tc>
      </w:tr>
      <w:tr w:rsidR="0046513B" w:rsidRPr="006C79FE" w:rsidTr="0046513B">
        <w:trPr>
          <w:trHeight w:val="300"/>
        </w:trPr>
        <w:tc>
          <w:tcPr>
            <w:tcW w:w="2281" w:type="dxa"/>
            <w:tcBorders>
              <w:left w:val="single" w:sz="4" w:space="0" w:color="auto"/>
              <w:right w:val="single" w:sz="4" w:space="0" w:color="auto"/>
            </w:tcBorders>
            <w:shd w:val="clear" w:color="auto" w:fill="auto"/>
            <w:noWrap/>
            <w:vAlign w:val="center"/>
            <w:hideMark/>
          </w:tcPr>
          <w:p w:rsidR="0046513B" w:rsidRPr="00357D99" w:rsidRDefault="0046513B" w:rsidP="00357D99">
            <w:pPr>
              <w:keepLines w:val="0"/>
              <w:spacing w:before="0" w:after="0" w:line="240" w:lineRule="auto"/>
              <w:jc w:val="right"/>
              <w:rPr>
                <w:rFonts w:asciiTheme="minorHAnsi" w:hAnsiTheme="minorHAnsi" w:cstheme="minorHAnsi"/>
                <w:sz w:val="18"/>
                <w:szCs w:val="18"/>
                <w:lang w:val="nl-NL" w:eastAsia="nl-NL"/>
              </w:rPr>
            </w:pPr>
            <w:r w:rsidRPr="00357D99">
              <w:rPr>
                <w:rFonts w:asciiTheme="minorHAnsi" w:hAnsiTheme="minorHAnsi" w:cstheme="minorHAnsi"/>
                <w:sz w:val="18"/>
                <w:szCs w:val="18"/>
                <w:lang w:eastAsia="nl-NL"/>
              </w:rPr>
              <w:t>benzeen</w:t>
            </w:r>
          </w:p>
        </w:tc>
        <w:tc>
          <w:tcPr>
            <w:tcW w:w="2552" w:type="dxa"/>
            <w:tcBorders>
              <w:left w:val="single" w:sz="4" w:space="0" w:color="auto"/>
              <w:right w:val="single" w:sz="4" w:space="0" w:color="auto"/>
            </w:tcBorders>
            <w:vAlign w:val="center"/>
          </w:tcPr>
          <w:p w:rsidR="0046513B" w:rsidRPr="00357D99" w:rsidRDefault="0046513B" w:rsidP="0046513B">
            <w:pPr>
              <w:keepLines w:val="0"/>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0,17</w:t>
            </w:r>
          </w:p>
        </w:tc>
        <w:tc>
          <w:tcPr>
            <w:tcW w:w="2552" w:type="dxa"/>
            <w:tcBorders>
              <w:left w:val="single" w:sz="4" w:space="0" w:color="auto"/>
              <w:right w:val="single" w:sz="4" w:space="0" w:color="auto"/>
            </w:tcBorders>
            <w:vAlign w:val="center"/>
          </w:tcPr>
          <w:p w:rsidR="00F077DA" w:rsidRDefault="0046513B" w:rsidP="00F077DA">
            <w:pPr>
              <w:keepLines w:val="0"/>
              <w:spacing w:before="0" w:after="0" w:line="240" w:lineRule="auto"/>
              <w:ind w:left="-70" w:firstLine="70"/>
              <w:jc w:val="center"/>
              <w:rPr>
                <w:rFonts w:asciiTheme="minorHAnsi" w:hAnsiTheme="minorHAnsi" w:cstheme="minorHAnsi"/>
                <w:sz w:val="18"/>
                <w:szCs w:val="18"/>
              </w:rPr>
            </w:pPr>
            <w:r w:rsidRPr="00357D99">
              <w:rPr>
                <w:rFonts w:asciiTheme="minorHAnsi" w:hAnsiTheme="minorHAnsi" w:cstheme="minorHAnsi"/>
                <w:sz w:val="18"/>
                <w:szCs w:val="18"/>
              </w:rPr>
              <w:t>5</w:t>
            </w:r>
            <w:r>
              <w:rPr>
                <w:rFonts w:asciiTheme="minorHAnsi" w:hAnsiTheme="minorHAnsi" w:cstheme="minorHAnsi"/>
                <w:sz w:val="18"/>
                <w:szCs w:val="18"/>
              </w:rPr>
              <w:t xml:space="preserve"> (wettelijke grenswaarde)</w:t>
            </w:r>
          </w:p>
        </w:tc>
      </w:tr>
      <w:tr w:rsidR="0046513B" w:rsidRPr="006C79FE" w:rsidTr="0046513B">
        <w:trPr>
          <w:trHeight w:val="300"/>
        </w:trPr>
        <w:tc>
          <w:tcPr>
            <w:tcW w:w="2281" w:type="dxa"/>
            <w:tcBorders>
              <w:left w:val="single" w:sz="4" w:space="0" w:color="auto"/>
              <w:right w:val="single" w:sz="4" w:space="0" w:color="auto"/>
            </w:tcBorders>
            <w:shd w:val="clear" w:color="auto" w:fill="auto"/>
            <w:noWrap/>
            <w:vAlign w:val="center"/>
            <w:hideMark/>
          </w:tcPr>
          <w:p w:rsidR="0046513B" w:rsidRPr="00357D99" w:rsidRDefault="0046513B" w:rsidP="00357D99">
            <w:pPr>
              <w:keepLines w:val="0"/>
              <w:spacing w:before="0" w:after="0" w:line="240" w:lineRule="auto"/>
              <w:jc w:val="right"/>
              <w:rPr>
                <w:rFonts w:asciiTheme="minorHAnsi" w:hAnsiTheme="minorHAnsi" w:cstheme="minorHAnsi"/>
                <w:sz w:val="18"/>
                <w:szCs w:val="18"/>
                <w:lang w:val="nl-NL" w:eastAsia="nl-NL"/>
              </w:rPr>
            </w:pPr>
            <w:r w:rsidRPr="00357D99">
              <w:rPr>
                <w:rFonts w:asciiTheme="minorHAnsi" w:hAnsiTheme="minorHAnsi" w:cstheme="minorHAnsi"/>
                <w:sz w:val="18"/>
                <w:szCs w:val="18"/>
                <w:lang w:eastAsia="nl-NL"/>
              </w:rPr>
              <w:t>chloroform</w:t>
            </w:r>
          </w:p>
        </w:tc>
        <w:tc>
          <w:tcPr>
            <w:tcW w:w="2552" w:type="dxa"/>
            <w:tcBorders>
              <w:left w:val="single" w:sz="4" w:space="0" w:color="auto"/>
              <w:right w:val="single" w:sz="4" w:space="0" w:color="auto"/>
            </w:tcBorders>
            <w:vAlign w:val="center"/>
          </w:tcPr>
          <w:p w:rsidR="0046513B" w:rsidRPr="00357D99" w:rsidRDefault="0046513B" w:rsidP="0046513B">
            <w:pPr>
              <w:keepLines w:val="0"/>
              <w:spacing w:before="0" w:after="0" w:line="240" w:lineRule="auto"/>
              <w:jc w:val="center"/>
              <w:rPr>
                <w:rFonts w:asciiTheme="minorHAnsi" w:hAnsiTheme="minorHAnsi" w:cstheme="minorHAnsi"/>
                <w:sz w:val="18"/>
                <w:szCs w:val="18"/>
              </w:rPr>
            </w:pPr>
            <w:r w:rsidRPr="00357D99">
              <w:rPr>
                <w:rFonts w:asciiTheme="minorHAnsi" w:hAnsiTheme="minorHAnsi" w:cstheme="minorHAnsi"/>
                <w:sz w:val="18"/>
                <w:szCs w:val="18"/>
              </w:rPr>
              <w:t>1</w:t>
            </w:r>
          </w:p>
        </w:tc>
        <w:tc>
          <w:tcPr>
            <w:tcW w:w="2552" w:type="dxa"/>
            <w:tcBorders>
              <w:left w:val="single" w:sz="4" w:space="0" w:color="auto"/>
              <w:right w:val="single" w:sz="4" w:space="0" w:color="auto"/>
            </w:tcBorders>
            <w:vAlign w:val="center"/>
          </w:tcPr>
          <w:p w:rsidR="00F077DA" w:rsidRDefault="0046513B" w:rsidP="00F077DA">
            <w:pPr>
              <w:keepLines w:val="0"/>
              <w:spacing w:before="0" w:after="0" w:line="240" w:lineRule="auto"/>
              <w:ind w:left="-70" w:firstLine="70"/>
              <w:jc w:val="center"/>
              <w:rPr>
                <w:rFonts w:asciiTheme="minorHAnsi" w:hAnsiTheme="minorHAnsi" w:cstheme="minorHAnsi"/>
                <w:sz w:val="18"/>
                <w:szCs w:val="18"/>
              </w:rPr>
            </w:pPr>
            <w:r>
              <w:rPr>
                <w:rFonts w:asciiTheme="minorHAnsi" w:hAnsiTheme="minorHAnsi" w:cstheme="minorHAnsi"/>
                <w:sz w:val="18"/>
                <w:szCs w:val="18"/>
              </w:rPr>
              <w:t>100 (MTR waarde)</w:t>
            </w:r>
          </w:p>
        </w:tc>
      </w:tr>
      <w:tr w:rsidR="0046513B" w:rsidRPr="006C79FE" w:rsidTr="0046513B">
        <w:trPr>
          <w:trHeight w:val="300"/>
        </w:trPr>
        <w:tc>
          <w:tcPr>
            <w:tcW w:w="2281" w:type="dxa"/>
            <w:tcBorders>
              <w:left w:val="single" w:sz="4" w:space="0" w:color="auto"/>
              <w:bottom w:val="single" w:sz="4" w:space="0" w:color="auto"/>
              <w:right w:val="single" w:sz="4" w:space="0" w:color="auto"/>
            </w:tcBorders>
            <w:shd w:val="clear" w:color="auto" w:fill="auto"/>
            <w:noWrap/>
            <w:vAlign w:val="center"/>
            <w:hideMark/>
          </w:tcPr>
          <w:p w:rsidR="0046513B" w:rsidRPr="00357D99" w:rsidRDefault="0046513B" w:rsidP="00357D99">
            <w:pPr>
              <w:keepLines w:val="0"/>
              <w:spacing w:before="0" w:after="0" w:line="240" w:lineRule="auto"/>
              <w:jc w:val="right"/>
              <w:rPr>
                <w:rFonts w:asciiTheme="minorHAnsi" w:hAnsiTheme="minorHAnsi" w:cstheme="minorHAnsi"/>
                <w:sz w:val="18"/>
                <w:szCs w:val="18"/>
                <w:lang w:val="nl-NL" w:eastAsia="nl-NL"/>
              </w:rPr>
            </w:pPr>
            <w:r w:rsidRPr="00357D99">
              <w:rPr>
                <w:rFonts w:asciiTheme="minorHAnsi" w:hAnsiTheme="minorHAnsi" w:cstheme="minorHAnsi"/>
                <w:sz w:val="18"/>
                <w:szCs w:val="18"/>
                <w:lang w:eastAsia="nl-NL"/>
              </w:rPr>
              <w:t>tetrachloorkoolstof</w:t>
            </w:r>
          </w:p>
        </w:tc>
        <w:tc>
          <w:tcPr>
            <w:tcW w:w="2552" w:type="dxa"/>
            <w:tcBorders>
              <w:left w:val="single" w:sz="4" w:space="0" w:color="auto"/>
              <w:bottom w:val="single" w:sz="4" w:space="0" w:color="auto"/>
              <w:right w:val="single" w:sz="4" w:space="0" w:color="auto"/>
            </w:tcBorders>
            <w:vAlign w:val="center"/>
          </w:tcPr>
          <w:p w:rsidR="00F077DA" w:rsidRDefault="0046513B" w:rsidP="00F077DA">
            <w:pPr>
              <w:pStyle w:val="ListParagraph"/>
              <w:spacing w:before="0" w:after="0" w:line="240" w:lineRule="auto"/>
              <w:ind w:left="-70" w:firstLine="70"/>
              <w:jc w:val="center"/>
              <w:rPr>
                <w:rFonts w:asciiTheme="minorHAnsi" w:hAnsiTheme="minorHAnsi" w:cstheme="minorHAnsi"/>
                <w:sz w:val="18"/>
                <w:szCs w:val="18"/>
              </w:rPr>
            </w:pPr>
            <w:r>
              <w:rPr>
                <w:rFonts w:asciiTheme="minorHAnsi" w:hAnsiTheme="minorHAnsi" w:cstheme="minorHAnsi"/>
                <w:sz w:val="18"/>
                <w:szCs w:val="18"/>
              </w:rPr>
              <w:t>1</w:t>
            </w:r>
          </w:p>
        </w:tc>
        <w:tc>
          <w:tcPr>
            <w:tcW w:w="2552" w:type="dxa"/>
            <w:tcBorders>
              <w:left w:val="single" w:sz="4" w:space="0" w:color="auto"/>
              <w:bottom w:val="single" w:sz="4" w:space="0" w:color="auto"/>
              <w:right w:val="single" w:sz="4" w:space="0" w:color="auto"/>
            </w:tcBorders>
            <w:vAlign w:val="center"/>
          </w:tcPr>
          <w:p w:rsidR="00F077DA" w:rsidRPr="00F077DA" w:rsidRDefault="00F077DA" w:rsidP="00F077DA">
            <w:pPr>
              <w:spacing w:before="0" w:after="0" w:line="240" w:lineRule="auto"/>
              <w:ind w:left="-70" w:firstLine="70"/>
              <w:jc w:val="center"/>
              <w:rPr>
                <w:rFonts w:asciiTheme="minorHAnsi" w:hAnsiTheme="minorHAnsi" w:cstheme="minorHAnsi"/>
                <w:sz w:val="18"/>
                <w:szCs w:val="18"/>
              </w:rPr>
            </w:pPr>
            <w:r w:rsidRPr="00F077DA">
              <w:rPr>
                <w:rFonts w:asciiTheme="minorHAnsi" w:hAnsiTheme="minorHAnsi" w:cstheme="minorHAnsi"/>
                <w:sz w:val="18"/>
                <w:szCs w:val="18"/>
              </w:rPr>
              <w:t>60 (MTR waarde)</w:t>
            </w:r>
          </w:p>
        </w:tc>
      </w:tr>
    </w:tbl>
    <w:p w:rsidR="005B5D40" w:rsidRDefault="0046513B" w:rsidP="005B5D40">
      <w:pPr>
        <w:rPr>
          <w:rFonts w:cs="Arial"/>
        </w:rPr>
      </w:pPr>
      <w:r>
        <w:rPr>
          <w:vertAlign w:val="superscript"/>
        </w:rPr>
        <w:t xml:space="preserve">1 </w:t>
      </w:r>
      <w:r>
        <w:t>: In “Sittig’s handbook of toxic and hazardous chemicals and Carcinogens”</w:t>
      </w:r>
      <w:r w:rsidRPr="001752DC">
        <w:t xml:space="preserve"> (Pohanish R.P., 2008) worden voor een aantal Amerikaanse staten doelstellingen </w:t>
      </w:r>
      <w:r>
        <w:t xml:space="preserve">voor crotonaldehyde </w:t>
      </w:r>
      <w:r w:rsidRPr="001752DC">
        <w:t xml:space="preserve">opgenomen van grootte orde 60 à </w:t>
      </w:r>
      <w:r>
        <w:t>180 µg/m³. De in dit MER gehanteerde toetsingswaarde is dan ook strenger dan deze internationaal gehanteerde doelstellingen</w:t>
      </w:r>
      <w:r>
        <w:rPr>
          <w:vanish/>
          <w:vertAlign w:val="superscript"/>
        </w:rPr>
        <w:t>1(MTR waarde)grenswaardee wordtworden ten aanzien van jaargemiddelden. de op langere blootstellingstermijn aangeraden (gezien de</w:t>
      </w:r>
    </w:p>
    <w:p w:rsidR="005B5D40" w:rsidRDefault="005B5D40" w:rsidP="005B5D40">
      <w:pPr>
        <w:pStyle w:val="Heading4"/>
        <w:keepLines w:val="0"/>
        <w:widowControl w:val="0"/>
        <w:numPr>
          <w:ilvl w:val="3"/>
          <w:numId w:val="0"/>
        </w:numPr>
        <w:tabs>
          <w:tab w:val="left" w:pos="1080"/>
          <w:tab w:val="num" w:pos="2664"/>
        </w:tabs>
        <w:adjustRightInd w:val="0"/>
        <w:spacing w:before="360" w:after="180" w:line="270" w:lineRule="atLeast"/>
        <w:ind w:left="1077" w:hanging="1077"/>
        <w:textAlignment w:val="baseline"/>
        <w:rPr>
          <w:rFonts w:cs="Arial"/>
        </w:rPr>
      </w:pPr>
      <w:bookmarkStart w:id="809" w:name="_Toc312069275"/>
      <w:r>
        <w:rPr>
          <w:rFonts w:cs="Arial"/>
        </w:rPr>
        <w:lastRenderedPageBreak/>
        <w:t>Geur(hinder)</w:t>
      </w:r>
      <w:bookmarkEnd w:id="809"/>
    </w:p>
    <w:p w:rsidR="005B5D40" w:rsidRDefault="005B5D40" w:rsidP="00614746">
      <w:r>
        <w:t>Inzake geurhinder zijn er in Vlaanderen geen grenswaarden noch algemeen geldende streefwaarden concreet van toepassing. Voor de impactbeoordeling dient dan ook rekening gehouden te worden met de Vlaamse beleidsdoelstellingen  (zie ook Visiedocument van LNE). Hierbij dient rekening gehouden te worden met volgende elementen:</w:t>
      </w:r>
    </w:p>
    <w:p w:rsidR="005B5D40" w:rsidRDefault="005B5D40" w:rsidP="005B5D40">
      <w:pPr>
        <w:pStyle w:val="ListParagraph"/>
        <w:numPr>
          <w:ilvl w:val="0"/>
          <w:numId w:val="100"/>
        </w:numPr>
        <w:jc w:val="left"/>
      </w:pPr>
      <w:r>
        <w:t>de aard van de geur bepaalt mee de toegelaten belasting;</w:t>
      </w:r>
    </w:p>
    <w:p w:rsidR="005B5D40" w:rsidRDefault="005B5D40" w:rsidP="005B5D40">
      <w:pPr>
        <w:pStyle w:val="ListParagraph"/>
        <w:numPr>
          <w:ilvl w:val="0"/>
          <w:numId w:val="100"/>
        </w:numPr>
        <w:jc w:val="left"/>
      </w:pPr>
      <w:r>
        <w:t>in industriegebieden worden hogere geurbelastingen aanvaardbaar geacht;</w:t>
      </w:r>
    </w:p>
    <w:p w:rsidR="005B5D40" w:rsidRDefault="005B5D40" w:rsidP="005B5D40">
      <w:pPr>
        <w:pStyle w:val="ListParagraph"/>
        <w:numPr>
          <w:ilvl w:val="0"/>
          <w:numId w:val="100"/>
        </w:numPr>
        <w:jc w:val="left"/>
      </w:pPr>
      <w:r>
        <w:t>t.h.v. bewoning dient gestreefd te worden naar het nuleffectniveau (impact van bestaande bedrijven) door toepassing van BBT;</w:t>
      </w:r>
    </w:p>
    <w:p w:rsidR="005B5D40" w:rsidRDefault="005B5D40" w:rsidP="005B5D40">
      <w:pPr>
        <w:pStyle w:val="ListParagraph"/>
        <w:numPr>
          <w:ilvl w:val="0"/>
          <w:numId w:val="100"/>
        </w:numPr>
        <w:jc w:val="left"/>
      </w:pPr>
      <w:r>
        <w:t>het nuleffectniveau is in principe functie van de aard van de geur.</w:t>
      </w:r>
    </w:p>
    <w:p w:rsidR="005B5D40" w:rsidRDefault="005B5D40" w:rsidP="005B5D40">
      <w:pPr>
        <w:rPr>
          <w:rFonts w:cs="Arial"/>
        </w:rPr>
      </w:pPr>
      <w:r>
        <w:rPr>
          <w:rFonts w:cs="Arial"/>
        </w:rPr>
        <w:t xml:space="preserve">Gezien het uiteenlopend karakter van de aard van de geur die mogelijks kan waargenomen worden is het niet evident om voor de beschouwde activiteit een nuleffectniveau in kaart te brengen. Er kan dan ook best verwezen worden naar een algemeen kader dat in het visiedocument geur naar voor gekomen is (zie onderstaande tabel). </w:t>
      </w:r>
    </w:p>
    <w:p w:rsidR="005B5D40" w:rsidRDefault="005B5D40" w:rsidP="005B5D40">
      <w:pPr>
        <w:rPr>
          <w:rFonts w:cs="Arial"/>
        </w:rPr>
      </w:pPr>
      <w:r>
        <w:rPr>
          <w:rFonts w:cs="Arial"/>
        </w:rPr>
        <w:t>Uit deze tabel kan voor de woongebieden binnen het studiegebied volgend toetsingskader voorgesteld worden: 3 à 2 se/m³ als 98P waarde (waarde voorop gesteld voor industriegebieden en woongebieden op 500 m van industriegebieden. Wegens de berekeningswijze van de geurbelasting en het niet beschikbaar zijn van een omzettingsfactor zal de eenheid se eenvoudigheidshalve vervangen worden door G.Equi. (geur equivalenten berekend op basis van geurdrempelwaarden).</w:t>
      </w:r>
    </w:p>
    <w:p w:rsidR="005B5D40" w:rsidRDefault="005B5D40" w:rsidP="005B5D40">
      <w:pPr>
        <w:rPr>
          <w:rFonts w:cs="Arial"/>
        </w:rPr>
      </w:pPr>
    </w:p>
    <w:p w:rsidR="005B5D40" w:rsidRDefault="005B5D40" w:rsidP="005B5D40">
      <w:pPr>
        <w:pStyle w:val="Caption"/>
        <w:rPr>
          <w:rFonts w:cs="Arial"/>
          <w:sz w:val="18"/>
          <w:szCs w:val="18"/>
        </w:rPr>
      </w:pPr>
      <w:r>
        <w:rPr>
          <w:rFonts w:cs="Arial"/>
          <w:sz w:val="18"/>
          <w:szCs w:val="18"/>
        </w:rPr>
        <w:t xml:space="preserve">Tabel </w:t>
      </w:r>
      <w:r w:rsidR="00C325A0">
        <w:rPr>
          <w:rFonts w:cs="Arial"/>
          <w:sz w:val="18"/>
          <w:szCs w:val="18"/>
        </w:rPr>
        <w:fldChar w:fldCharType="begin"/>
      </w:r>
      <w:r w:rsidR="00357D99">
        <w:rPr>
          <w:rFonts w:cs="Arial"/>
          <w:sz w:val="18"/>
          <w:szCs w:val="18"/>
        </w:rPr>
        <w:instrText xml:space="preserve"> REF t_lucht_MKN_geur \h </w:instrText>
      </w:r>
      <w:r w:rsidR="00C325A0">
        <w:rPr>
          <w:rFonts w:cs="Arial"/>
          <w:sz w:val="18"/>
          <w:szCs w:val="18"/>
        </w:rPr>
      </w:r>
      <w:r w:rsidR="00C325A0">
        <w:rPr>
          <w:rFonts w:cs="Arial"/>
          <w:sz w:val="18"/>
          <w:szCs w:val="18"/>
        </w:rPr>
        <w:fldChar w:fldCharType="separate"/>
      </w:r>
      <w:r w:rsidR="008102D8">
        <w:t>VIII.2.6</w:t>
      </w:r>
      <w:r w:rsidR="00C325A0">
        <w:rPr>
          <w:rFonts w:cs="Arial"/>
          <w:sz w:val="18"/>
          <w:szCs w:val="18"/>
        </w:rPr>
        <w:fldChar w:fldCharType="end"/>
      </w:r>
      <w:r>
        <w:rPr>
          <w:rFonts w:cs="Arial"/>
          <w:sz w:val="18"/>
          <w:szCs w:val="18"/>
        </w:rPr>
        <w:t>: Voorstel milieukwaliteitsnormen voor geur in functie van het type gebied (bron: LNE – de weg naar een duurzaam geurbeleid)</w:t>
      </w:r>
    </w:p>
    <w:p w:rsidR="005B5D40" w:rsidRDefault="005B5D40" w:rsidP="005B5D40">
      <w:pPr>
        <w:rPr>
          <w:rFonts w:cs="Arial"/>
          <w:color w:val="0000FF"/>
        </w:rPr>
      </w:pPr>
      <w:r>
        <w:rPr>
          <w:rFonts w:cs="Arial"/>
          <w:noProof/>
          <w:color w:val="0000FF"/>
        </w:rPr>
        <w:drawing>
          <wp:inline distT="0" distB="0" distL="0" distR="0">
            <wp:extent cx="4429125" cy="1476375"/>
            <wp:effectExtent l="19050" t="0" r="9525"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srcRect/>
                    <a:stretch>
                      <a:fillRect/>
                    </a:stretch>
                  </pic:blipFill>
                  <pic:spPr bwMode="auto">
                    <a:xfrm>
                      <a:off x="0" y="0"/>
                      <a:ext cx="4429125" cy="1476375"/>
                    </a:xfrm>
                    <a:prstGeom prst="rect">
                      <a:avLst/>
                    </a:prstGeom>
                    <a:noFill/>
                    <a:ln w="9525">
                      <a:noFill/>
                      <a:miter lim="800000"/>
                      <a:headEnd/>
                      <a:tailEnd/>
                    </a:ln>
                  </pic:spPr>
                </pic:pic>
              </a:graphicData>
            </a:graphic>
          </wp:inline>
        </w:drawing>
      </w:r>
    </w:p>
    <w:p w:rsidR="00D462BC" w:rsidRDefault="00D462BC" w:rsidP="00AF3F9E">
      <w:pPr>
        <w:rPr>
          <w:lang w:val="nl-NL"/>
        </w:rPr>
      </w:pPr>
    </w:p>
    <w:p w:rsidR="00695684" w:rsidRDefault="00695684">
      <w:pPr>
        <w:keepLines w:val="0"/>
        <w:spacing w:before="0" w:after="0" w:line="240" w:lineRule="auto"/>
        <w:jc w:val="left"/>
        <w:rPr>
          <w:b/>
          <w:smallCaps/>
          <w:spacing w:val="26"/>
          <w:sz w:val="22"/>
          <w:szCs w:val="24"/>
          <w:lang w:val="nl-NL"/>
        </w:rPr>
      </w:pPr>
      <w:r>
        <w:br w:type="page"/>
      </w:r>
    </w:p>
    <w:p w:rsidR="005B5D40" w:rsidRDefault="005B5D40" w:rsidP="005B5D40">
      <w:pPr>
        <w:pStyle w:val="Heading3"/>
        <w:jc w:val="left"/>
      </w:pPr>
      <w:bookmarkStart w:id="810" w:name="_Toc312069276"/>
      <w:r>
        <w:lastRenderedPageBreak/>
        <w:t>Afbakening en beschrijving studiegebied</w:t>
      </w:r>
      <w:bookmarkEnd w:id="810"/>
    </w:p>
    <w:p w:rsidR="005B5D40" w:rsidRDefault="005B5D40" w:rsidP="005B5D40">
      <w:pPr>
        <w:pStyle w:val="Heading4"/>
        <w:jc w:val="left"/>
      </w:pPr>
      <w:bookmarkStart w:id="811" w:name="_Toc312069277"/>
      <w:r>
        <w:t>Afbakening studiegebied</w:t>
      </w:r>
      <w:bookmarkEnd w:id="811"/>
    </w:p>
    <w:p w:rsidR="005B5D40" w:rsidRDefault="005B5D40" w:rsidP="005B5D40">
      <w:pPr>
        <w:rPr>
          <w:rFonts w:cs="Arial"/>
        </w:rPr>
      </w:pPr>
      <w:r>
        <w:rPr>
          <w:rFonts w:cs="Arial"/>
        </w:rPr>
        <w:t>Het studiegebied wordt afgebakend tot de zone rondom het bedrijf waar impact te verwachten is van de exploitatie. Op basis van de IFDM-dispersieberekeningen wordt het studegebied vastgelegd op een gebied van zowat 3 km  rondom het bedrijf.</w:t>
      </w:r>
    </w:p>
    <w:p w:rsidR="005B5D40" w:rsidRDefault="005B5D40" w:rsidP="005B5D40">
      <w:pPr>
        <w:pStyle w:val="Heading4"/>
        <w:jc w:val="left"/>
      </w:pPr>
      <w:bookmarkStart w:id="812" w:name="_Toc312069278"/>
      <w:r>
        <w:t>Beschrijving van de actuele luchtkwaliteit binnen het studiegebied</w:t>
      </w:r>
      <w:bookmarkEnd w:id="812"/>
    </w:p>
    <w:p w:rsidR="005B5D40" w:rsidRDefault="005B5D40" w:rsidP="005B5D40">
      <w:r>
        <w:t xml:space="preserve">De kwaliteit van de omgevingslucht wordt bepaald door natuurlijke emissies evenals door emissies afkomstig van menselijke activiteiten zoals industrie, energievoorziening, landbouw, gebouwenverwarming, raffinaderijen en verkeer. </w:t>
      </w:r>
    </w:p>
    <w:p w:rsidR="005B5D40" w:rsidRDefault="005B5D40" w:rsidP="005B5D40">
      <w:pPr>
        <w:rPr>
          <w:rFonts w:cs="Arial"/>
        </w:rPr>
      </w:pPr>
      <w:r>
        <w:rPr>
          <w:rFonts w:cs="Arial"/>
        </w:rPr>
        <w:t>De bestaande kwaliteit van de omgevingslucht wordt door de Vlaamse Milieumaatschappij (VMM) via verschillende meetposten, verspreid opgesteld in Vlaanderen gemeten. Een onderscheid wordt gemaakt tussen de algemene luchtkwaliteit die bepaald wordt door de ‘klassieke polluenten’ zoals SO</w:t>
      </w:r>
      <w:r w:rsidRPr="00A5708B">
        <w:rPr>
          <w:rFonts w:cs="Arial"/>
          <w:vertAlign w:val="subscript"/>
        </w:rPr>
        <w:t>2</w:t>
      </w:r>
      <w:r>
        <w:rPr>
          <w:rFonts w:cs="Arial"/>
        </w:rPr>
        <w:t>, NOx en PM</w:t>
      </w:r>
      <w:r w:rsidRPr="00A5708B">
        <w:rPr>
          <w:rFonts w:cs="Arial"/>
          <w:vertAlign w:val="subscript"/>
        </w:rPr>
        <w:t>10</w:t>
      </w:r>
      <w:r>
        <w:rPr>
          <w:rFonts w:cs="Arial"/>
        </w:rPr>
        <w:t xml:space="preserve"> en de meer specifiekere luchtkwaliteit bepaald door polluenten zoals o.a. VOS</w:t>
      </w:r>
      <w:r w:rsidRPr="00F82F6D">
        <w:rPr>
          <w:rFonts w:cs="Arial"/>
        </w:rPr>
        <w:t xml:space="preserve"> </w:t>
      </w:r>
      <w:r>
        <w:rPr>
          <w:rFonts w:cs="Arial"/>
        </w:rPr>
        <w:t>en ozon.</w:t>
      </w:r>
    </w:p>
    <w:p w:rsidR="005B5D40" w:rsidRDefault="005B5D40" w:rsidP="005B5D40">
      <w:pPr>
        <w:pStyle w:val="Heading5"/>
        <w:jc w:val="left"/>
      </w:pPr>
      <w:bookmarkStart w:id="813" w:name="_Toc312069279"/>
      <w:r>
        <w:t>Algemene parameters</w:t>
      </w:r>
      <w:bookmarkEnd w:id="813"/>
    </w:p>
    <w:p w:rsidR="005F04AB" w:rsidRDefault="005B5D40" w:rsidP="005B5D40">
      <w:pPr>
        <w:rPr>
          <w:lang w:val="nl-NL"/>
        </w:rPr>
      </w:pPr>
      <w:r w:rsidRPr="00A5708B">
        <w:rPr>
          <w:lang w:val="nl-NL"/>
        </w:rPr>
        <w:t>In de omgeving van het studiegebied kunnen een aantal meet</w:t>
      </w:r>
      <w:r>
        <w:rPr>
          <w:lang w:val="nl-NL"/>
        </w:rPr>
        <w:t>stations van de VMM</w:t>
      </w:r>
      <w:r w:rsidRPr="00A5708B">
        <w:rPr>
          <w:lang w:val="nl-NL"/>
        </w:rPr>
        <w:t xml:space="preserve"> worden gelokaliseerd</w:t>
      </w:r>
      <w:r w:rsidR="00DD1863">
        <w:rPr>
          <w:lang w:val="nl-NL"/>
        </w:rPr>
        <w:t>.</w:t>
      </w:r>
      <w:r w:rsidR="005F04AB">
        <w:rPr>
          <w:lang w:val="nl-NL"/>
        </w:rPr>
        <w:t xml:space="preserve"> </w:t>
      </w:r>
      <w:r w:rsidRPr="00A5708B">
        <w:rPr>
          <w:lang w:val="nl-NL"/>
        </w:rPr>
        <w:t xml:space="preserve">Deze meetposten worden evenwel sterk </w:t>
      </w:r>
      <w:r>
        <w:rPr>
          <w:lang w:val="nl-NL"/>
        </w:rPr>
        <w:t xml:space="preserve">tot zeer sterk </w:t>
      </w:r>
      <w:r w:rsidRPr="00A5708B">
        <w:rPr>
          <w:lang w:val="nl-NL"/>
        </w:rPr>
        <w:t>beïnvloed door</w:t>
      </w:r>
      <w:r>
        <w:rPr>
          <w:lang w:val="nl-NL"/>
        </w:rPr>
        <w:t xml:space="preserve"> een groot aantal</w:t>
      </w:r>
      <w:r w:rsidRPr="00A5708B">
        <w:rPr>
          <w:lang w:val="nl-NL"/>
        </w:rPr>
        <w:t xml:space="preserve"> lokale bronnen, waardoor de resultaten van deze meetstations in feite enkel indicatief zijn voor de luchtkwaliteit in het project- en studiegebied.</w:t>
      </w:r>
      <w:r>
        <w:rPr>
          <w:lang w:val="nl-NL"/>
        </w:rPr>
        <w:t xml:space="preserve"> </w:t>
      </w:r>
      <w:r w:rsidRPr="00314B0E">
        <w:rPr>
          <w:lang w:val="nl-NL"/>
        </w:rPr>
        <w:t xml:space="preserve">Zo worden een aantal nabijgelegen meetstations, i.c. 40AB01, 47E704 dermate beïnvloed door lokale bronnen (schepen in de sluis nabij 40AB01 en emissies elektriciteitscentrale te Kallo t.h.v. meetpunt 47E704), dat de meetresultaten van deze meetstations nauwelijks als relevant kunnen beschouwd worden.  </w:t>
      </w:r>
    </w:p>
    <w:p w:rsidR="005B5D40" w:rsidRDefault="005B5D40" w:rsidP="005B5D40">
      <w:pPr>
        <w:rPr>
          <w:lang w:val="nl-NL"/>
        </w:rPr>
      </w:pPr>
      <w:r w:rsidRPr="00314B0E">
        <w:rPr>
          <w:lang w:val="nl-NL"/>
        </w:rPr>
        <w:t>Het mee</w:t>
      </w:r>
      <w:r>
        <w:rPr>
          <w:lang w:val="nl-NL"/>
        </w:rPr>
        <w:t>tstation aan de Polderdijkweg wordt uitermate sterk beïnvloed door de nabijgelegen raffinaderijen,… . Het wordt dan ook weinig zinvol geacht om de resultaten van deze meetstations in dit MER mee op te nemen, temeer daar de impact van het bedrijf zich vnl. situeert ten aanzien van (specifieke) VOS.</w:t>
      </w:r>
    </w:p>
    <w:p w:rsidR="005B5D40" w:rsidRDefault="005B5D40" w:rsidP="005B5D40">
      <w:pPr>
        <w:rPr>
          <w:lang w:val="nl-NL"/>
        </w:rPr>
      </w:pPr>
      <w:r>
        <w:rPr>
          <w:lang w:val="nl-NL"/>
        </w:rPr>
        <w:t>Voor de beschrijving van de huidige luchtkwaliteit m.b.t. algemene parameters</w:t>
      </w:r>
      <w:r w:rsidRPr="00A5708B">
        <w:rPr>
          <w:lang w:val="nl-NL"/>
        </w:rPr>
        <w:t xml:space="preserve"> </w:t>
      </w:r>
      <w:r>
        <w:rPr>
          <w:lang w:val="nl-NL"/>
        </w:rPr>
        <w:t>is</w:t>
      </w:r>
      <w:r w:rsidRPr="00A5708B">
        <w:rPr>
          <w:lang w:val="nl-NL"/>
        </w:rPr>
        <w:t xml:space="preserve"> dan ook enkel gebruik gemaakt van de interpolatiekaarten van VMM om de plaatselijke luchtkwaliteit te beschrijven.</w:t>
      </w:r>
      <w:r>
        <w:rPr>
          <w:lang w:val="nl-NL"/>
        </w:rPr>
        <w:t xml:space="preserve"> De resultaten hiervan worden weergegeven in onderstaande tabel.</w:t>
      </w:r>
    </w:p>
    <w:p w:rsidR="005B5D40" w:rsidRDefault="005B5D40" w:rsidP="00695684">
      <w:pPr>
        <w:pStyle w:val="tabel0"/>
      </w:pPr>
      <w:r>
        <w:lastRenderedPageBreak/>
        <w:t>Ta</w:t>
      </w:r>
      <w:r w:rsidRPr="00A5708B">
        <w:t>b</w:t>
      </w:r>
      <w:r>
        <w:t>el</w:t>
      </w:r>
      <w:r w:rsidR="00357D99">
        <w:t xml:space="preserve"> </w:t>
      </w:r>
      <w:r w:rsidR="00C325A0">
        <w:fldChar w:fldCharType="begin"/>
      </w:r>
      <w:r w:rsidR="00357D99">
        <w:instrText xml:space="preserve"> REF t_lucht_luchtkwaliteit \h </w:instrText>
      </w:r>
      <w:r w:rsidR="00C325A0">
        <w:fldChar w:fldCharType="separate"/>
      </w:r>
      <w:r w:rsidR="008102D8">
        <w:t>VIII.2.7</w:t>
      </w:r>
      <w:r w:rsidR="00C325A0">
        <w:fldChar w:fldCharType="end"/>
      </w:r>
      <w:r w:rsidR="00357D99">
        <w:t xml:space="preserve">: </w:t>
      </w:r>
      <w:r>
        <w:t>Overzicht luchtkwaliteit m.b.t. algemene parameters in het studiegebied</w:t>
      </w:r>
    </w:p>
    <w:tbl>
      <w:tblPr>
        <w:tblStyle w:val="TableGrid"/>
        <w:tblW w:w="9526" w:type="dxa"/>
        <w:tblLook w:val="01E0"/>
      </w:tblPr>
      <w:tblGrid>
        <w:gridCol w:w="4219"/>
        <w:gridCol w:w="1781"/>
        <w:gridCol w:w="1786"/>
        <w:gridCol w:w="1740"/>
      </w:tblGrid>
      <w:tr w:rsidR="005B5D40" w:rsidRPr="00A5708B" w:rsidTr="005B5D40">
        <w:tc>
          <w:tcPr>
            <w:tcW w:w="4219" w:type="dxa"/>
            <w:shd w:val="clear" w:color="auto" w:fill="CCCCCC"/>
          </w:tcPr>
          <w:p w:rsidR="005B5D40" w:rsidRPr="00A5708B" w:rsidRDefault="005B5D40" w:rsidP="00695684">
            <w:pPr>
              <w:pStyle w:val="normaltabel"/>
              <w:keepNext/>
              <w:widowControl/>
              <w:spacing w:before="0" w:after="0" w:line="240" w:lineRule="atLeast"/>
              <w:jc w:val="left"/>
              <w:rPr>
                <w:b/>
              </w:rPr>
            </w:pPr>
            <w:r w:rsidRPr="00A5708B">
              <w:rPr>
                <w:b/>
              </w:rPr>
              <w:t>parameter</w:t>
            </w:r>
          </w:p>
        </w:tc>
        <w:tc>
          <w:tcPr>
            <w:tcW w:w="1781" w:type="dxa"/>
            <w:shd w:val="clear" w:color="auto" w:fill="CCCCCC"/>
          </w:tcPr>
          <w:p w:rsidR="005B5D40" w:rsidRPr="00A5708B" w:rsidRDefault="005B5D40" w:rsidP="00695684">
            <w:pPr>
              <w:pStyle w:val="normaltabel"/>
              <w:keepNext/>
              <w:widowControl/>
              <w:spacing w:before="0" w:after="0" w:line="240" w:lineRule="atLeast"/>
              <w:jc w:val="center"/>
              <w:rPr>
                <w:b/>
                <w:vertAlign w:val="subscript"/>
              </w:rPr>
            </w:pPr>
            <w:r w:rsidRPr="00A5708B">
              <w:rPr>
                <w:b/>
              </w:rPr>
              <w:t>SO</w:t>
            </w:r>
            <w:r w:rsidRPr="00A5708B">
              <w:rPr>
                <w:b/>
                <w:vertAlign w:val="subscript"/>
              </w:rPr>
              <w:t>2</w:t>
            </w:r>
          </w:p>
        </w:tc>
        <w:tc>
          <w:tcPr>
            <w:tcW w:w="1786" w:type="dxa"/>
            <w:shd w:val="clear" w:color="auto" w:fill="CCCCCC"/>
          </w:tcPr>
          <w:p w:rsidR="005B5D40" w:rsidRPr="00A5708B" w:rsidRDefault="005B5D40" w:rsidP="00695684">
            <w:pPr>
              <w:pStyle w:val="normaltabel"/>
              <w:keepNext/>
              <w:widowControl/>
              <w:spacing w:before="0" w:after="0" w:line="240" w:lineRule="atLeast"/>
              <w:jc w:val="center"/>
              <w:rPr>
                <w:b/>
                <w:vertAlign w:val="subscript"/>
              </w:rPr>
            </w:pPr>
            <w:r w:rsidRPr="00A5708B">
              <w:rPr>
                <w:b/>
              </w:rPr>
              <w:t>NO</w:t>
            </w:r>
            <w:r w:rsidRPr="00A5708B">
              <w:rPr>
                <w:b/>
                <w:vertAlign w:val="subscript"/>
              </w:rPr>
              <w:t>2</w:t>
            </w:r>
          </w:p>
        </w:tc>
        <w:tc>
          <w:tcPr>
            <w:tcW w:w="1740" w:type="dxa"/>
            <w:shd w:val="clear" w:color="auto" w:fill="CCCCCC"/>
          </w:tcPr>
          <w:p w:rsidR="005B5D40" w:rsidRPr="00A5708B" w:rsidRDefault="005B5D40" w:rsidP="00695684">
            <w:pPr>
              <w:pStyle w:val="normaltabel"/>
              <w:keepNext/>
              <w:widowControl/>
              <w:spacing w:before="0" w:after="0" w:line="240" w:lineRule="atLeast"/>
              <w:jc w:val="center"/>
              <w:rPr>
                <w:b/>
              </w:rPr>
            </w:pPr>
            <w:r w:rsidRPr="00A5708B">
              <w:rPr>
                <w:b/>
              </w:rPr>
              <w:t>PM10</w:t>
            </w:r>
          </w:p>
        </w:tc>
      </w:tr>
      <w:tr w:rsidR="005B5D40" w:rsidTr="005B5D40">
        <w:tc>
          <w:tcPr>
            <w:tcW w:w="4219" w:type="dxa"/>
          </w:tcPr>
          <w:p w:rsidR="005B5D40" w:rsidRDefault="005B5D40" w:rsidP="00695684">
            <w:pPr>
              <w:pStyle w:val="normaltabel"/>
              <w:keepNext/>
              <w:widowControl/>
              <w:spacing w:before="0" w:after="0" w:line="240" w:lineRule="atLeast"/>
              <w:jc w:val="left"/>
            </w:pPr>
            <w:r>
              <w:t>jaargemiddelde concentratie, µg/m³</w:t>
            </w:r>
          </w:p>
        </w:tc>
        <w:tc>
          <w:tcPr>
            <w:tcW w:w="1781" w:type="dxa"/>
          </w:tcPr>
          <w:p w:rsidR="005B5D40" w:rsidRDefault="005B5D40" w:rsidP="00695684">
            <w:pPr>
              <w:pStyle w:val="normaltabel"/>
              <w:keepNext/>
              <w:widowControl/>
              <w:spacing w:before="0" w:after="0" w:line="240" w:lineRule="atLeast"/>
              <w:jc w:val="center"/>
            </w:pPr>
            <w:r>
              <w:t>10 - 20</w:t>
            </w:r>
          </w:p>
        </w:tc>
        <w:tc>
          <w:tcPr>
            <w:tcW w:w="1786" w:type="dxa"/>
          </w:tcPr>
          <w:p w:rsidR="005B5D40" w:rsidRDefault="005B5D40" w:rsidP="00695684">
            <w:pPr>
              <w:pStyle w:val="normaltabel"/>
              <w:keepNext/>
              <w:widowControl/>
              <w:spacing w:before="0" w:after="0" w:line="240" w:lineRule="atLeast"/>
              <w:jc w:val="center"/>
            </w:pPr>
            <w:r>
              <w:t>30 - 45</w:t>
            </w:r>
          </w:p>
        </w:tc>
        <w:tc>
          <w:tcPr>
            <w:tcW w:w="1740" w:type="dxa"/>
          </w:tcPr>
          <w:p w:rsidR="005B5D40" w:rsidRDefault="005B5D40" w:rsidP="00695684">
            <w:pPr>
              <w:pStyle w:val="normaltabel"/>
              <w:keepNext/>
              <w:widowControl/>
              <w:spacing w:before="0" w:after="0" w:line="240" w:lineRule="atLeast"/>
              <w:jc w:val="center"/>
            </w:pPr>
            <w:r>
              <w:t>25 - 35</w:t>
            </w:r>
          </w:p>
        </w:tc>
      </w:tr>
      <w:tr w:rsidR="005B5D40" w:rsidTr="005B5D40">
        <w:tc>
          <w:tcPr>
            <w:tcW w:w="4219" w:type="dxa"/>
          </w:tcPr>
          <w:p w:rsidR="005B5D40" w:rsidRDefault="005B5D40" w:rsidP="00695684">
            <w:pPr>
              <w:pStyle w:val="normaltabel"/>
              <w:keepNext/>
              <w:widowControl/>
              <w:spacing w:before="0" w:after="0" w:line="240" w:lineRule="atLeast"/>
              <w:jc w:val="left"/>
            </w:pPr>
            <w:r>
              <w:t>belangrijkste lokale bronnen</w:t>
            </w:r>
          </w:p>
        </w:tc>
        <w:tc>
          <w:tcPr>
            <w:tcW w:w="1781" w:type="dxa"/>
          </w:tcPr>
          <w:p w:rsidR="005B5D40" w:rsidRDefault="005B5D40" w:rsidP="00695684">
            <w:pPr>
              <w:pStyle w:val="normaltabel"/>
              <w:keepNext/>
              <w:widowControl/>
              <w:spacing w:before="0" w:after="0" w:line="240" w:lineRule="atLeast"/>
              <w:jc w:val="center"/>
            </w:pPr>
            <w:r>
              <w:t>scheepvaart</w:t>
            </w:r>
          </w:p>
          <w:p w:rsidR="005B5D40" w:rsidRDefault="005B5D40" w:rsidP="00695684">
            <w:pPr>
              <w:pStyle w:val="normaltabel"/>
              <w:keepNext/>
              <w:widowControl/>
              <w:spacing w:before="0" w:after="0" w:line="240" w:lineRule="atLeast"/>
              <w:jc w:val="center"/>
            </w:pPr>
            <w:r>
              <w:t>raffinaderijen</w:t>
            </w:r>
          </w:p>
        </w:tc>
        <w:tc>
          <w:tcPr>
            <w:tcW w:w="1786" w:type="dxa"/>
          </w:tcPr>
          <w:p w:rsidR="005B5D40" w:rsidRDefault="005B5D40" w:rsidP="00695684">
            <w:pPr>
              <w:pStyle w:val="normaltabel"/>
              <w:keepNext/>
              <w:widowControl/>
              <w:spacing w:before="0" w:after="0" w:line="240" w:lineRule="atLeast"/>
              <w:jc w:val="center"/>
            </w:pPr>
            <w:r>
              <w:t>scheepvaart</w:t>
            </w:r>
          </w:p>
          <w:p w:rsidR="005B5D40" w:rsidRDefault="005B5D40" w:rsidP="00695684">
            <w:pPr>
              <w:pStyle w:val="normaltabel"/>
              <w:keepNext/>
              <w:widowControl/>
              <w:spacing w:before="0" w:after="0" w:line="240" w:lineRule="atLeast"/>
              <w:jc w:val="center"/>
            </w:pPr>
            <w:r>
              <w:t>raffinaderijen</w:t>
            </w:r>
          </w:p>
          <w:p w:rsidR="005B5D40" w:rsidRDefault="005B5D40" w:rsidP="00695684">
            <w:pPr>
              <w:pStyle w:val="normaltabel"/>
              <w:keepNext/>
              <w:widowControl/>
              <w:spacing w:before="0" w:after="0" w:line="240" w:lineRule="atLeast"/>
              <w:jc w:val="center"/>
            </w:pPr>
            <w:r>
              <w:t>(petro)chemie</w:t>
            </w:r>
          </w:p>
          <w:p w:rsidR="005B5D40" w:rsidRDefault="005B5D40" w:rsidP="00695684">
            <w:pPr>
              <w:pStyle w:val="normaltabel"/>
              <w:keepNext/>
              <w:widowControl/>
              <w:spacing w:before="0" w:after="0" w:line="240" w:lineRule="atLeast"/>
              <w:jc w:val="center"/>
            </w:pPr>
            <w:r>
              <w:t>verkeer</w:t>
            </w:r>
          </w:p>
        </w:tc>
        <w:tc>
          <w:tcPr>
            <w:tcW w:w="1740" w:type="dxa"/>
          </w:tcPr>
          <w:p w:rsidR="005B5D40" w:rsidRDefault="005B5D40" w:rsidP="00695684">
            <w:pPr>
              <w:pStyle w:val="normaltabel"/>
              <w:keepNext/>
              <w:widowControl/>
              <w:spacing w:before="0" w:after="0" w:line="240" w:lineRule="atLeast"/>
              <w:jc w:val="center"/>
            </w:pPr>
            <w:r>
              <w:t>scheepvaart</w:t>
            </w:r>
          </w:p>
          <w:p w:rsidR="005B5D40" w:rsidRDefault="005B5D40" w:rsidP="00695684">
            <w:pPr>
              <w:pStyle w:val="normaltabel"/>
              <w:keepNext/>
              <w:widowControl/>
              <w:spacing w:before="0" w:after="0" w:line="240" w:lineRule="atLeast"/>
              <w:jc w:val="center"/>
            </w:pPr>
            <w:r>
              <w:t>raffinaderijen</w:t>
            </w:r>
          </w:p>
          <w:p w:rsidR="005B5D40" w:rsidRDefault="005B5D40" w:rsidP="00695684">
            <w:pPr>
              <w:pStyle w:val="normaltabel"/>
              <w:keepNext/>
              <w:widowControl/>
              <w:spacing w:before="0" w:after="0" w:line="240" w:lineRule="atLeast"/>
              <w:jc w:val="center"/>
            </w:pPr>
            <w:r>
              <w:t>verkeer</w:t>
            </w:r>
          </w:p>
          <w:p w:rsidR="005B5D40" w:rsidRDefault="005B5D40" w:rsidP="00695684">
            <w:pPr>
              <w:pStyle w:val="normaltabel"/>
              <w:keepNext/>
              <w:widowControl/>
              <w:spacing w:before="0" w:after="0" w:line="240" w:lineRule="atLeast"/>
              <w:jc w:val="center"/>
            </w:pPr>
          </w:p>
        </w:tc>
      </w:tr>
      <w:tr w:rsidR="005B5D40" w:rsidTr="005B5D40">
        <w:tc>
          <w:tcPr>
            <w:tcW w:w="4219" w:type="dxa"/>
          </w:tcPr>
          <w:p w:rsidR="005B5D40" w:rsidRDefault="005B5D40" w:rsidP="00695684">
            <w:pPr>
              <w:pStyle w:val="normaltabel"/>
              <w:keepNext/>
              <w:widowControl/>
              <w:spacing w:before="0" w:after="0" w:line="240" w:lineRule="atLeast"/>
              <w:jc w:val="left"/>
            </w:pPr>
            <w:r>
              <w:t>mogelijke overschrijdingen luchtkwaliteitsdoelstellingen</w:t>
            </w:r>
          </w:p>
        </w:tc>
        <w:tc>
          <w:tcPr>
            <w:tcW w:w="1781" w:type="dxa"/>
          </w:tcPr>
          <w:p w:rsidR="005B5D40" w:rsidRDefault="005B5D40" w:rsidP="00695684">
            <w:pPr>
              <w:pStyle w:val="normaltabel"/>
              <w:keepNext/>
              <w:widowControl/>
              <w:spacing w:before="0" w:after="0" w:line="240" w:lineRule="atLeast"/>
              <w:jc w:val="center"/>
            </w:pPr>
            <w:r>
              <w:t>geen op jaarbasis</w:t>
            </w:r>
          </w:p>
        </w:tc>
        <w:tc>
          <w:tcPr>
            <w:tcW w:w="1786" w:type="dxa"/>
          </w:tcPr>
          <w:p w:rsidR="005B5D40" w:rsidRDefault="005B5D40" w:rsidP="00695684">
            <w:pPr>
              <w:pStyle w:val="normaltabel"/>
              <w:keepNext/>
              <w:widowControl/>
              <w:spacing w:before="0" w:after="0" w:line="240" w:lineRule="atLeast"/>
              <w:jc w:val="center"/>
            </w:pPr>
            <w:r>
              <w:t>lokale overschrijding jaargemiddelde grenswaarde, uurgemiddelde grenswaarde wordt gerespecteerd</w:t>
            </w:r>
          </w:p>
        </w:tc>
        <w:tc>
          <w:tcPr>
            <w:tcW w:w="1740" w:type="dxa"/>
          </w:tcPr>
          <w:p w:rsidR="005B5D40" w:rsidRDefault="005B5D40" w:rsidP="00695684">
            <w:pPr>
              <w:pStyle w:val="normaltabel"/>
              <w:keepNext/>
              <w:widowControl/>
              <w:spacing w:before="0" w:after="0" w:line="240" w:lineRule="atLeast"/>
              <w:jc w:val="center"/>
            </w:pPr>
            <w:r>
              <w:t>geen op jaarbasis, wel op dagbasis</w:t>
            </w:r>
          </w:p>
        </w:tc>
      </w:tr>
      <w:tr w:rsidR="005B5D40" w:rsidTr="005B5D40">
        <w:tc>
          <w:tcPr>
            <w:tcW w:w="4219" w:type="dxa"/>
          </w:tcPr>
          <w:p w:rsidR="005B5D40" w:rsidRDefault="005B5D40" w:rsidP="00695684">
            <w:pPr>
              <w:pStyle w:val="normaltabel"/>
              <w:keepNext/>
              <w:widowControl/>
              <w:spacing w:before="0" w:after="0" w:line="240" w:lineRule="atLeast"/>
              <w:jc w:val="left"/>
            </w:pPr>
            <w:r>
              <w:t xml:space="preserve">jaargemiddelde grenswaarde </w:t>
            </w:r>
          </w:p>
        </w:tc>
        <w:tc>
          <w:tcPr>
            <w:tcW w:w="1781" w:type="dxa"/>
          </w:tcPr>
          <w:p w:rsidR="005B5D40" w:rsidRDefault="005B5D40" w:rsidP="00695684">
            <w:pPr>
              <w:pStyle w:val="normaltabel"/>
              <w:keepNext/>
              <w:widowControl/>
              <w:spacing w:before="0" w:after="0" w:line="240" w:lineRule="atLeast"/>
              <w:jc w:val="center"/>
            </w:pPr>
          </w:p>
        </w:tc>
        <w:tc>
          <w:tcPr>
            <w:tcW w:w="1786" w:type="dxa"/>
          </w:tcPr>
          <w:p w:rsidR="005B5D40" w:rsidRDefault="005B5D40" w:rsidP="00695684">
            <w:pPr>
              <w:pStyle w:val="normaltabel"/>
              <w:keepNext/>
              <w:widowControl/>
              <w:spacing w:before="0" w:after="0" w:line="240" w:lineRule="atLeast"/>
              <w:jc w:val="center"/>
            </w:pPr>
            <w:r>
              <w:t>40</w:t>
            </w:r>
          </w:p>
        </w:tc>
        <w:tc>
          <w:tcPr>
            <w:tcW w:w="1740" w:type="dxa"/>
          </w:tcPr>
          <w:p w:rsidR="005B5D40" w:rsidRDefault="005B5D40" w:rsidP="00695684">
            <w:pPr>
              <w:pStyle w:val="normaltabel"/>
              <w:keepNext/>
              <w:widowControl/>
              <w:spacing w:before="0" w:after="0" w:line="240" w:lineRule="atLeast"/>
              <w:jc w:val="center"/>
            </w:pPr>
            <w:r>
              <w:t>40</w:t>
            </w:r>
          </w:p>
        </w:tc>
      </w:tr>
      <w:tr w:rsidR="005B5D40" w:rsidTr="005B5D40">
        <w:tc>
          <w:tcPr>
            <w:tcW w:w="4219" w:type="dxa"/>
          </w:tcPr>
          <w:p w:rsidR="005B5D40" w:rsidRDefault="005B5D40" w:rsidP="00695684">
            <w:pPr>
              <w:pStyle w:val="normaltabel"/>
              <w:keepNext/>
              <w:widowControl/>
              <w:spacing w:before="0" w:after="0" w:line="240" w:lineRule="atLeast"/>
              <w:jc w:val="left"/>
            </w:pPr>
            <w:r>
              <w:t xml:space="preserve">daggemiddelde grenswaarde </w:t>
            </w:r>
          </w:p>
        </w:tc>
        <w:tc>
          <w:tcPr>
            <w:tcW w:w="1781" w:type="dxa"/>
          </w:tcPr>
          <w:p w:rsidR="005B5D40" w:rsidRPr="00E7345F" w:rsidRDefault="005B5D40" w:rsidP="00695684">
            <w:pPr>
              <w:pStyle w:val="normaltabel"/>
              <w:keepNext/>
              <w:widowControl/>
              <w:spacing w:before="0" w:after="0" w:line="240" w:lineRule="atLeast"/>
              <w:jc w:val="center"/>
              <w:rPr>
                <w:vertAlign w:val="superscript"/>
              </w:rPr>
            </w:pPr>
            <w:r>
              <w:t xml:space="preserve">125 </w:t>
            </w:r>
            <w:r>
              <w:rPr>
                <w:vertAlign w:val="superscript"/>
              </w:rPr>
              <w:t>1</w:t>
            </w:r>
          </w:p>
        </w:tc>
        <w:tc>
          <w:tcPr>
            <w:tcW w:w="1786" w:type="dxa"/>
          </w:tcPr>
          <w:p w:rsidR="005B5D40" w:rsidRDefault="005B5D40" w:rsidP="00695684">
            <w:pPr>
              <w:pStyle w:val="normaltabel"/>
              <w:keepNext/>
              <w:widowControl/>
              <w:spacing w:before="0" w:after="0" w:line="240" w:lineRule="atLeast"/>
              <w:jc w:val="center"/>
            </w:pPr>
          </w:p>
        </w:tc>
        <w:tc>
          <w:tcPr>
            <w:tcW w:w="1740" w:type="dxa"/>
          </w:tcPr>
          <w:p w:rsidR="005B5D40" w:rsidRPr="00E7345F" w:rsidRDefault="005B5D40" w:rsidP="00695684">
            <w:pPr>
              <w:pStyle w:val="normaltabel"/>
              <w:keepNext/>
              <w:widowControl/>
              <w:spacing w:before="0" w:after="0" w:line="240" w:lineRule="atLeast"/>
              <w:jc w:val="center"/>
              <w:rPr>
                <w:vertAlign w:val="superscript"/>
              </w:rPr>
            </w:pPr>
            <w:r>
              <w:t xml:space="preserve">50 </w:t>
            </w:r>
            <w:r>
              <w:rPr>
                <w:vertAlign w:val="superscript"/>
              </w:rPr>
              <w:t>4</w:t>
            </w:r>
          </w:p>
        </w:tc>
      </w:tr>
      <w:tr w:rsidR="005B5D40" w:rsidTr="005B5D40">
        <w:tc>
          <w:tcPr>
            <w:tcW w:w="4219" w:type="dxa"/>
          </w:tcPr>
          <w:p w:rsidR="005B5D40" w:rsidRDefault="005B5D40" w:rsidP="00695684">
            <w:pPr>
              <w:pStyle w:val="normaltabel"/>
              <w:keepNext/>
              <w:widowControl/>
              <w:spacing w:before="0" w:after="0" w:line="240" w:lineRule="atLeast"/>
              <w:jc w:val="left"/>
            </w:pPr>
            <w:r>
              <w:t xml:space="preserve">uurgemiddelde grenswaarde </w:t>
            </w:r>
          </w:p>
        </w:tc>
        <w:tc>
          <w:tcPr>
            <w:tcW w:w="1781" w:type="dxa"/>
          </w:tcPr>
          <w:p w:rsidR="005B5D40" w:rsidRPr="00E7345F" w:rsidRDefault="005B5D40" w:rsidP="00695684">
            <w:pPr>
              <w:pStyle w:val="normaltabel"/>
              <w:keepNext/>
              <w:widowControl/>
              <w:spacing w:before="0" w:after="0" w:line="240" w:lineRule="atLeast"/>
              <w:jc w:val="center"/>
              <w:rPr>
                <w:vertAlign w:val="superscript"/>
              </w:rPr>
            </w:pPr>
            <w:r>
              <w:t xml:space="preserve">350 </w:t>
            </w:r>
            <w:r>
              <w:rPr>
                <w:vertAlign w:val="superscript"/>
              </w:rPr>
              <w:t>2</w:t>
            </w:r>
          </w:p>
        </w:tc>
        <w:tc>
          <w:tcPr>
            <w:tcW w:w="1786" w:type="dxa"/>
          </w:tcPr>
          <w:p w:rsidR="005B5D40" w:rsidRPr="00E7345F" w:rsidRDefault="005B5D40" w:rsidP="00695684">
            <w:pPr>
              <w:pStyle w:val="normaltabel"/>
              <w:keepNext/>
              <w:widowControl/>
              <w:spacing w:before="0" w:after="0" w:line="240" w:lineRule="atLeast"/>
              <w:jc w:val="center"/>
              <w:rPr>
                <w:vertAlign w:val="superscript"/>
              </w:rPr>
            </w:pPr>
            <w:r>
              <w:t xml:space="preserve">200 </w:t>
            </w:r>
            <w:r>
              <w:rPr>
                <w:vertAlign w:val="superscript"/>
              </w:rPr>
              <w:t>3</w:t>
            </w:r>
          </w:p>
        </w:tc>
        <w:tc>
          <w:tcPr>
            <w:tcW w:w="1740" w:type="dxa"/>
          </w:tcPr>
          <w:p w:rsidR="005B5D40" w:rsidRDefault="005B5D40" w:rsidP="00695684">
            <w:pPr>
              <w:pStyle w:val="normaltabel"/>
              <w:keepNext/>
              <w:widowControl/>
              <w:spacing w:before="0" w:after="0" w:line="240" w:lineRule="atLeast"/>
              <w:jc w:val="center"/>
            </w:pPr>
          </w:p>
        </w:tc>
      </w:tr>
    </w:tbl>
    <w:p w:rsidR="005B5D40" w:rsidRPr="00E7345F" w:rsidRDefault="005B5D40" w:rsidP="00695684">
      <w:pPr>
        <w:pStyle w:val="voetnoottabel"/>
        <w:keepNext/>
        <w:widowControl/>
      </w:pPr>
      <w:r>
        <w:rPr>
          <w:vertAlign w:val="superscript"/>
        </w:rPr>
        <w:t>1</w:t>
      </w:r>
      <w:r>
        <w:t xml:space="preserve"> : 3 overschrijdingen per kalenderjaar toegelaten</w:t>
      </w:r>
    </w:p>
    <w:p w:rsidR="005B5D40" w:rsidRPr="00E7345F" w:rsidRDefault="005B5D40" w:rsidP="00695684">
      <w:pPr>
        <w:pStyle w:val="voetnoottabel"/>
        <w:keepNext/>
        <w:widowControl/>
      </w:pPr>
      <w:r>
        <w:rPr>
          <w:vertAlign w:val="superscript"/>
        </w:rPr>
        <w:t>2</w:t>
      </w:r>
      <w:r>
        <w:t xml:space="preserve"> : 24 overschrijdingen per kalenderjaar toegelaten</w:t>
      </w:r>
    </w:p>
    <w:p w:rsidR="005B5D40" w:rsidRDefault="005B5D40" w:rsidP="00695684">
      <w:pPr>
        <w:pStyle w:val="voetnoottabel"/>
        <w:keepNext/>
        <w:widowControl/>
      </w:pPr>
      <w:r>
        <w:rPr>
          <w:vertAlign w:val="superscript"/>
        </w:rPr>
        <w:t>3</w:t>
      </w:r>
      <w:r>
        <w:t xml:space="preserve"> : 18 overschrijdingen per kalenderjaar toegelaten</w:t>
      </w:r>
    </w:p>
    <w:p w:rsidR="005B5D40" w:rsidRDefault="005B5D40" w:rsidP="00695684">
      <w:pPr>
        <w:pStyle w:val="voetnoottabel"/>
        <w:keepNext/>
        <w:widowControl/>
      </w:pPr>
      <w:r>
        <w:rPr>
          <w:vertAlign w:val="superscript"/>
        </w:rPr>
        <w:t>4</w:t>
      </w:r>
      <w:r>
        <w:t xml:space="preserve"> : 35 overschrijdingen per kalenderjaar toegelaten</w:t>
      </w:r>
    </w:p>
    <w:p w:rsidR="005B5D40" w:rsidRDefault="005B5D40" w:rsidP="005B5D40">
      <w:pPr>
        <w:rPr>
          <w:lang w:val="nl-NL"/>
        </w:rPr>
      </w:pPr>
      <w:r>
        <w:rPr>
          <w:lang w:val="nl-NL"/>
        </w:rPr>
        <w:t>In onderstaande tabel worden de meerjarig gemodelleerde waarden opgenomen van een aantal rasters gelegen in het studiegebied, zoals berekend door VMM (</w:t>
      </w:r>
      <w:r w:rsidRPr="00536470">
        <w:rPr>
          <w:lang w:val="nl-NL"/>
        </w:rPr>
        <w:t>geoloket Advisering RUP – Thema lucht</w:t>
      </w:r>
      <w:r>
        <w:rPr>
          <w:lang w:val="nl-NL"/>
        </w:rPr>
        <w:t>)</w:t>
      </w:r>
    </w:p>
    <w:p w:rsidR="005B5D40" w:rsidRDefault="005B5D40" w:rsidP="005B5D40">
      <w:pPr>
        <w:pStyle w:val="Caption"/>
        <w:rPr>
          <w:lang w:val="nl-NL"/>
        </w:rPr>
      </w:pPr>
      <w:r>
        <w:t>Tabel</w:t>
      </w:r>
      <w:r w:rsidR="00357D99">
        <w:t xml:space="preserve"> </w:t>
      </w:r>
      <w:r w:rsidR="00C325A0">
        <w:fldChar w:fldCharType="begin"/>
      </w:r>
      <w:r w:rsidR="00357D99">
        <w:instrText xml:space="preserve"> REF t_lucht_gemod_waarden \h </w:instrText>
      </w:r>
      <w:r w:rsidR="00C325A0">
        <w:fldChar w:fldCharType="separate"/>
      </w:r>
      <w:r w:rsidR="008102D8">
        <w:t>VIII.2.8</w:t>
      </w:r>
      <w:r w:rsidR="00C325A0">
        <w:fldChar w:fldCharType="end"/>
      </w:r>
      <w:r>
        <w:t>: overzicht gemodelleerde waarden voor het studiegebied (VMM)</w:t>
      </w:r>
    </w:p>
    <w:p w:rsidR="005B5D40" w:rsidRPr="008B63AD" w:rsidRDefault="005B5D40" w:rsidP="005B5D40">
      <w:pPr>
        <w:keepLines w:val="0"/>
        <w:shd w:val="clear" w:color="auto" w:fill="FFFFFF"/>
        <w:spacing w:before="100" w:line="240" w:lineRule="auto"/>
        <w:rPr>
          <w:rFonts w:ascii="Verdana" w:hAnsi="Verdana"/>
          <w:b/>
          <w:bCs/>
          <w:color w:val="000000"/>
          <w:sz w:val="14"/>
          <w:szCs w:val="14"/>
          <w:lang w:val="nl-NL" w:eastAsia="nl-NL"/>
        </w:rPr>
      </w:pPr>
      <w:r w:rsidRPr="008B63AD">
        <w:rPr>
          <w:rFonts w:ascii="Verdana" w:hAnsi="Verdana"/>
          <w:b/>
          <w:bCs/>
          <w:color w:val="000000"/>
          <w:sz w:val="14"/>
          <w:szCs w:val="14"/>
          <w:lang w:val="nl-NL" w:eastAsia="nl-NL"/>
        </w:rPr>
        <w:t>Totale index (gemiddelde 2007-2009)</w:t>
      </w:r>
    </w:p>
    <w:tbl>
      <w:tblPr>
        <w:tblW w:w="0" w:type="auto"/>
        <w:tblCellSpacing w:w="0" w:type="dxa"/>
        <w:tblCellMar>
          <w:left w:w="0" w:type="dxa"/>
          <w:right w:w="0" w:type="dxa"/>
        </w:tblCellMar>
        <w:tblLook w:val="04A0"/>
      </w:tblPr>
      <w:tblGrid>
        <w:gridCol w:w="309"/>
        <w:gridCol w:w="825"/>
        <w:gridCol w:w="993"/>
        <w:gridCol w:w="1213"/>
        <w:gridCol w:w="1304"/>
        <w:gridCol w:w="2019"/>
      </w:tblGrid>
      <w:tr w:rsidR="005B5D40" w:rsidRPr="008B63AD" w:rsidTr="005B5D40">
        <w:trPr>
          <w:tblCellSpacing w:w="0" w:type="dxa"/>
        </w:trPr>
        <w:tc>
          <w:tcPr>
            <w:tcW w:w="0" w:type="auto"/>
            <w:vAlign w:val="center"/>
            <w:hideMark/>
          </w:tcPr>
          <w:p w:rsidR="005B5D40" w:rsidRPr="008B63AD" w:rsidRDefault="00C325A0" w:rsidP="005B5D40">
            <w:pPr>
              <w:keepLines w:val="0"/>
              <w:spacing w:before="0" w:after="0" w:line="240" w:lineRule="auto"/>
              <w:rPr>
                <w:rFonts w:ascii="Verdana" w:hAnsi="Verdana"/>
                <w:b/>
                <w:bCs/>
                <w:color w:val="000000"/>
                <w:sz w:val="14"/>
                <w:szCs w:val="14"/>
                <w:lang w:val="nl-NL" w:eastAsia="nl-NL"/>
              </w:rPr>
            </w:pPr>
            <w:hyperlink r:id="rId67" w:history="1">
              <w:r w:rsidR="005B5D40" w:rsidRPr="008B63AD">
                <w:rPr>
                  <w:rFonts w:ascii="Verdana" w:hAnsi="Verdana"/>
                  <w:b/>
                  <w:bCs/>
                  <w:color w:val="003333"/>
                  <w:sz w:val="13"/>
                  <w:szCs w:val="13"/>
                  <w:bdr w:val="single" w:sz="2" w:space="1" w:color="FFFFFF" w:frame="1"/>
                  <w:shd w:val="clear" w:color="auto" w:fill="EBEADB"/>
                  <w:lang w:val="nl-NL" w:eastAsia="nl-NL"/>
                </w:rPr>
                <w:t>@</w:t>
              </w:r>
              <w:r w:rsidR="005B5D40" w:rsidRPr="008B63AD">
                <w:rPr>
                  <w:rFonts w:ascii="Verdana" w:hAnsi="Verdana"/>
                  <w:b/>
                  <w:bCs/>
                  <w:color w:val="000000"/>
                  <w:sz w:val="13"/>
                  <w:lang w:val="nl-NL" w:eastAsia="nl-NL"/>
                </w:rPr>
                <w:t>   </w:t>
              </w:r>
            </w:hyperlink>
          </w:p>
        </w:tc>
        <w:tc>
          <w:tcPr>
            <w:tcW w:w="825" w:type="dxa"/>
            <w:vAlign w:val="center"/>
            <w:hideMark/>
          </w:tcPr>
          <w:p w:rsidR="005B5D40" w:rsidRPr="008B63AD" w:rsidRDefault="00C325A0" w:rsidP="005B5D40">
            <w:pPr>
              <w:keepLines w:val="0"/>
              <w:spacing w:before="0" w:after="0" w:line="240" w:lineRule="auto"/>
              <w:rPr>
                <w:rFonts w:ascii="Verdana" w:hAnsi="Verdana"/>
                <w:b/>
                <w:bCs/>
                <w:color w:val="000000"/>
                <w:sz w:val="14"/>
                <w:szCs w:val="14"/>
                <w:lang w:val="nl-NL" w:eastAsia="nl-NL"/>
              </w:rPr>
            </w:pPr>
            <w:hyperlink r:id="rId68" w:history="1">
              <w:r w:rsidR="005B5D40" w:rsidRPr="008B63AD">
                <w:rPr>
                  <w:rFonts w:ascii="Verdana" w:hAnsi="Verdana"/>
                  <w:b/>
                  <w:bCs/>
                  <w:color w:val="003333"/>
                  <w:sz w:val="13"/>
                  <w:szCs w:val="13"/>
                  <w:bdr w:val="single" w:sz="2" w:space="1" w:color="FFFFFF" w:frame="1"/>
                  <w:shd w:val="clear" w:color="auto" w:fill="EBEADB"/>
                  <w:lang w:val="nl-NL" w:eastAsia="nl-NL"/>
                </w:rPr>
                <w:t>X</w:t>
              </w:r>
              <w:r w:rsidR="005B5D40" w:rsidRPr="008B63AD">
                <w:rPr>
                  <w:rFonts w:ascii="Verdana" w:hAnsi="Verdana"/>
                  <w:b/>
                  <w:bCs/>
                  <w:color w:val="000000"/>
                  <w:sz w:val="13"/>
                  <w:lang w:val="nl-NL" w:eastAsia="nl-NL"/>
                </w:rPr>
                <w:t>   </w:t>
              </w:r>
            </w:hyperlink>
          </w:p>
        </w:tc>
        <w:tc>
          <w:tcPr>
            <w:tcW w:w="993" w:type="dxa"/>
            <w:vAlign w:val="center"/>
            <w:hideMark/>
          </w:tcPr>
          <w:p w:rsidR="005B5D40" w:rsidRPr="008B63AD" w:rsidRDefault="00C325A0" w:rsidP="005B5D40">
            <w:pPr>
              <w:keepLines w:val="0"/>
              <w:spacing w:before="0" w:after="0" w:line="240" w:lineRule="auto"/>
              <w:rPr>
                <w:rFonts w:ascii="Verdana" w:hAnsi="Verdana"/>
                <w:b/>
                <w:bCs/>
                <w:color w:val="000000"/>
                <w:sz w:val="14"/>
                <w:szCs w:val="14"/>
                <w:lang w:val="nl-NL" w:eastAsia="nl-NL"/>
              </w:rPr>
            </w:pPr>
            <w:hyperlink r:id="rId69" w:history="1">
              <w:r w:rsidR="005B5D40" w:rsidRPr="008B63AD">
                <w:rPr>
                  <w:rFonts w:ascii="Verdana" w:hAnsi="Verdana"/>
                  <w:b/>
                  <w:bCs/>
                  <w:color w:val="003333"/>
                  <w:sz w:val="13"/>
                  <w:szCs w:val="13"/>
                  <w:bdr w:val="single" w:sz="2" w:space="1" w:color="FFFFFF" w:frame="1"/>
                  <w:shd w:val="clear" w:color="auto" w:fill="EBEADB"/>
                  <w:lang w:val="nl-NL" w:eastAsia="nl-NL"/>
                </w:rPr>
                <w:t>Y</w:t>
              </w:r>
              <w:r w:rsidR="005B5D40" w:rsidRPr="008B63AD">
                <w:rPr>
                  <w:rFonts w:ascii="Verdana" w:hAnsi="Verdana"/>
                  <w:b/>
                  <w:bCs/>
                  <w:color w:val="000000"/>
                  <w:sz w:val="13"/>
                  <w:lang w:val="nl-NL" w:eastAsia="nl-NL"/>
                </w:rPr>
                <w:t>   </w:t>
              </w:r>
            </w:hyperlink>
          </w:p>
        </w:tc>
        <w:tc>
          <w:tcPr>
            <w:tcW w:w="0" w:type="auto"/>
            <w:vAlign w:val="center"/>
            <w:hideMark/>
          </w:tcPr>
          <w:p w:rsidR="005B5D40" w:rsidRPr="008B63AD" w:rsidRDefault="00C325A0" w:rsidP="005B5D40">
            <w:pPr>
              <w:keepLines w:val="0"/>
              <w:spacing w:before="0" w:after="0" w:line="240" w:lineRule="auto"/>
              <w:rPr>
                <w:rFonts w:ascii="Verdana" w:hAnsi="Verdana"/>
                <w:b/>
                <w:bCs/>
                <w:color w:val="000000"/>
                <w:sz w:val="14"/>
                <w:szCs w:val="14"/>
                <w:lang w:val="nl-NL" w:eastAsia="nl-NL"/>
              </w:rPr>
            </w:pPr>
            <w:hyperlink r:id="rId70" w:history="1">
              <w:r w:rsidR="005B5D40" w:rsidRPr="008B63AD">
                <w:rPr>
                  <w:rFonts w:ascii="Verdana" w:hAnsi="Verdana"/>
                  <w:b/>
                  <w:bCs/>
                  <w:color w:val="003333"/>
                  <w:sz w:val="13"/>
                  <w:szCs w:val="13"/>
                  <w:bdr w:val="single" w:sz="2" w:space="1" w:color="FFFFFF" w:frame="1"/>
                  <w:shd w:val="clear" w:color="auto" w:fill="EBEADB"/>
                  <w:lang w:val="nl-NL" w:eastAsia="nl-NL"/>
                </w:rPr>
                <w:t>NO2 Jaargem.</w:t>
              </w:r>
              <w:r w:rsidR="005B5D40" w:rsidRPr="008B63AD">
                <w:rPr>
                  <w:rFonts w:ascii="Verdana" w:hAnsi="Verdana"/>
                  <w:b/>
                  <w:bCs/>
                  <w:color w:val="000000"/>
                  <w:sz w:val="13"/>
                  <w:lang w:val="nl-NL" w:eastAsia="nl-NL"/>
                </w:rPr>
                <w:t>   </w:t>
              </w:r>
            </w:hyperlink>
          </w:p>
        </w:tc>
        <w:tc>
          <w:tcPr>
            <w:tcW w:w="0" w:type="auto"/>
            <w:vAlign w:val="center"/>
            <w:hideMark/>
          </w:tcPr>
          <w:p w:rsidR="005B5D40" w:rsidRPr="008B63AD" w:rsidRDefault="00C325A0" w:rsidP="005B5D40">
            <w:pPr>
              <w:keepLines w:val="0"/>
              <w:spacing w:before="0" w:after="0" w:line="240" w:lineRule="auto"/>
              <w:rPr>
                <w:rFonts w:ascii="Verdana" w:hAnsi="Verdana"/>
                <w:b/>
                <w:bCs/>
                <w:color w:val="000000"/>
                <w:sz w:val="14"/>
                <w:szCs w:val="14"/>
                <w:lang w:val="nl-NL" w:eastAsia="nl-NL"/>
              </w:rPr>
            </w:pPr>
            <w:hyperlink r:id="rId71" w:history="1">
              <w:r w:rsidR="005B5D40" w:rsidRPr="008B63AD">
                <w:rPr>
                  <w:rFonts w:ascii="Verdana" w:hAnsi="Verdana"/>
                  <w:b/>
                  <w:bCs/>
                  <w:color w:val="003333"/>
                  <w:sz w:val="13"/>
                  <w:szCs w:val="13"/>
                  <w:bdr w:val="single" w:sz="2" w:space="1" w:color="FFFFFF" w:frame="1"/>
                  <w:shd w:val="clear" w:color="auto" w:fill="EBEADB"/>
                  <w:lang w:val="nl-NL" w:eastAsia="nl-NL"/>
                </w:rPr>
                <w:t>PM10 Jaargem.</w:t>
              </w:r>
              <w:r w:rsidR="005B5D40" w:rsidRPr="008B63AD">
                <w:rPr>
                  <w:rFonts w:ascii="Verdana" w:hAnsi="Verdana"/>
                  <w:b/>
                  <w:bCs/>
                  <w:color w:val="000000"/>
                  <w:sz w:val="13"/>
                  <w:lang w:val="nl-NL" w:eastAsia="nl-NL"/>
                </w:rPr>
                <w:t>   </w:t>
              </w:r>
            </w:hyperlink>
          </w:p>
        </w:tc>
        <w:tc>
          <w:tcPr>
            <w:tcW w:w="2019" w:type="dxa"/>
            <w:vAlign w:val="center"/>
            <w:hideMark/>
          </w:tcPr>
          <w:p w:rsidR="005B5D40" w:rsidRPr="008B63AD" w:rsidRDefault="00C325A0" w:rsidP="005B5D40">
            <w:pPr>
              <w:keepLines w:val="0"/>
              <w:spacing w:before="0" w:after="0" w:line="240" w:lineRule="auto"/>
              <w:rPr>
                <w:rFonts w:ascii="Verdana" w:hAnsi="Verdana"/>
                <w:b/>
                <w:bCs/>
                <w:color w:val="000000"/>
                <w:sz w:val="14"/>
                <w:szCs w:val="14"/>
                <w:lang w:val="nl-NL" w:eastAsia="nl-NL"/>
              </w:rPr>
            </w:pPr>
            <w:hyperlink r:id="rId72" w:history="1">
              <w:r w:rsidR="005B5D40" w:rsidRPr="008B63AD">
                <w:rPr>
                  <w:rFonts w:ascii="Verdana" w:hAnsi="Verdana"/>
                  <w:b/>
                  <w:bCs/>
                  <w:color w:val="003333"/>
                  <w:sz w:val="13"/>
                  <w:szCs w:val="13"/>
                  <w:bdr w:val="single" w:sz="2" w:space="1" w:color="FFFFFF" w:frame="1"/>
                  <w:shd w:val="clear" w:color="auto" w:fill="EBEADB"/>
                  <w:lang w:val="nl-NL" w:eastAsia="nl-NL"/>
                </w:rPr>
                <w:t>Aantal overschrijdingen norm PM10 daggemiddelde</w:t>
              </w:r>
              <w:r w:rsidR="005B5D40" w:rsidRPr="008B63AD">
                <w:rPr>
                  <w:rFonts w:ascii="Verdana" w:hAnsi="Verdana"/>
                  <w:b/>
                  <w:bCs/>
                  <w:color w:val="000000"/>
                  <w:sz w:val="13"/>
                  <w:lang w:val="nl-NL" w:eastAsia="nl-NL"/>
                </w:rPr>
                <w:t>   </w:t>
              </w:r>
            </w:hyperlink>
          </w:p>
        </w:tc>
      </w:tr>
      <w:tr w:rsidR="005B5D40" w:rsidRPr="008B63AD" w:rsidTr="005B5D40">
        <w:trPr>
          <w:tblCellSpacing w:w="0" w:type="dxa"/>
        </w:trPr>
        <w:tc>
          <w:tcPr>
            <w:tcW w:w="0" w:type="auto"/>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Pr>
                <w:rFonts w:ascii="Verdana" w:hAnsi="Verdana"/>
                <w:noProof/>
                <w:color w:val="000000"/>
                <w:sz w:val="14"/>
                <w:szCs w:val="14"/>
              </w:rPr>
              <w:drawing>
                <wp:inline distT="0" distB="0" distL="0" distR="0">
                  <wp:extent cx="149860" cy="149860"/>
                  <wp:effectExtent l="19050" t="0" r="2540" b="0"/>
                  <wp:docPr id="7" name="Afbeelding 3" descr="zoomt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omto">
                            <a:hlinkClick r:id="rId73"/>
                          </pic:cNvPr>
                          <pic:cNvPicPr>
                            <a:picLocks noChangeAspect="1" noChangeArrowheads="1"/>
                          </pic:cNvPicPr>
                        </pic:nvPicPr>
                        <pic:blipFill>
                          <a:blip r:embed="rId74"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825" w:type="dxa"/>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148000</w:t>
            </w:r>
          </w:p>
        </w:tc>
        <w:tc>
          <w:tcPr>
            <w:tcW w:w="993" w:type="dxa"/>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214000</w:t>
            </w:r>
          </w:p>
        </w:tc>
        <w:tc>
          <w:tcPr>
            <w:tcW w:w="0" w:type="auto"/>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31.00</w:t>
            </w:r>
          </w:p>
        </w:tc>
        <w:tc>
          <w:tcPr>
            <w:tcW w:w="0" w:type="auto"/>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28.97</w:t>
            </w:r>
          </w:p>
        </w:tc>
        <w:tc>
          <w:tcPr>
            <w:tcW w:w="2019" w:type="dxa"/>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22</w:t>
            </w:r>
          </w:p>
        </w:tc>
      </w:tr>
      <w:tr w:rsidR="005B5D40" w:rsidRPr="008B63AD" w:rsidTr="005B5D40">
        <w:trPr>
          <w:tblCellSpacing w:w="0" w:type="dxa"/>
        </w:trPr>
        <w:tc>
          <w:tcPr>
            <w:tcW w:w="0" w:type="auto"/>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Pr>
                <w:rFonts w:ascii="Verdana" w:hAnsi="Verdana"/>
                <w:noProof/>
                <w:color w:val="000000"/>
                <w:sz w:val="14"/>
                <w:szCs w:val="14"/>
              </w:rPr>
              <w:drawing>
                <wp:inline distT="0" distB="0" distL="0" distR="0">
                  <wp:extent cx="149860" cy="149860"/>
                  <wp:effectExtent l="19050" t="0" r="2540" b="0"/>
                  <wp:docPr id="10" name="Afbeelding 4" descr="zoomt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omto">
                            <a:hlinkClick r:id="rId75"/>
                          </pic:cNvPr>
                          <pic:cNvPicPr>
                            <a:picLocks noChangeAspect="1" noChangeArrowheads="1"/>
                          </pic:cNvPicPr>
                        </pic:nvPicPr>
                        <pic:blipFill>
                          <a:blip r:embed="rId74"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825" w:type="dxa"/>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148000</w:t>
            </w:r>
          </w:p>
        </w:tc>
        <w:tc>
          <w:tcPr>
            <w:tcW w:w="993" w:type="dxa"/>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218000</w:t>
            </w:r>
          </w:p>
        </w:tc>
        <w:tc>
          <w:tcPr>
            <w:tcW w:w="0" w:type="auto"/>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40.20</w:t>
            </w:r>
          </w:p>
        </w:tc>
        <w:tc>
          <w:tcPr>
            <w:tcW w:w="0" w:type="auto"/>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36.10</w:t>
            </w:r>
          </w:p>
        </w:tc>
        <w:tc>
          <w:tcPr>
            <w:tcW w:w="2019" w:type="dxa"/>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48</w:t>
            </w:r>
          </w:p>
        </w:tc>
      </w:tr>
      <w:tr w:rsidR="005B5D40" w:rsidRPr="008B63AD" w:rsidTr="005B5D40">
        <w:trPr>
          <w:tblCellSpacing w:w="0" w:type="dxa"/>
        </w:trPr>
        <w:tc>
          <w:tcPr>
            <w:tcW w:w="0" w:type="auto"/>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Pr>
                <w:rFonts w:ascii="Verdana" w:hAnsi="Verdana"/>
                <w:noProof/>
                <w:color w:val="000000"/>
                <w:sz w:val="14"/>
                <w:szCs w:val="14"/>
              </w:rPr>
              <w:drawing>
                <wp:inline distT="0" distB="0" distL="0" distR="0">
                  <wp:extent cx="149860" cy="149860"/>
                  <wp:effectExtent l="19050" t="0" r="2540" b="0"/>
                  <wp:docPr id="11" name="Afbeelding 5" descr="zoomt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omto">
                            <a:hlinkClick r:id="rId76"/>
                          </pic:cNvPr>
                          <pic:cNvPicPr>
                            <a:picLocks noChangeAspect="1" noChangeArrowheads="1"/>
                          </pic:cNvPicPr>
                        </pic:nvPicPr>
                        <pic:blipFill>
                          <a:blip r:embed="rId74"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825" w:type="dxa"/>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152000</w:t>
            </w:r>
          </w:p>
        </w:tc>
        <w:tc>
          <w:tcPr>
            <w:tcW w:w="993" w:type="dxa"/>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214000</w:t>
            </w:r>
          </w:p>
        </w:tc>
        <w:tc>
          <w:tcPr>
            <w:tcW w:w="0" w:type="auto"/>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41.43</w:t>
            </w:r>
          </w:p>
        </w:tc>
        <w:tc>
          <w:tcPr>
            <w:tcW w:w="0" w:type="auto"/>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32.57</w:t>
            </w:r>
          </w:p>
        </w:tc>
        <w:tc>
          <w:tcPr>
            <w:tcW w:w="2019" w:type="dxa"/>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41</w:t>
            </w:r>
          </w:p>
        </w:tc>
      </w:tr>
      <w:tr w:rsidR="005B5D40" w:rsidRPr="008B63AD" w:rsidTr="005B5D40">
        <w:trPr>
          <w:tblCellSpacing w:w="0" w:type="dxa"/>
        </w:trPr>
        <w:tc>
          <w:tcPr>
            <w:tcW w:w="0" w:type="auto"/>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Pr>
                <w:rFonts w:ascii="Verdana" w:hAnsi="Verdana"/>
                <w:noProof/>
                <w:color w:val="000000"/>
                <w:sz w:val="14"/>
                <w:szCs w:val="14"/>
              </w:rPr>
              <w:drawing>
                <wp:inline distT="0" distB="0" distL="0" distR="0">
                  <wp:extent cx="149860" cy="149860"/>
                  <wp:effectExtent l="19050" t="0" r="2540" b="0"/>
                  <wp:docPr id="12" name="Afbeelding 6" descr="zoomt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omto">
                            <a:hlinkClick r:id="rId77"/>
                          </pic:cNvPr>
                          <pic:cNvPicPr>
                            <a:picLocks noChangeAspect="1" noChangeArrowheads="1"/>
                          </pic:cNvPicPr>
                        </pic:nvPicPr>
                        <pic:blipFill>
                          <a:blip r:embed="rId74"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825" w:type="dxa"/>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152000</w:t>
            </w:r>
          </w:p>
        </w:tc>
        <w:tc>
          <w:tcPr>
            <w:tcW w:w="993" w:type="dxa"/>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218000</w:t>
            </w:r>
          </w:p>
        </w:tc>
        <w:tc>
          <w:tcPr>
            <w:tcW w:w="0" w:type="auto"/>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42.63</w:t>
            </w:r>
          </w:p>
        </w:tc>
        <w:tc>
          <w:tcPr>
            <w:tcW w:w="0" w:type="auto"/>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34.27</w:t>
            </w:r>
          </w:p>
        </w:tc>
        <w:tc>
          <w:tcPr>
            <w:tcW w:w="2019" w:type="dxa"/>
            <w:vAlign w:val="center"/>
            <w:hideMark/>
          </w:tcPr>
          <w:p w:rsidR="005B5D40" w:rsidRPr="008B63AD" w:rsidRDefault="005B5D40" w:rsidP="005B5D40">
            <w:pPr>
              <w:keepLines w:val="0"/>
              <w:spacing w:before="0" w:after="0" w:line="240" w:lineRule="auto"/>
              <w:rPr>
                <w:rFonts w:ascii="Verdana" w:hAnsi="Verdana"/>
                <w:color w:val="000000"/>
                <w:sz w:val="14"/>
                <w:szCs w:val="14"/>
                <w:lang w:val="nl-NL" w:eastAsia="nl-NL"/>
              </w:rPr>
            </w:pPr>
            <w:r w:rsidRPr="008B63AD">
              <w:rPr>
                <w:rFonts w:ascii="Verdana" w:hAnsi="Verdana"/>
                <w:color w:val="000000"/>
                <w:sz w:val="14"/>
                <w:szCs w:val="14"/>
                <w:lang w:val="nl-NL" w:eastAsia="nl-NL"/>
              </w:rPr>
              <w:t>4</w:t>
            </w:r>
            <w:r>
              <w:rPr>
                <w:rFonts w:ascii="Verdana" w:hAnsi="Verdana"/>
                <w:color w:val="000000"/>
                <w:sz w:val="14"/>
                <w:szCs w:val="14"/>
                <w:lang w:val="nl-NL" w:eastAsia="nl-NL"/>
              </w:rPr>
              <w:t>7</w:t>
            </w:r>
          </w:p>
        </w:tc>
      </w:tr>
    </w:tbl>
    <w:p w:rsidR="005B5D40" w:rsidRDefault="005B5D40" w:rsidP="005B5D40">
      <w:pPr>
        <w:rPr>
          <w:lang w:val="nl-NL"/>
        </w:rPr>
      </w:pPr>
    </w:p>
    <w:p w:rsidR="005B5D40" w:rsidRDefault="005B5D40" w:rsidP="005B5D40">
      <w:pPr>
        <w:rPr>
          <w:lang w:val="nl-NL"/>
        </w:rPr>
      </w:pPr>
      <w:r>
        <w:rPr>
          <w:lang w:val="nl-NL"/>
        </w:rPr>
        <w:t>Ook uit deze waarden blijkt dat voor een groot deel van het studiegebied:</w:t>
      </w:r>
    </w:p>
    <w:p w:rsidR="005B5D40" w:rsidRDefault="005B5D40" w:rsidP="005B5D40">
      <w:pPr>
        <w:pStyle w:val="ListParagraph"/>
        <w:numPr>
          <w:ilvl w:val="0"/>
          <w:numId w:val="103"/>
        </w:numPr>
        <w:jc w:val="left"/>
        <w:rPr>
          <w:lang w:val="nl-NL"/>
        </w:rPr>
      </w:pPr>
      <w:r>
        <w:rPr>
          <w:lang w:val="nl-NL"/>
        </w:rPr>
        <w:t>Overschrijding van de jaargemiddelde grenswaarde inzake NO2 optreedt</w:t>
      </w:r>
    </w:p>
    <w:p w:rsidR="005B5D40" w:rsidRDefault="005B5D40" w:rsidP="005B5D40">
      <w:pPr>
        <w:pStyle w:val="ListParagraph"/>
        <w:numPr>
          <w:ilvl w:val="0"/>
          <w:numId w:val="103"/>
        </w:numPr>
        <w:jc w:val="left"/>
        <w:rPr>
          <w:lang w:val="nl-NL"/>
        </w:rPr>
      </w:pPr>
      <w:r>
        <w:rPr>
          <w:lang w:val="nl-NL"/>
        </w:rPr>
        <w:t>Daggemiddelde grenswaarde PM10 te dikwijls overschreden wordt.</w:t>
      </w:r>
    </w:p>
    <w:p w:rsidR="005B5D40" w:rsidRDefault="005B5D40" w:rsidP="005B5D40">
      <w:pPr>
        <w:rPr>
          <w:lang w:val="nl-NL"/>
        </w:rPr>
      </w:pPr>
    </w:p>
    <w:p w:rsidR="005B5D40" w:rsidRDefault="005B5D40" w:rsidP="005B5D40">
      <w:pPr>
        <w:rPr>
          <w:lang w:val="nl-NL"/>
        </w:rPr>
      </w:pPr>
      <w:r>
        <w:rPr>
          <w:lang w:val="nl-NL"/>
        </w:rPr>
        <w:t>Globaal kan inzake algemene parameters gesteld worden dat de Antwerpse regio gekenmerkt wordt door verhoogde waarden aan stikstofoxiden en fijn stof, hetgeen verband houdt met de aanwezigheid van talrijke lokale bronnen zoals wegverkeer, scheepvaart en industrie.</w:t>
      </w:r>
    </w:p>
    <w:p w:rsidR="005B5D40" w:rsidRDefault="005B5D40" w:rsidP="005B5D40">
      <w:pPr>
        <w:pStyle w:val="Heading5"/>
        <w:jc w:val="left"/>
      </w:pPr>
      <w:bookmarkStart w:id="814" w:name="_Toc312069280"/>
      <w:r>
        <w:t>Vluchtige organische stoffen</w:t>
      </w:r>
      <w:bookmarkEnd w:id="814"/>
    </w:p>
    <w:p w:rsidR="005B5D40" w:rsidRDefault="005B5D40" w:rsidP="005B5D40">
      <w:r>
        <w:t>Aangaande de specifieke parameters zijn in het kader van dit MER,</w:t>
      </w:r>
      <w:r w:rsidRPr="00A5708B">
        <w:t xml:space="preserve"> </w:t>
      </w:r>
      <w:r>
        <w:t xml:space="preserve">omwille van de emissies door het bedrijf, enkel de specifieke VOS relevant. </w:t>
      </w:r>
    </w:p>
    <w:p w:rsidR="005B5D40" w:rsidRDefault="005B5D40" w:rsidP="005B5D40">
      <w:pPr>
        <w:rPr>
          <w:lang w:val="nl-NL"/>
        </w:rPr>
      </w:pPr>
      <w:r>
        <w:rPr>
          <w:lang w:val="nl-NL"/>
        </w:rPr>
        <w:t>Hierna worden de jaargemiddelde resultaten van de VOS-immissies, zoals gemeten te Doel en te Staboek opgenomen. Gezien de plaatselijke bronnen zeer relevant zijn voor de gemeten concentraties kunnen deze waarden louter als indicatief beschouwd worden, en zijn deze zeker niet als representatief</w:t>
      </w:r>
      <w:r w:rsidRPr="007656BB">
        <w:rPr>
          <w:lang w:val="nl-NL"/>
        </w:rPr>
        <w:t xml:space="preserve"> </w:t>
      </w:r>
      <w:r>
        <w:rPr>
          <w:lang w:val="nl-NL"/>
        </w:rPr>
        <w:t>voor het studiegebied te beschouwen.</w:t>
      </w:r>
    </w:p>
    <w:p w:rsidR="005B5D40" w:rsidRDefault="005B5D40" w:rsidP="005B5D40">
      <w:r>
        <w:rPr>
          <w:lang w:val="nl-NL"/>
        </w:rPr>
        <w:lastRenderedPageBreak/>
        <w:t>Tevens dient opgemerkt te worden dat tal van VOS, welke relevant zijn voor VTE, niet in het standaard meetprogramma van VMM opgenomen zijn.</w:t>
      </w:r>
      <w:r>
        <w:t xml:space="preserve"> </w:t>
      </w:r>
    </w:p>
    <w:p w:rsidR="005B5D40" w:rsidRDefault="005B5D40" w:rsidP="005B5D40">
      <w:pPr>
        <w:pStyle w:val="tabel0"/>
      </w:pPr>
      <w:r>
        <w:t>Tabel</w:t>
      </w:r>
      <w:r w:rsidR="009C1E15">
        <w:t xml:space="preserve"> </w:t>
      </w:r>
      <w:r w:rsidR="00C325A0">
        <w:fldChar w:fldCharType="begin"/>
      </w:r>
      <w:r w:rsidR="009C1E15">
        <w:instrText xml:space="preserve"> REF t_lucht_jaargem_stations \h </w:instrText>
      </w:r>
      <w:r w:rsidR="00C325A0">
        <w:fldChar w:fldCharType="separate"/>
      </w:r>
      <w:r w:rsidR="008102D8">
        <w:t>VIII.2.9</w:t>
      </w:r>
      <w:r w:rsidR="00C325A0">
        <w:fldChar w:fldCharType="end"/>
      </w:r>
      <w:r w:rsidR="009C1E15">
        <w:t>:</w:t>
      </w:r>
      <w:r>
        <w:tab/>
        <w:t>Overzicht van de jaargemiddelde VOS (µg/m³) gemeten in meetstations 50R833 (Stabroek) en 50R830 (Doel), in 2009 (bron jaarverslag 2009 VMM, 2010)</w:t>
      </w:r>
    </w:p>
    <w:tbl>
      <w:tblPr>
        <w:tblW w:w="80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83"/>
        <w:gridCol w:w="960"/>
        <w:gridCol w:w="960"/>
        <w:gridCol w:w="2333"/>
        <w:gridCol w:w="849"/>
        <w:gridCol w:w="698"/>
      </w:tblGrid>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rPr>
                <w:b/>
              </w:rPr>
            </w:pPr>
            <w:r w:rsidRPr="00F97D0F">
              <w:rPr>
                <w:b/>
              </w:rPr>
              <w:t xml:space="preserve">Component \ Meetplaats </w:t>
            </w:r>
          </w:p>
        </w:tc>
        <w:tc>
          <w:tcPr>
            <w:tcW w:w="960" w:type="dxa"/>
            <w:shd w:val="clear" w:color="auto" w:fill="auto"/>
            <w:noWrap/>
            <w:vAlign w:val="bottom"/>
            <w:hideMark/>
          </w:tcPr>
          <w:p w:rsidR="005B5D40" w:rsidRPr="00F97D0F" w:rsidRDefault="005B5D40" w:rsidP="005B5D40">
            <w:pPr>
              <w:pStyle w:val="normaltabel"/>
              <w:keepNext/>
              <w:jc w:val="center"/>
              <w:rPr>
                <w:b/>
              </w:rPr>
            </w:pPr>
            <w:r w:rsidRPr="00F97D0F">
              <w:rPr>
                <w:b/>
              </w:rPr>
              <w:t>50R833</w:t>
            </w:r>
          </w:p>
        </w:tc>
        <w:tc>
          <w:tcPr>
            <w:tcW w:w="960" w:type="dxa"/>
            <w:shd w:val="clear" w:color="auto" w:fill="auto"/>
            <w:noWrap/>
            <w:vAlign w:val="bottom"/>
            <w:hideMark/>
          </w:tcPr>
          <w:p w:rsidR="005B5D40" w:rsidRPr="00F97D0F" w:rsidRDefault="005B5D40" w:rsidP="005B5D40">
            <w:pPr>
              <w:pStyle w:val="normaltabel"/>
              <w:keepNext/>
              <w:jc w:val="center"/>
              <w:rPr>
                <w:b/>
              </w:rPr>
            </w:pPr>
            <w:r w:rsidRPr="00F97D0F">
              <w:rPr>
                <w:b/>
              </w:rPr>
              <w:t>50R830</w:t>
            </w:r>
          </w:p>
        </w:tc>
        <w:tc>
          <w:tcPr>
            <w:tcW w:w="2333" w:type="dxa"/>
            <w:vAlign w:val="bottom"/>
          </w:tcPr>
          <w:p w:rsidR="005B5D40" w:rsidRPr="00F97D0F" w:rsidRDefault="005B5D40" w:rsidP="005B5D40">
            <w:pPr>
              <w:pStyle w:val="normaltabel"/>
              <w:keepNext/>
              <w:rPr>
                <w:b/>
              </w:rPr>
            </w:pPr>
            <w:r w:rsidRPr="00F97D0F">
              <w:rPr>
                <w:b/>
              </w:rPr>
              <w:t xml:space="preserve">Component \ Meetplaats </w:t>
            </w:r>
          </w:p>
        </w:tc>
        <w:tc>
          <w:tcPr>
            <w:tcW w:w="849" w:type="dxa"/>
            <w:vAlign w:val="bottom"/>
          </w:tcPr>
          <w:p w:rsidR="005B5D40" w:rsidRPr="00F97D0F" w:rsidRDefault="005B5D40" w:rsidP="005B5D40">
            <w:pPr>
              <w:pStyle w:val="normaltabel"/>
              <w:keepNext/>
              <w:jc w:val="center"/>
              <w:rPr>
                <w:b/>
              </w:rPr>
            </w:pPr>
            <w:r w:rsidRPr="00F97D0F">
              <w:rPr>
                <w:b/>
              </w:rPr>
              <w:t>50R833</w:t>
            </w:r>
          </w:p>
        </w:tc>
        <w:tc>
          <w:tcPr>
            <w:tcW w:w="698" w:type="dxa"/>
            <w:vAlign w:val="bottom"/>
          </w:tcPr>
          <w:p w:rsidR="005B5D40" w:rsidRPr="00F97D0F" w:rsidRDefault="005B5D40" w:rsidP="005B5D40">
            <w:pPr>
              <w:pStyle w:val="normaltabel"/>
              <w:keepNext/>
              <w:jc w:val="center"/>
              <w:rPr>
                <w:b/>
              </w:rPr>
            </w:pPr>
            <w:r w:rsidRPr="00F97D0F">
              <w:rPr>
                <w:b/>
              </w:rPr>
              <w:t>50R830</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pPr>
            <w:r w:rsidRPr="00F97D0F">
              <w:t xml:space="preserve"> benzeen </w:t>
            </w:r>
          </w:p>
        </w:tc>
        <w:tc>
          <w:tcPr>
            <w:tcW w:w="960" w:type="dxa"/>
            <w:shd w:val="clear" w:color="auto" w:fill="auto"/>
            <w:noWrap/>
            <w:vAlign w:val="bottom"/>
            <w:hideMark/>
          </w:tcPr>
          <w:p w:rsidR="005B5D40" w:rsidRPr="00F97D0F" w:rsidRDefault="005B5D40" w:rsidP="005B5D40">
            <w:pPr>
              <w:pStyle w:val="normaltabel"/>
              <w:keepNext/>
              <w:jc w:val="center"/>
            </w:pPr>
            <w:r w:rsidRPr="00F97D0F">
              <w:t>1</w:t>
            </w:r>
          </w:p>
        </w:tc>
        <w:tc>
          <w:tcPr>
            <w:tcW w:w="960" w:type="dxa"/>
            <w:shd w:val="clear" w:color="auto" w:fill="auto"/>
            <w:noWrap/>
            <w:vAlign w:val="bottom"/>
            <w:hideMark/>
          </w:tcPr>
          <w:p w:rsidR="005B5D40" w:rsidRPr="00F97D0F" w:rsidRDefault="005B5D40" w:rsidP="005B5D40">
            <w:pPr>
              <w:pStyle w:val="normaltabel"/>
              <w:keepNext/>
              <w:jc w:val="center"/>
            </w:pPr>
            <w:r w:rsidRPr="00F97D0F">
              <w:t>0,8</w:t>
            </w:r>
          </w:p>
        </w:tc>
        <w:tc>
          <w:tcPr>
            <w:tcW w:w="2333" w:type="dxa"/>
            <w:vAlign w:val="bottom"/>
          </w:tcPr>
          <w:p w:rsidR="005B5D40" w:rsidRPr="00F97D0F" w:rsidRDefault="005B5D40" w:rsidP="005B5D40">
            <w:pPr>
              <w:pStyle w:val="normaltabel"/>
              <w:keepNext/>
            </w:pPr>
            <w:r w:rsidRPr="00F97D0F">
              <w:t xml:space="preserve"> 2-methylpentaan </w:t>
            </w:r>
          </w:p>
        </w:tc>
        <w:tc>
          <w:tcPr>
            <w:tcW w:w="849" w:type="dxa"/>
            <w:vAlign w:val="bottom"/>
          </w:tcPr>
          <w:p w:rsidR="005B5D40" w:rsidRPr="00F97D0F" w:rsidRDefault="005B5D40" w:rsidP="005B5D40">
            <w:pPr>
              <w:pStyle w:val="normaltabel"/>
              <w:keepNext/>
              <w:jc w:val="center"/>
            </w:pPr>
            <w:r w:rsidRPr="00F97D0F">
              <w:t>0,8</w:t>
            </w:r>
          </w:p>
        </w:tc>
        <w:tc>
          <w:tcPr>
            <w:tcW w:w="698" w:type="dxa"/>
            <w:vAlign w:val="bottom"/>
          </w:tcPr>
          <w:p w:rsidR="005B5D40" w:rsidRPr="00F97D0F" w:rsidRDefault="005B5D40" w:rsidP="005B5D40">
            <w:pPr>
              <w:pStyle w:val="normaltabel"/>
              <w:keepNext/>
              <w:jc w:val="center"/>
            </w:pPr>
            <w:r w:rsidRPr="00F97D0F">
              <w:t>0,8</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pPr>
            <w:r w:rsidRPr="00F97D0F">
              <w:t xml:space="preserve"> tolueen </w:t>
            </w:r>
          </w:p>
        </w:tc>
        <w:tc>
          <w:tcPr>
            <w:tcW w:w="960" w:type="dxa"/>
            <w:shd w:val="clear" w:color="auto" w:fill="auto"/>
            <w:noWrap/>
            <w:vAlign w:val="bottom"/>
            <w:hideMark/>
          </w:tcPr>
          <w:p w:rsidR="005B5D40" w:rsidRPr="00F97D0F" w:rsidRDefault="005B5D40" w:rsidP="005B5D40">
            <w:pPr>
              <w:pStyle w:val="normaltabel"/>
              <w:keepNext/>
              <w:jc w:val="center"/>
            </w:pPr>
            <w:r w:rsidRPr="00F97D0F">
              <w:t>2,1</w:t>
            </w:r>
          </w:p>
        </w:tc>
        <w:tc>
          <w:tcPr>
            <w:tcW w:w="960" w:type="dxa"/>
            <w:shd w:val="clear" w:color="auto" w:fill="auto"/>
            <w:noWrap/>
            <w:vAlign w:val="bottom"/>
            <w:hideMark/>
          </w:tcPr>
          <w:p w:rsidR="005B5D40" w:rsidRPr="00F97D0F" w:rsidRDefault="005B5D40" w:rsidP="005B5D40">
            <w:pPr>
              <w:pStyle w:val="normaltabel"/>
              <w:keepNext/>
              <w:jc w:val="center"/>
            </w:pPr>
            <w:r w:rsidRPr="00F97D0F">
              <w:t>1,4</w:t>
            </w:r>
          </w:p>
        </w:tc>
        <w:tc>
          <w:tcPr>
            <w:tcW w:w="2333" w:type="dxa"/>
            <w:vAlign w:val="bottom"/>
          </w:tcPr>
          <w:p w:rsidR="005B5D40" w:rsidRPr="00F97D0F" w:rsidRDefault="005B5D40" w:rsidP="005B5D40">
            <w:pPr>
              <w:pStyle w:val="normaltabel"/>
              <w:keepNext/>
            </w:pPr>
            <w:r w:rsidRPr="00F97D0F">
              <w:t xml:space="preserve"> 3-methylpentaan </w:t>
            </w:r>
          </w:p>
        </w:tc>
        <w:tc>
          <w:tcPr>
            <w:tcW w:w="849" w:type="dxa"/>
            <w:vAlign w:val="bottom"/>
          </w:tcPr>
          <w:p w:rsidR="005B5D40" w:rsidRPr="00F97D0F" w:rsidRDefault="005B5D40" w:rsidP="005B5D40">
            <w:pPr>
              <w:pStyle w:val="normaltabel"/>
              <w:keepNext/>
              <w:jc w:val="center"/>
            </w:pPr>
            <w:r w:rsidRPr="00F97D0F">
              <w:t>0,4</w:t>
            </w:r>
          </w:p>
        </w:tc>
        <w:tc>
          <w:tcPr>
            <w:tcW w:w="698" w:type="dxa"/>
            <w:vAlign w:val="bottom"/>
          </w:tcPr>
          <w:p w:rsidR="005B5D40" w:rsidRPr="00F97D0F" w:rsidRDefault="005B5D40" w:rsidP="005B5D40">
            <w:pPr>
              <w:pStyle w:val="normaltabel"/>
              <w:keepNext/>
              <w:jc w:val="center"/>
            </w:pPr>
            <w:r w:rsidRPr="00F97D0F">
              <w:t>0,5</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pPr>
            <w:r w:rsidRPr="00F97D0F">
              <w:t xml:space="preserve"> ethylbenzeen </w:t>
            </w:r>
          </w:p>
        </w:tc>
        <w:tc>
          <w:tcPr>
            <w:tcW w:w="960" w:type="dxa"/>
            <w:shd w:val="clear" w:color="auto" w:fill="auto"/>
            <w:noWrap/>
            <w:vAlign w:val="bottom"/>
            <w:hideMark/>
          </w:tcPr>
          <w:p w:rsidR="005B5D40" w:rsidRPr="00F97D0F" w:rsidRDefault="005B5D40" w:rsidP="005B5D40">
            <w:pPr>
              <w:pStyle w:val="normaltabel"/>
              <w:keepNext/>
              <w:jc w:val="center"/>
            </w:pPr>
            <w:r w:rsidRPr="00F97D0F">
              <w:t>0,4</w:t>
            </w:r>
          </w:p>
        </w:tc>
        <w:tc>
          <w:tcPr>
            <w:tcW w:w="960" w:type="dxa"/>
            <w:shd w:val="clear" w:color="auto" w:fill="auto"/>
            <w:noWrap/>
            <w:vAlign w:val="bottom"/>
            <w:hideMark/>
          </w:tcPr>
          <w:p w:rsidR="005B5D40" w:rsidRPr="00F97D0F" w:rsidRDefault="005B5D40" w:rsidP="005B5D40">
            <w:pPr>
              <w:pStyle w:val="normaltabel"/>
              <w:keepNext/>
              <w:jc w:val="center"/>
            </w:pPr>
            <w:r w:rsidRPr="00F97D0F">
              <w:t>0,4</w:t>
            </w:r>
          </w:p>
        </w:tc>
        <w:tc>
          <w:tcPr>
            <w:tcW w:w="2333" w:type="dxa"/>
            <w:vAlign w:val="bottom"/>
          </w:tcPr>
          <w:p w:rsidR="005B5D40" w:rsidRPr="00F97D0F" w:rsidRDefault="005B5D40" w:rsidP="005B5D40">
            <w:pPr>
              <w:pStyle w:val="normaltabel"/>
              <w:keepNext/>
            </w:pPr>
            <w:r w:rsidRPr="00F97D0F">
              <w:t xml:space="preserve"> isooctaan </w:t>
            </w:r>
          </w:p>
        </w:tc>
        <w:tc>
          <w:tcPr>
            <w:tcW w:w="849" w:type="dxa"/>
            <w:vAlign w:val="bottom"/>
          </w:tcPr>
          <w:p w:rsidR="005B5D40" w:rsidRPr="00F97D0F" w:rsidRDefault="005B5D40" w:rsidP="005B5D40">
            <w:pPr>
              <w:pStyle w:val="normaltabel"/>
              <w:keepNext/>
              <w:jc w:val="center"/>
            </w:pPr>
            <w:r w:rsidRPr="00F97D0F">
              <w:t>0,3</w:t>
            </w:r>
          </w:p>
        </w:tc>
        <w:tc>
          <w:tcPr>
            <w:tcW w:w="698" w:type="dxa"/>
            <w:vAlign w:val="bottom"/>
          </w:tcPr>
          <w:p w:rsidR="005B5D40" w:rsidRPr="00F97D0F" w:rsidRDefault="005B5D40" w:rsidP="005B5D40">
            <w:pPr>
              <w:pStyle w:val="normaltabel"/>
              <w:keepNext/>
              <w:jc w:val="center"/>
            </w:pPr>
            <w:r w:rsidRPr="00F97D0F">
              <w:t>0,1</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pPr>
            <w:r w:rsidRPr="00F97D0F">
              <w:t xml:space="preserve"> m+p-xyleen </w:t>
            </w:r>
          </w:p>
        </w:tc>
        <w:tc>
          <w:tcPr>
            <w:tcW w:w="960" w:type="dxa"/>
            <w:shd w:val="clear" w:color="auto" w:fill="auto"/>
            <w:noWrap/>
            <w:vAlign w:val="bottom"/>
            <w:hideMark/>
          </w:tcPr>
          <w:p w:rsidR="005B5D40" w:rsidRPr="00F97D0F" w:rsidRDefault="005B5D40" w:rsidP="005B5D40">
            <w:pPr>
              <w:pStyle w:val="normaltabel"/>
              <w:keepNext/>
              <w:jc w:val="center"/>
            </w:pPr>
            <w:r w:rsidRPr="00F97D0F">
              <w:t>1,3</w:t>
            </w:r>
          </w:p>
        </w:tc>
        <w:tc>
          <w:tcPr>
            <w:tcW w:w="960" w:type="dxa"/>
            <w:shd w:val="clear" w:color="auto" w:fill="auto"/>
            <w:noWrap/>
            <w:vAlign w:val="bottom"/>
            <w:hideMark/>
          </w:tcPr>
          <w:p w:rsidR="005B5D40" w:rsidRPr="00F97D0F" w:rsidRDefault="005B5D40" w:rsidP="005B5D40">
            <w:pPr>
              <w:pStyle w:val="normaltabel"/>
              <w:keepNext/>
              <w:jc w:val="center"/>
            </w:pPr>
            <w:r w:rsidRPr="00F97D0F">
              <w:t>1</w:t>
            </w:r>
          </w:p>
        </w:tc>
        <w:tc>
          <w:tcPr>
            <w:tcW w:w="2333" w:type="dxa"/>
            <w:vAlign w:val="bottom"/>
          </w:tcPr>
          <w:p w:rsidR="005B5D40" w:rsidRPr="00F97D0F" w:rsidRDefault="005B5D40" w:rsidP="005B5D40">
            <w:pPr>
              <w:pStyle w:val="normaltabel"/>
              <w:keepNext/>
            </w:pPr>
            <w:r w:rsidRPr="00F97D0F">
              <w:t xml:space="preserve"> 2-methylhexaan </w:t>
            </w:r>
          </w:p>
        </w:tc>
        <w:tc>
          <w:tcPr>
            <w:tcW w:w="849" w:type="dxa"/>
            <w:vAlign w:val="bottom"/>
          </w:tcPr>
          <w:p w:rsidR="005B5D40" w:rsidRPr="00F97D0F" w:rsidRDefault="005B5D40" w:rsidP="005B5D40">
            <w:pPr>
              <w:pStyle w:val="normaltabel"/>
              <w:keepNext/>
              <w:jc w:val="center"/>
            </w:pPr>
            <w:r w:rsidRPr="00F97D0F">
              <w:t>0,3</w:t>
            </w:r>
          </w:p>
        </w:tc>
        <w:tc>
          <w:tcPr>
            <w:tcW w:w="698" w:type="dxa"/>
            <w:vAlign w:val="bottom"/>
          </w:tcPr>
          <w:p w:rsidR="005B5D40" w:rsidRPr="00F97D0F" w:rsidRDefault="005B5D40" w:rsidP="005B5D40">
            <w:pPr>
              <w:pStyle w:val="normaltabel"/>
              <w:keepNext/>
              <w:jc w:val="center"/>
            </w:pPr>
            <w:r w:rsidRPr="00F97D0F">
              <w:t>0,3</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pPr>
            <w:r w:rsidRPr="00F97D0F">
              <w:t xml:space="preserve"> styreen </w:t>
            </w:r>
          </w:p>
        </w:tc>
        <w:tc>
          <w:tcPr>
            <w:tcW w:w="960" w:type="dxa"/>
            <w:shd w:val="clear" w:color="auto" w:fill="auto"/>
            <w:noWrap/>
            <w:vAlign w:val="bottom"/>
            <w:hideMark/>
          </w:tcPr>
          <w:p w:rsidR="005B5D40" w:rsidRPr="00F97D0F" w:rsidRDefault="005B5D40" w:rsidP="005B5D40">
            <w:pPr>
              <w:pStyle w:val="normaltabel"/>
              <w:keepNext/>
              <w:jc w:val="center"/>
            </w:pPr>
            <w:r w:rsidRPr="00F97D0F">
              <w:t>0,2</w:t>
            </w:r>
          </w:p>
        </w:tc>
        <w:tc>
          <w:tcPr>
            <w:tcW w:w="960" w:type="dxa"/>
            <w:shd w:val="clear" w:color="auto" w:fill="auto"/>
            <w:noWrap/>
            <w:vAlign w:val="bottom"/>
            <w:hideMark/>
          </w:tcPr>
          <w:p w:rsidR="005B5D40" w:rsidRPr="00F97D0F" w:rsidRDefault="005B5D40" w:rsidP="005B5D40">
            <w:pPr>
              <w:pStyle w:val="normaltabel"/>
              <w:keepNext/>
              <w:jc w:val="center"/>
            </w:pPr>
            <w:r w:rsidRPr="00F97D0F">
              <w:t>0,4</w:t>
            </w:r>
          </w:p>
        </w:tc>
        <w:tc>
          <w:tcPr>
            <w:tcW w:w="2333" w:type="dxa"/>
            <w:vAlign w:val="bottom"/>
          </w:tcPr>
          <w:p w:rsidR="005B5D40" w:rsidRPr="00F97D0F" w:rsidRDefault="005B5D40" w:rsidP="005B5D40">
            <w:pPr>
              <w:pStyle w:val="normaltabel"/>
              <w:keepNext/>
            </w:pPr>
            <w:r w:rsidRPr="00F97D0F">
              <w:t xml:space="preserve"> 3-methylhexaan </w:t>
            </w:r>
          </w:p>
        </w:tc>
        <w:tc>
          <w:tcPr>
            <w:tcW w:w="849" w:type="dxa"/>
            <w:vAlign w:val="bottom"/>
          </w:tcPr>
          <w:p w:rsidR="005B5D40" w:rsidRPr="00F97D0F" w:rsidRDefault="005B5D40" w:rsidP="005B5D40">
            <w:pPr>
              <w:pStyle w:val="normaltabel"/>
              <w:keepNext/>
              <w:jc w:val="center"/>
            </w:pPr>
            <w:r w:rsidRPr="00F97D0F">
              <w:t>0,3</w:t>
            </w:r>
          </w:p>
        </w:tc>
        <w:tc>
          <w:tcPr>
            <w:tcW w:w="698" w:type="dxa"/>
            <w:vAlign w:val="bottom"/>
          </w:tcPr>
          <w:p w:rsidR="005B5D40" w:rsidRPr="00F97D0F" w:rsidRDefault="005B5D40" w:rsidP="005B5D40">
            <w:pPr>
              <w:pStyle w:val="normaltabel"/>
              <w:keepNext/>
              <w:jc w:val="center"/>
            </w:pPr>
            <w:r w:rsidRPr="00F97D0F">
              <w:t>0,2</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pPr>
            <w:r w:rsidRPr="00F97D0F">
              <w:t xml:space="preserve"> o-xyleen </w:t>
            </w:r>
          </w:p>
        </w:tc>
        <w:tc>
          <w:tcPr>
            <w:tcW w:w="960" w:type="dxa"/>
            <w:shd w:val="clear" w:color="auto" w:fill="auto"/>
            <w:noWrap/>
            <w:vAlign w:val="bottom"/>
            <w:hideMark/>
          </w:tcPr>
          <w:p w:rsidR="005B5D40" w:rsidRPr="00F97D0F" w:rsidRDefault="005B5D40" w:rsidP="005B5D40">
            <w:pPr>
              <w:pStyle w:val="normaltabel"/>
              <w:keepNext/>
              <w:jc w:val="center"/>
            </w:pPr>
            <w:r w:rsidRPr="00F97D0F">
              <w:t>0,4</w:t>
            </w:r>
          </w:p>
        </w:tc>
        <w:tc>
          <w:tcPr>
            <w:tcW w:w="960" w:type="dxa"/>
            <w:shd w:val="clear" w:color="auto" w:fill="auto"/>
            <w:noWrap/>
            <w:vAlign w:val="bottom"/>
            <w:hideMark/>
          </w:tcPr>
          <w:p w:rsidR="005B5D40" w:rsidRPr="00F97D0F" w:rsidRDefault="005B5D40" w:rsidP="005B5D40">
            <w:pPr>
              <w:pStyle w:val="normaltabel"/>
              <w:keepNext/>
              <w:jc w:val="center"/>
            </w:pPr>
            <w:r w:rsidRPr="00F97D0F">
              <w:t>0,3</w:t>
            </w:r>
          </w:p>
        </w:tc>
        <w:tc>
          <w:tcPr>
            <w:tcW w:w="2333" w:type="dxa"/>
            <w:vAlign w:val="bottom"/>
          </w:tcPr>
          <w:p w:rsidR="005B5D40" w:rsidRPr="00F97D0F" w:rsidRDefault="005B5D40" w:rsidP="005B5D40">
            <w:pPr>
              <w:pStyle w:val="normaltabel"/>
              <w:keepNext/>
            </w:pPr>
            <w:r w:rsidRPr="00F97D0F">
              <w:t xml:space="preserve"> 2-methylheptaan </w:t>
            </w:r>
          </w:p>
        </w:tc>
        <w:tc>
          <w:tcPr>
            <w:tcW w:w="849" w:type="dxa"/>
            <w:vAlign w:val="bottom"/>
          </w:tcPr>
          <w:p w:rsidR="005B5D40" w:rsidRPr="00F97D0F" w:rsidRDefault="005B5D40" w:rsidP="005B5D40">
            <w:pPr>
              <w:pStyle w:val="normaltabel"/>
              <w:keepNext/>
              <w:jc w:val="center"/>
            </w:pPr>
            <w:r w:rsidRPr="00F97D0F">
              <w:t>0,1</w:t>
            </w:r>
          </w:p>
        </w:tc>
        <w:tc>
          <w:tcPr>
            <w:tcW w:w="698" w:type="dxa"/>
            <w:vAlign w:val="bottom"/>
          </w:tcPr>
          <w:p w:rsidR="005B5D40" w:rsidRPr="00F97D0F" w:rsidRDefault="005B5D40" w:rsidP="005B5D40">
            <w:pPr>
              <w:pStyle w:val="normaltabel"/>
              <w:keepNext/>
              <w:jc w:val="center"/>
            </w:pPr>
            <w:r w:rsidRPr="00F97D0F">
              <w:t>0,1</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pPr>
            <w:r w:rsidRPr="00F97D0F">
              <w:t xml:space="preserve"> n.propylbenzeen </w:t>
            </w:r>
          </w:p>
        </w:tc>
        <w:tc>
          <w:tcPr>
            <w:tcW w:w="960" w:type="dxa"/>
            <w:shd w:val="clear" w:color="auto" w:fill="auto"/>
            <w:noWrap/>
            <w:vAlign w:val="bottom"/>
            <w:hideMark/>
          </w:tcPr>
          <w:p w:rsidR="005B5D40" w:rsidRPr="00F97D0F" w:rsidRDefault="005B5D40" w:rsidP="005B5D40">
            <w:pPr>
              <w:pStyle w:val="normaltabel"/>
              <w:keepNext/>
              <w:jc w:val="center"/>
            </w:pPr>
            <w:r w:rsidRPr="00F97D0F">
              <w:t>0,1</w:t>
            </w:r>
          </w:p>
        </w:tc>
        <w:tc>
          <w:tcPr>
            <w:tcW w:w="960" w:type="dxa"/>
            <w:shd w:val="clear" w:color="auto" w:fill="auto"/>
            <w:noWrap/>
            <w:vAlign w:val="bottom"/>
            <w:hideMark/>
          </w:tcPr>
          <w:p w:rsidR="005B5D40" w:rsidRPr="00F97D0F" w:rsidRDefault="005B5D40" w:rsidP="005B5D40">
            <w:pPr>
              <w:pStyle w:val="normaltabel"/>
              <w:keepNext/>
              <w:jc w:val="center"/>
            </w:pPr>
            <w:r w:rsidRPr="00F97D0F">
              <w:t>dl</w:t>
            </w:r>
          </w:p>
        </w:tc>
        <w:tc>
          <w:tcPr>
            <w:tcW w:w="2333" w:type="dxa"/>
            <w:vAlign w:val="bottom"/>
          </w:tcPr>
          <w:p w:rsidR="005B5D40" w:rsidRPr="00F97D0F" w:rsidRDefault="005B5D40" w:rsidP="005B5D40">
            <w:pPr>
              <w:pStyle w:val="normaltabel"/>
              <w:keepNext/>
            </w:pPr>
            <w:r w:rsidRPr="00F97D0F">
              <w:t xml:space="preserve"> 3-methylheptaan </w:t>
            </w:r>
          </w:p>
        </w:tc>
        <w:tc>
          <w:tcPr>
            <w:tcW w:w="849" w:type="dxa"/>
            <w:vAlign w:val="bottom"/>
          </w:tcPr>
          <w:p w:rsidR="005B5D40" w:rsidRPr="00F97D0F" w:rsidRDefault="005B5D40" w:rsidP="005B5D40">
            <w:pPr>
              <w:pStyle w:val="normaltabel"/>
              <w:keepNext/>
              <w:jc w:val="center"/>
            </w:pPr>
            <w:r w:rsidRPr="00F97D0F">
              <w:t>0,2</w:t>
            </w:r>
          </w:p>
        </w:tc>
        <w:tc>
          <w:tcPr>
            <w:tcW w:w="698" w:type="dxa"/>
            <w:vAlign w:val="bottom"/>
          </w:tcPr>
          <w:p w:rsidR="005B5D40" w:rsidRPr="00F97D0F" w:rsidRDefault="005B5D40" w:rsidP="005B5D40">
            <w:pPr>
              <w:pStyle w:val="normaltabel"/>
              <w:keepNext/>
              <w:jc w:val="center"/>
            </w:pPr>
            <w:r w:rsidRPr="00F97D0F">
              <w:t>0,2</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pPr>
            <w:r w:rsidRPr="00F97D0F">
              <w:t xml:space="preserve"> m-ethyltolueen </w:t>
            </w:r>
          </w:p>
        </w:tc>
        <w:tc>
          <w:tcPr>
            <w:tcW w:w="960" w:type="dxa"/>
            <w:shd w:val="clear" w:color="auto" w:fill="auto"/>
            <w:noWrap/>
            <w:vAlign w:val="bottom"/>
            <w:hideMark/>
          </w:tcPr>
          <w:p w:rsidR="005B5D40" w:rsidRPr="00F97D0F" w:rsidRDefault="005B5D40" w:rsidP="005B5D40">
            <w:pPr>
              <w:pStyle w:val="normaltabel"/>
              <w:keepNext/>
              <w:jc w:val="center"/>
            </w:pPr>
            <w:r w:rsidRPr="00F97D0F">
              <w:t>0,3</w:t>
            </w:r>
          </w:p>
        </w:tc>
        <w:tc>
          <w:tcPr>
            <w:tcW w:w="960" w:type="dxa"/>
            <w:shd w:val="clear" w:color="auto" w:fill="auto"/>
            <w:noWrap/>
            <w:vAlign w:val="bottom"/>
            <w:hideMark/>
          </w:tcPr>
          <w:p w:rsidR="005B5D40" w:rsidRPr="00F97D0F" w:rsidRDefault="005B5D40" w:rsidP="005B5D40">
            <w:pPr>
              <w:pStyle w:val="normaltabel"/>
              <w:keepNext/>
              <w:jc w:val="center"/>
            </w:pPr>
            <w:r w:rsidRPr="00F97D0F">
              <w:t>0,1</w:t>
            </w:r>
          </w:p>
        </w:tc>
        <w:tc>
          <w:tcPr>
            <w:tcW w:w="2333" w:type="dxa"/>
            <w:vAlign w:val="bottom"/>
          </w:tcPr>
          <w:p w:rsidR="005B5D40" w:rsidRPr="00F97D0F" w:rsidRDefault="005B5D40" w:rsidP="005B5D40">
            <w:pPr>
              <w:pStyle w:val="normaltabel"/>
              <w:keepNext/>
            </w:pPr>
            <w:r w:rsidRPr="00F97D0F">
              <w:t xml:space="preserve"> methylcyclopentaan </w:t>
            </w:r>
          </w:p>
        </w:tc>
        <w:tc>
          <w:tcPr>
            <w:tcW w:w="849" w:type="dxa"/>
            <w:vAlign w:val="bottom"/>
          </w:tcPr>
          <w:p w:rsidR="005B5D40" w:rsidRPr="00F97D0F" w:rsidRDefault="005B5D40" w:rsidP="005B5D40">
            <w:pPr>
              <w:pStyle w:val="normaltabel"/>
              <w:keepNext/>
              <w:jc w:val="center"/>
            </w:pPr>
            <w:r w:rsidRPr="00F97D0F">
              <w:t>0,3</w:t>
            </w:r>
          </w:p>
        </w:tc>
        <w:tc>
          <w:tcPr>
            <w:tcW w:w="698" w:type="dxa"/>
            <w:vAlign w:val="bottom"/>
          </w:tcPr>
          <w:p w:rsidR="005B5D40" w:rsidRPr="00F97D0F" w:rsidRDefault="005B5D40" w:rsidP="005B5D40">
            <w:pPr>
              <w:pStyle w:val="normaltabel"/>
              <w:keepNext/>
              <w:jc w:val="center"/>
            </w:pPr>
            <w:r w:rsidRPr="00F97D0F">
              <w:t>0,3</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pPr>
            <w:r w:rsidRPr="00F97D0F">
              <w:t xml:space="preserve"> p-ethyltolueen </w:t>
            </w:r>
          </w:p>
        </w:tc>
        <w:tc>
          <w:tcPr>
            <w:tcW w:w="960" w:type="dxa"/>
            <w:shd w:val="clear" w:color="auto" w:fill="auto"/>
            <w:noWrap/>
            <w:vAlign w:val="bottom"/>
            <w:hideMark/>
          </w:tcPr>
          <w:p w:rsidR="005B5D40" w:rsidRPr="00F97D0F" w:rsidRDefault="005B5D40" w:rsidP="005B5D40">
            <w:pPr>
              <w:pStyle w:val="normaltabel"/>
              <w:keepNext/>
              <w:jc w:val="center"/>
            </w:pPr>
            <w:r w:rsidRPr="00F97D0F">
              <w:t>0,1</w:t>
            </w:r>
          </w:p>
        </w:tc>
        <w:tc>
          <w:tcPr>
            <w:tcW w:w="960" w:type="dxa"/>
            <w:shd w:val="clear" w:color="auto" w:fill="auto"/>
            <w:noWrap/>
            <w:vAlign w:val="bottom"/>
            <w:hideMark/>
          </w:tcPr>
          <w:p w:rsidR="005B5D40" w:rsidRPr="00F97D0F" w:rsidRDefault="005B5D40" w:rsidP="005B5D40">
            <w:pPr>
              <w:pStyle w:val="normaltabel"/>
              <w:keepNext/>
              <w:jc w:val="center"/>
            </w:pPr>
            <w:r w:rsidRPr="00F97D0F">
              <w:t>dl</w:t>
            </w:r>
          </w:p>
        </w:tc>
        <w:tc>
          <w:tcPr>
            <w:tcW w:w="2333" w:type="dxa"/>
            <w:vAlign w:val="bottom"/>
          </w:tcPr>
          <w:p w:rsidR="005B5D40" w:rsidRPr="00F97D0F" w:rsidRDefault="005B5D40" w:rsidP="005B5D40">
            <w:pPr>
              <w:pStyle w:val="normaltabel"/>
              <w:keepNext/>
            </w:pPr>
            <w:r w:rsidRPr="00F97D0F">
              <w:t xml:space="preserve"> cyclohexaan </w:t>
            </w:r>
          </w:p>
        </w:tc>
        <w:tc>
          <w:tcPr>
            <w:tcW w:w="849" w:type="dxa"/>
            <w:vAlign w:val="bottom"/>
          </w:tcPr>
          <w:p w:rsidR="005B5D40" w:rsidRPr="00F97D0F" w:rsidRDefault="005B5D40" w:rsidP="005B5D40">
            <w:pPr>
              <w:pStyle w:val="normaltabel"/>
              <w:keepNext/>
              <w:jc w:val="center"/>
            </w:pPr>
            <w:r w:rsidRPr="00F97D0F">
              <w:t>0,4</w:t>
            </w:r>
          </w:p>
        </w:tc>
        <w:tc>
          <w:tcPr>
            <w:tcW w:w="698" w:type="dxa"/>
            <w:vAlign w:val="bottom"/>
          </w:tcPr>
          <w:p w:rsidR="005B5D40" w:rsidRPr="00F97D0F" w:rsidRDefault="005B5D40" w:rsidP="005B5D40">
            <w:pPr>
              <w:pStyle w:val="normaltabel"/>
              <w:keepNext/>
              <w:jc w:val="center"/>
            </w:pPr>
            <w:r w:rsidRPr="00F97D0F">
              <w:t>0,4</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pPr>
            <w:r w:rsidRPr="00F97D0F">
              <w:t xml:space="preserve"> o-ethyltolueen </w:t>
            </w:r>
          </w:p>
        </w:tc>
        <w:tc>
          <w:tcPr>
            <w:tcW w:w="960" w:type="dxa"/>
            <w:shd w:val="clear" w:color="auto" w:fill="auto"/>
            <w:noWrap/>
            <w:vAlign w:val="bottom"/>
            <w:hideMark/>
          </w:tcPr>
          <w:p w:rsidR="005B5D40" w:rsidRPr="00F97D0F" w:rsidRDefault="005B5D40" w:rsidP="005B5D40">
            <w:pPr>
              <w:pStyle w:val="normaltabel"/>
              <w:keepNext/>
              <w:jc w:val="center"/>
            </w:pPr>
            <w:r w:rsidRPr="00F97D0F">
              <w:t>0,2</w:t>
            </w:r>
          </w:p>
        </w:tc>
        <w:tc>
          <w:tcPr>
            <w:tcW w:w="960" w:type="dxa"/>
            <w:shd w:val="clear" w:color="auto" w:fill="auto"/>
            <w:noWrap/>
            <w:vAlign w:val="bottom"/>
            <w:hideMark/>
          </w:tcPr>
          <w:p w:rsidR="005B5D40" w:rsidRPr="00F97D0F" w:rsidRDefault="005B5D40" w:rsidP="005B5D40">
            <w:pPr>
              <w:pStyle w:val="normaltabel"/>
              <w:keepNext/>
              <w:jc w:val="center"/>
            </w:pPr>
            <w:r w:rsidRPr="00F97D0F">
              <w:t>0,1</w:t>
            </w:r>
          </w:p>
        </w:tc>
        <w:tc>
          <w:tcPr>
            <w:tcW w:w="2333" w:type="dxa"/>
            <w:vAlign w:val="bottom"/>
          </w:tcPr>
          <w:p w:rsidR="005B5D40" w:rsidRPr="00F97D0F" w:rsidRDefault="005B5D40" w:rsidP="005B5D40">
            <w:pPr>
              <w:pStyle w:val="normaltabel"/>
              <w:keepNext/>
            </w:pPr>
            <w:r w:rsidRPr="00F97D0F">
              <w:t xml:space="preserve"> methylcyclohexaan </w:t>
            </w:r>
          </w:p>
        </w:tc>
        <w:tc>
          <w:tcPr>
            <w:tcW w:w="849" w:type="dxa"/>
            <w:vAlign w:val="bottom"/>
          </w:tcPr>
          <w:p w:rsidR="005B5D40" w:rsidRPr="00F97D0F" w:rsidRDefault="005B5D40" w:rsidP="005B5D40">
            <w:pPr>
              <w:pStyle w:val="normaltabel"/>
              <w:keepNext/>
              <w:jc w:val="center"/>
            </w:pPr>
            <w:r w:rsidRPr="00F97D0F">
              <w:t>0,2</w:t>
            </w:r>
          </w:p>
        </w:tc>
        <w:tc>
          <w:tcPr>
            <w:tcW w:w="698" w:type="dxa"/>
            <w:vAlign w:val="bottom"/>
          </w:tcPr>
          <w:p w:rsidR="005B5D40" w:rsidRPr="00F97D0F" w:rsidRDefault="005B5D40" w:rsidP="005B5D40">
            <w:pPr>
              <w:pStyle w:val="normaltabel"/>
              <w:keepNext/>
              <w:jc w:val="center"/>
            </w:pPr>
            <w:r w:rsidRPr="00F97D0F">
              <w:t>0,3</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pPr>
            <w:r w:rsidRPr="00F97D0F">
              <w:t xml:space="preserve"> 1,3,5-trimethylbenzeen </w:t>
            </w:r>
          </w:p>
        </w:tc>
        <w:tc>
          <w:tcPr>
            <w:tcW w:w="960" w:type="dxa"/>
            <w:shd w:val="clear" w:color="auto" w:fill="auto"/>
            <w:noWrap/>
            <w:vAlign w:val="bottom"/>
            <w:hideMark/>
          </w:tcPr>
          <w:p w:rsidR="005B5D40" w:rsidRPr="00F97D0F" w:rsidRDefault="005B5D40" w:rsidP="005B5D40">
            <w:pPr>
              <w:pStyle w:val="normaltabel"/>
              <w:keepNext/>
              <w:jc w:val="center"/>
            </w:pPr>
            <w:r w:rsidRPr="00F97D0F">
              <w:t>0,2</w:t>
            </w:r>
          </w:p>
        </w:tc>
        <w:tc>
          <w:tcPr>
            <w:tcW w:w="960" w:type="dxa"/>
            <w:shd w:val="clear" w:color="auto" w:fill="auto"/>
            <w:noWrap/>
            <w:vAlign w:val="bottom"/>
            <w:hideMark/>
          </w:tcPr>
          <w:p w:rsidR="005B5D40" w:rsidRPr="00F97D0F" w:rsidRDefault="005B5D40" w:rsidP="005B5D40">
            <w:pPr>
              <w:pStyle w:val="normaltabel"/>
              <w:keepNext/>
              <w:jc w:val="center"/>
            </w:pPr>
            <w:r w:rsidRPr="00F97D0F">
              <w:t>0,1</w:t>
            </w:r>
          </w:p>
        </w:tc>
        <w:tc>
          <w:tcPr>
            <w:tcW w:w="2333" w:type="dxa"/>
            <w:vAlign w:val="bottom"/>
          </w:tcPr>
          <w:p w:rsidR="005B5D40" w:rsidRPr="00F97D0F" w:rsidRDefault="005B5D40" w:rsidP="005B5D40">
            <w:pPr>
              <w:pStyle w:val="normaltabel"/>
            </w:pPr>
            <w:r w:rsidRPr="00F97D0F">
              <w:t xml:space="preserve"> 1-buteen + 1,3-butadieen </w:t>
            </w:r>
          </w:p>
        </w:tc>
        <w:tc>
          <w:tcPr>
            <w:tcW w:w="849" w:type="dxa"/>
            <w:vAlign w:val="bottom"/>
          </w:tcPr>
          <w:p w:rsidR="005B5D40" w:rsidRPr="00F97D0F" w:rsidRDefault="005B5D40" w:rsidP="005B5D40">
            <w:pPr>
              <w:pStyle w:val="normaltabel"/>
              <w:jc w:val="center"/>
            </w:pPr>
            <w:r w:rsidRPr="00F97D0F">
              <w:t>0,5</w:t>
            </w:r>
          </w:p>
        </w:tc>
        <w:tc>
          <w:tcPr>
            <w:tcW w:w="698" w:type="dxa"/>
            <w:vAlign w:val="bottom"/>
          </w:tcPr>
          <w:p w:rsidR="005B5D40" w:rsidRPr="00F97D0F" w:rsidRDefault="005B5D40" w:rsidP="005B5D40">
            <w:pPr>
              <w:pStyle w:val="normaltabel"/>
              <w:jc w:val="center"/>
            </w:pPr>
            <w:r w:rsidRPr="00F97D0F">
              <w:t>0,4</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pPr>
            <w:r w:rsidRPr="00F97D0F">
              <w:t xml:space="preserve"> 1,2,4-trimethylbenzeen </w:t>
            </w:r>
          </w:p>
        </w:tc>
        <w:tc>
          <w:tcPr>
            <w:tcW w:w="960" w:type="dxa"/>
            <w:shd w:val="clear" w:color="auto" w:fill="auto"/>
            <w:noWrap/>
            <w:vAlign w:val="bottom"/>
            <w:hideMark/>
          </w:tcPr>
          <w:p w:rsidR="005B5D40" w:rsidRPr="00F97D0F" w:rsidRDefault="005B5D40" w:rsidP="005B5D40">
            <w:pPr>
              <w:pStyle w:val="normaltabel"/>
              <w:jc w:val="center"/>
            </w:pPr>
            <w:r w:rsidRPr="00F97D0F">
              <w:t>0,5</w:t>
            </w:r>
          </w:p>
        </w:tc>
        <w:tc>
          <w:tcPr>
            <w:tcW w:w="960" w:type="dxa"/>
            <w:shd w:val="clear" w:color="auto" w:fill="auto"/>
            <w:noWrap/>
            <w:vAlign w:val="bottom"/>
            <w:hideMark/>
          </w:tcPr>
          <w:p w:rsidR="005B5D40" w:rsidRPr="00F97D0F" w:rsidRDefault="005B5D40" w:rsidP="005B5D40">
            <w:pPr>
              <w:pStyle w:val="normaltabel"/>
              <w:jc w:val="center"/>
            </w:pPr>
            <w:r w:rsidRPr="00F97D0F">
              <w:t>0,3</w:t>
            </w:r>
          </w:p>
        </w:tc>
        <w:tc>
          <w:tcPr>
            <w:tcW w:w="2333" w:type="dxa"/>
            <w:vAlign w:val="bottom"/>
          </w:tcPr>
          <w:p w:rsidR="005B5D40" w:rsidRPr="00F97D0F" w:rsidRDefault="005B5D40" w:rsidP="005B5D40">
            <w:pPr>
              <w:pStyle w:val="normaltabel"/>
            </w:pPr>
            <w:r w:rsidRPr="00F97D0F">
              <w:t xml:space="preserve"> trans-2-buteen </w:t>
            </w:r>
          </w:p>
        </w:tc>
        <w:tc>
          <w:tcPr>
            <w:tcW w:w="849" w:type="dxa"/>
            <w:vAlign w:val="bottom"/>
          </w:tcPr>
          <w:p w:rsidR="005B5D40" w:rsidRPr="00F97D0F" w:rsidRDefault="005B5D40" w:rsidP="005B5D40">
            <w:pPr>
              <w:pStyle w:val="normaltabel"/>
              <w:jc w:val="center"/>
            </w:pPr>
            <w:r w:rsidRPr="00F97D0F">
              <w:t>dl</w:t>
            </w:r>
          </w:p>
        </w:tc>
        <w:tc>
          <w:tcPr>
            <w:tcW w:w="698" w:type="dxa"/>
            <w:vAlign w:val="bottom"/>
          </w:tcPr>
          <w:p w:rsidR="005B5D40" w:rsidRPr="00F97D0F" w:rsidRDefault="005B5D40" w:rsidP="005B5D40">
            <w:pPr>
              <w:pStyle w:val="normaltabel"/>
              <w:jc w:val="center"/>
            </w:pPr>
            <w:r w:rsidRPr="00F97D0F">
              <w:t>dl</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pPr>
            <w:r w:rsidRPr="00F97D0F">
              <w:t xml:space="preserve"> 1,2,3-trimethylbenzeen </w:t>
            </w:r>
          </w:p>
        </w:tc>
        <w:tc>
          <w:tcPr>
            <w:tcW w:w="960" w:type="dxa"/>
            <w:shd w:val="clear" w:color="auto" w:fill="auto"/>
            <w:noWrap/>
            <w:vAlign w:val="bottom"/>
            <w:hideMark/>
          </w:tcPr>
          <w:p w:rsidR="005B5D40" w:rsidRPr="00F97D0F" w:rsidRDefault="005B5D40" w:rsidP="005B5D40">
            <w:pPr>
              <w:pStyle w:val="normaltabel"/>
              <w:jc w:val="center"/>
            </w:pPr>
            <w:r w:rsidRPr="00F97D0F">
              <w:t>0,1</w:t>
            </w:r>
          </w:p>
        </w:tc>
        <w:tc>
          <w:tcPr>
            <w:tcW w:w="960" w:type="dxa"/>
            <w:shd w:val="clear" w:color="auto" w:fill="auto"/>
            <w:noWrap/>
            <w:vAlign w:val="bottom"/>
            <w:hideMark/>
          </w:tcPr>
          <w:p w:rsidR="005B5D40" w:rsidRPr="00F97D0F" w:rsidRDefault="005B5D40" w:rsidP="005B5D40">
            <w:pPr>
              <w:pStyle w:val="normaltabel"/>
              <w:jc w:val="center"/>
            </w:pPr>
            <w:r w:rsidRPr="00F97D0F">
              <w:t>dl</w:t>
            </w:r>
          </w:p>
        </w:tc>
        <w:tc>
          <w:tcPr>
            <w:tcW w:w="2333" w:type="dxa"/>
            <w:vAlign w:val="bottom"/>
          </w:tcPr>
          <w:p w:rsidR="005B5D40" w:rsidRPr="00F97D0F" w:rsidRDefault="005B5D40" w:rsidP="005B5D40">
            <w:pPr>
              <w:pStyle w:val="normaltabel"/>
            </w:pPr>
            <w:r w:rsidRPr="00F97D0F">
              <w:t xml:space="preserve"> cis-2-buteen </w:t>
            </w:r>
          </w:p>
        </w:tc>
        <w:tc>
          <w:tcPr>
            <w:tcW w:w="849" w:type="dxa"/>
            <w:vAlign w:val="bottom"/>
          </w:tcPr>
          <w:p w:rsidR="005B5D40" w:rsidRPr="00F97D0F" w:rsidRDefault="005B5D40" w:rsidP="005B5D40">
            <w:pPr>
              <w:pStyle w:val="normaltabel"/>
              <w:jc w:val="center"/>
            </w:pPr>
            <w:r w:rsidRPr="00F97D0F">
              <w:t>dl</w:t>
            </w:r>
          </w:p>
        </w:tc>
        <w:tc>
          <w:tcPr>
            <w:tcW w:w="698" w:type="dxa"/>
            <w:vAlign w:val="bottom"/>
          </w:tcPr>
          <w:p w:rsidR="005B5D40" w:rsidRPr="00F97D0F" w:rsidRDefault="005B5D40" w:rsidP="005B5D40">
            <w:pPr>
              <w:pStyle w:val="normaltabel"/>
              <w:jc w:val="center"/>
            </w:pPr>
            <w:r w:rsidRPr="00F97D0F">
              <w:t>dl</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pPr>
            <w:r w:rsidRPr="00F97D0F">
              <w:t xml:space="preserve"> n.butaan </w:t>
            </w:r>
          </w:p>
        </w:tc>
        <w:tc>
          <w:tcPr>
            <w:tcW w:w="960" w:type="dxa"/>
            <w:shd w:val="clear" w:color="auto" w:fill="auto"/>
            <w:noWrap/>
            <w:vAlign w:val="bottom"/>
            <w:hideMark/>
          </w:tcPr>
          <w:p w:rsidR="005B5D40" w:rsidRPr="00F97D0F" w:rsidRDefault="005B5D40" w:rsidP="005B5D40">
            <w:pPr>
              <w:pStyle w:val="normaltabel"/>
              <w:jc w:val="center"/>
            </w:pPr>
            <w:r w:rsidRPr="00F97D0F">
              <w:t>0,4</w:t>
            </w:r>
          </w:p>
        </w:tc>
        <w:tc>
          <w:tcPr>
            <w:tcW w:w="960" w:type="dxa"/>
            <w:shd w:val="clear" w:color="auto" w:fill="auto"/>
            <w:noWrap/>
            <w:vAlign w:val="bottom"/>
            <w:hideMark/>
          </w:tcPr>
          <w:p w:rsidR="005B5D40" w:rsidRPr="00F97D0F" w:rsidRDefault="005B5D40" w:rsidP="005B5D40">
            <w:pPr>
              <w:pStyle w:val="normaltabel"/>
              <w:jc w:val="center"/>
            </w:pPr>
            <w:r w:rsidRPr="00F97D0F">
              <w:t>0,3</w:t>
            </w:r>
          </w:p>
        </w:tc>
        <w:tc>
          <w:tcPr>
            <w:tcW w:w="2333" w:type="dxa"/>
            <w:vAlign w:val="bottom"/>
          </w:tcPr>
          <w:p w:rsidR="005B5D40" w:rsidRPr="00F97D0F" w:rsidRDefault="005B5D40" w:rsidP="005B5D40">
            <w:pPr>
              <w:pStyle w:val="normaltabel"/>
            </w:pPr>
            <w:r w:rsidRPr="00F97D0F">
              <w:t xml:space="preserve"> isopreen </w:t>
            </w:r>
          </w:p>
        </w:tc>
        <w:tc>
          <w:tcPr>
            <w:tcW w:w="849" w:type="dxa"/>
            <w:vAlign w:val="bottom"/>
          </w:tcPr>
          <w:p w:rsidR="005B5D40" w:rsidRPr="00F97D0F" w:rsidRDefault="005B5D40" w:rsidP="005B5D40">
            <w:pPr>
              <w:pStyle w:val="normaltabel"/>
              <w:jc w:val="center"/>
            </w:pPr>
            <w:r w:rsidRPr="00F97D0F">
              <w:t>0,1</w:t>
            </w:r>
          </w:p>
        </w:tc>
        <w:tc>
          <w:tcPr>
            <w:tcW w:w="698" w:type="dxa"/>
            <w:vAlign w:val="bottom"/>
          </w:tcPr>
          <w:p w:rsidR="005B5D40" w:rsidRPr="00F97D0F" w:rsidRDefault="005B5D40" w:rsidP="005B5D40">
            <w:pPr>
              <w:pStyle w:val="normaltabel"/>
              <w:jc w:val="center"/>
            </w:pPr>
            <w:r w:rsidRPr="00F97D0F">
              <w:t>dl</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pPr>
            <w:r w:rsidRPr="00F97D0F">
              <w:t xml:space="preserve"> n.pentaan </w:t>
            </w:r>
          </w:p>
        </w:tc>
        <w:tc>
          <w:tcPr>
            <w:tcW w:w="960" w:type="dxa"/>
            <w:shd w:val="clear" w:color="auto" w:fill="auto"/>
            <w:noWrap/>
            <w:vAlign w:val="bottom"/>
            <w:hideMark/>
          </w:tcPr>
          <w:p w:rsidR="005B5D40" w:rsidRPr="00F97D0F" w:rsidRDefault="005B5D40" w:rsidP="005B5D40">
            <w:pPr>
              <w:pStyle w:val="normaltabel"/>
              <w:jc w:val="center"/>
            </w:pPr>
            <w:r w:rsidRPr="00F97D0F">
              <w:t>1</w:t>
            </w:r>
          </w:p>
        </w:tc>
        <w:tc>
          <w:tcPr>
            <w:tcW w:w="960" w:type="dxa"/>
            <w:shd w:val="clear" w:color="auto" w:fill="auto"/>
            <w:noWrap/>
            <w:vAlign w:val="bottom"/>
            <w:hideMark/>
          </w:tcPr>
          <w:p w:rsidR="005B5D40" w:rsidRPr="00F97D0F" w:rsidRDefault="005B5D40" w:rsidP="005B5D40">
            <w:pPr>
              <w:pStyle w:val="normaltabel"/>
              <w:jc w:val="center"/>
            </w:pPr>
            <w:r w:rsidRPr="00F97D0F">
              <w:t>1,4</w:t>
            </w:r>
          </w:p>
        </w:tc>
        <w:tc>
          <w:tcPr>
            <w:tcW w:w="2333" w:type="dxa"/>
            <w:vAlign w:val="bottom"/>
          </w:tcPr>
          <w:p w:rsidR="005B5D40" w:rsidRPr="00F97D0F" w:rsidRDefault="005B5D40" w:rsidP="005B5D40">
            <w:pPr>
              <w:pStyle w:val="normaltabel"/>
            </w:pPr>
            <w:r w:rsidRPr="00F97D0F">
              <w:t xml:space="preserve"> 1-penteen </w:t>
            </w:r>
          </w:p>
        </w:tc>
        <w:tc>
          <w:tcPr>
            <w:tcW w:w="849" w:type="dxa"/>
            <w:vAlign w:val="bottom"/>
          </w:tcPr>
          <w:p w:rsidR="005B5D40" w:rsidRPr="00F97D0F" w:rsidRDefault="005B5D40" w:rsidP="005B5D40">
            <w:pPr>
              <w:pStyle w:val="normaltabel"/>
              <w:jc w:val="center"/>
            </w:pPr>
            <w:r w:rsidRPr="00F97D0F">
              <w:t>0,1</w:t>
            </w:r>
          </w:p>
        </w:tc>
        <w:tc>
          <w:tcPr>
            <w:tcW w:w="698" w:type="dxa"/>
            <w:vAlign w:val="bottom"/>
          </w:tcPr>
          <w:p w:rsidR="005B5D40" w:rsidRPr="00F97D0F" w:rsidRDefault="005B5D40" w:rsidP="005B5D40">
            <w:pPr>
              <w:pStyle w:val="normaltabel"/>
              <w:jc w:val="center"/>
            </w:pPr>
            <w:r w:rsidRPr="00F97D0F">
              <w:t>0,2</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pPr>
            <w:r w:rsidRPr="00F97D0F">
              <w:t xml:space="preserve"> n.hexaan </w:t>
            </w:r>
          </w:p>
        </w:tc>
        <w:tc>
          <w:tcPr>
            <w:tcW w:w="960" w:type="dxa"/>
            <w:shd w:val="clear" w:color="auto" w:fill="auto"/>
            <w:noWrap/>
            <w:vAlign w:val="bottom"/>
            <w:hideMark/>
          </w:tcPr>
          <w:p w:rsidR="005B5D40" w:rsidRPr="00F97D0F" w:rsidRDefault="005B5D40" w:rsidP="005B5D40">
            <w:pPr>
              <w:pStyle w:val="normaltabel"/>
              <w:jc w:val="center"/>
            </w:pPr>
            <w:r w:rsidRPr="00F97D0F">
              <w:t>0,8</w:t>
            </w:r>
          </w:p>
        </w:tc>
        <w:tc>
          <w:tcPr>
            <w:tcW w:w="960" w:type="dxa"/>
            <w:shd w:val="clear" w:color="auto" w:fill="auto"/>
            <w:noWrap/>
            <w:vAlign w:val="bottom"/>
            <w:hideMark/>
          </w:tcPr>
          <w:p w:rsidR="005B5D40" w:rsidRPr="00F97D0F" w:rsidRDefault="005B5D40" w:rsidP="005B5D40">
            <w:pPr>
              <w:pStyle w:val="normaltabel"/>
              <w:jc w:val="center"/>
            </w:pPr>
            <w:r w:rsidRPr="00F97D0F">
              <w:t>1</w:t>
            </w:r>
          </w:p>
        </w:tc>
        <w:tc>
          <w:tcPr>
            <w:tcW w:w="2333" w:type="dxa"/>
            <w:vAlign w:val="bottom"/>
          </w:tcPr>
          <w:p w:rsidR="005B5D40" w:rsidRPr="00F97D0F" w:rsidRDefault="005B5D40" w:rsidP="005B5D40">
            <w:pPr>
              <w:pStyle w:val="normaltabel"/>
            </w:pPr>
            <w:r w:rsidRPr="00F97D0F">
              <w:t xml:space="preserve"> 2-penteen </w:t>
            </w:r>
          </w:p>
        </w:tc>
        <w:tc>
          <w:tcPr>
            <w:tcW w:w="849" w:type="dxa"/>
            <w:vAlign w:val="bottom"/>
          </w:tcPr>
          <w:p w:rsidR="005B5D40" w:rsidRPr="00F97D0F" w:rsidRDefault="005B5D40" w:rsidP="005B5D40">
            <w:pPr>
              <w:pStyle w:val="normaltabel"/>
              <w:jc w:val="center"/>
            </w:pPr>
            <w:r w:rsidRPr="00F97D0F">
              <w:t>dl</w:t>
            </w:r>
          </w:p>
        </w:tc>
        <w:tc>
          <w:tcPr>
            <w:tcW w:w="698" w:type="dxa"/>
            <w:vAlign w:val="bottom"/>
          </w:tcPr>
          <w:p w:rsidR="005B5D40" w:rsidRPr="00F97D0F" w:rsidRDefault="005B5D40" w:rsidP="005B5D40">
            <w:pPr>
              <w:pStyle w:val="normaltabel"/>
              <w:jc w:val="center"/>
            </w:pPr>
            <w:r w:rsidRPr="00F97D0F">
              <w:t>dl</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pPr>
            <w:r w:rsidRPr="00F97D0F">
              <w:t xml:space="preserve"> n.heptaan </w:t>
            </w:r>
          </w:p>
        </w:tc>
        <w:tc>
          <w:tcPr>
            <w:tcW w:w="960" w:type="dxa"/>
            <w:shd w:val="clear" w:color="auto" w:fill="auto"/>
            <w:noWrap/>
            <w:vAlign w:val="bottom"/>
            <w:hideMark/>
          </w:tcPr>
          <w:p w:rsidR="005B5D40" w:rsidRPr="00F97D0F" w:rsidRDefault="005B5D40" w:rsidP="005B5D40">
            <w:pPr>
              <w:pStyle w:val="normaltabel"/>
              <w:jc w:val="center"/>
            </w:pPr>
            <w:r w:rsidRPr="00F97D0F">
              <w:t>0,4</w:t>
            </w:r>
          </w:p>
        </w:tc>
        <w:tc>
          <w:tcPr>
            <w:tcW w:w="960" w:type="dxa"/>
            <w:shd w:val="clear" w:color="auto" w:fill="auto"/>
            <w:noWrap/>
            <w:vAlign w:val="bottom"/>
            <w:hideMark/>
          </w:tcPr>
          <w:p w:rsidR="005B5D40" w:rsidRPr="00F97D0F" w:rsidRDefault="005B5D40" w:rsidP="005B5D40">
            <w:pPr>
              <w:pStyle w:val="normaltabel"/>
              <w:jc w:val="center"/>
            </w:pPr>
            <w:r w:rsidRPr="00F97D0F">
              <w:t>0,4</w:t>
            </w:r>
          </w:p>
        </w:tc>
        <w:tc>
          <w:tcPr>
            <w:tcW w:w="2333" w:type="dxa"/>
            <w:vAlign w:val="bottom"/>
          </w:tcPr>
          <w:p w:rsidR="005B5D40" w:rsidRPr="00F97D0F" w:rsidRDefault="005B5D40" w:rsidP="005B5D40">
            <w:pPr>
              <w:pStyle w:val="normaltabel"/>
            </w:pPr>
            <w:r w:rsidRPr="00F97D0F">
              <w:t xml:space="preserve"> 1-hexeen </w:t>
            </w:r>
          </w:p>
        </w:tc>
        <w:tc>
          <w:tcPr>
            <w:tcW w:w="849" w:type="dxa"/>
            <w:vAlign w:val="bottom"/>
          </w:tcPr>
          <w:p w:rsidR="005B5D40" w:rsidRPr="00F97D0F" w:rsidRDefault="005B5D40" w:rsidP="005B5D40">
            <w:pPr>
              <w:pStyle w:val="normaltabel"/>
              <w:jc w:val="center"/>
            </w:pPr>
            <w:r w:rsidRPr="00F97D0F">
              <w:t>0,3</w:t>
            </w:r>
          </w:p>
        </w:tc>
        <w:tc>
          <w:tcPr>
            <w:tcW w:w="698" w:type="dxa"/>
            <w:vAlign w:val="bottom"/>
          </w:tcPr>
          <w:p w:rsidR="005B5D40" w:rsidRPr="00F97D0F" w:rsidRDefault="005B5D40" w:rsidP="005B5D40">
            <w:pPr>
              <w:pStyle w:val="normaltabel"/>
              <w:jc w:val="center"/>
            </w:pPr>
            <w:r w:rsidRPr="00F97D0F">
              <w:t>0,3</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pPr>
            <w:r w:rsidRPr="00F97D0F">
              <w:t xml:space="preserve"> n.octaan </w:t>
            </w:r>
          </w:p>
        </w:tc>
        <w:tc>
          <w:tcPr>
            <w:tcW w:w="960" w:type="dxa"/>
            <w:shd w:val="clear" w:color="auto" w:fill="auto"/>
            <w:noWrap/>
            <w:vAlign w:val="bottom"/>
            <w:hideMark/>
          </w:tcPr>
          <w:p w:rsidR="005B5D40" w:rsidRPr="00F97D0F" w:rsidRDefault="005B5D40" w:rsidP="005B5D40">
            <w:pPr>
              <w:pStyle w:val="normaltabel"/>
              <w:jc w:val="center"/>
            </w:pPr>
            <w:r w:rsidRPr="00F97D0F">
              <w:t>0,3</w:t>
            </w:r>
          </w:p>
        </w:tc>
        <w:tc>
          <w:tcPr>
            <w:tcW w:w="960" w:type="dxa"/>
            <w:shd w:val="clear" w:color="auto" w:fill="auto"/>
            <w:noWrap/>
            <w:vAlign w:val="bottom"/>
            <w:hideMark/>
          </w:tcPr>
          <w:p w:rsidR="005B5D40" w:rsidRPr="00F97D0F" w:rsidRDefault="005B5D40" w:rsidP="005B5D40">
            <w:pPr>
              <w:pStyle w:val="normaltabel"/>
              <w:jc w:val="center"/>
            </w:pPr>
            <w:r w:rsidRPr="00F97D0F">
              <w:t>0,3</w:t>
            </w:r>
          </w:p>
        </w:tc>
        <w:tc>
          <w:tcPr>
            <w:tcW w:w="2333" w:type="dxa"/>
            <w:vAlign w:val="bottom"/>
          </w:tcPr>
          <w:p w:rsidR="005B5D40" w:rsidRPr="00F97D0F" w:rsidRDefault="005B5D40" w:rsidP="005B5D40">
            <w:pPr>
              <w:pStyle w:val="normaltabel"/>
            </w:pPr>
            <w:r w:rsidRPr="00F97D0F">
              <w:t xml:space="preserve"> alpha-pineen </w:t>
            </w:r>
          </w:p>
        </w:tc>
        <w:tc>
          <w:tcPr>
            <w:tcW w:w="849" w:type="dxa"/>
            <w:vAlign w:val="bottom"/>
          </w:tcPr>
          <w:p w:rsidR="005B5D40" w:rsidRPr="00F97D0F" w:rsidRDefault="005B5D40" w:rsidP="005B5D40">
            <w:pPr>
              <w:pStyle w:val="normaltabel"/>
              <w:jc w:val="center"/>
            </w:pPr>
            <w:r w:rsidRPr="00F97D0F">
              <w:t>0,7</w:t>
            </w:r>
          </w:p>
        </w:tc>
        <w:tc>
          <w:tcPr>
            <w:tcW w:w="698" w:type="dxa"/>
            <w:vAlign w:val="bottom"/>
          </w:tcPr>
          <w:p w:rsidR="005B5D40" w:rsidRPr="00F97D0F" w:rsidRDefault="005B5D40" w:rsidP="005B5D40">
            <w:pPr>
              <w:pStyle w:val="normaltabel"/>
              <w:jc w:val="center"/>
            </w:pPr>
            <w:r w:rsidRPr="00F97D0F">
              <w:t>0,3</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pPr>
            <w:r w:rsidRPr="00F97D0F">
              <w:t xml:space="preserve"> n.nonaan </w:t>
            </w:r>
          </w:p>
        </w:tc>
        <w:tc>
          <w:tcPr>
            <w:tcW w:w="960" w:type="dxa"/>
            <w:shd w:val="clear" w:color="auto" w:fill="auto"/>
            <w:noWrap/>
            <w:vAlign w:val="bottom"/>
            <w:hideMark/>
          </w:tcPr>
          <w:p w:rsidR="005B5D40" w:rsidRPr="00F97D0F" w:rsidRDefault="005B5D40" w:rsidP="005B5D40">
            <w:pPr>
              <w:pStyle w:val="normaltabel"/>
              <w:jc w:val="center"/>
            </w:pPr>
            <w:r w:rsidRPr="00F97D0F">
              <w:t>0,2</w:t>
            </w:r>
          </w:p>
        </w:tc>
        <w:tc>
          <w:tcPr>
            <w:tcW w:w="960" w:type="dxa"/>
            <w:shd w:val="clear" w:color="auto" w:fill="auto"/>
            <w:noWrap/>
            <w:vAlign w:val="bottom"/>
            <w:hideMark/>
          </w:tcPr>
          <w:p w:rsidR="005B5D40" w:rsidRPr="00F97D0F" w:rsidRDefault="005B5D40" w:rsidP="005B5D40">
            <w:pPr>
              <w:pStyle w:val="normaltabel"/>
              <w:jc w:val="center"/>
            </w:pPr>
            <w:r w:rsidRPr="00F97D0F">
              <w:t>0,2</w:t>
            </w:r>
          </w:p>
        </w:tc>
        <w:tc>
          <w:tcPr>
            <w:tcW w:w="2333" w:type="dxa"/>
            <w:vAlign w:val="bottom"/>
          </w:tcPr>
          <w:p w:rsidR="005B5D40" w:rsidRPr="00F97D0F" w:rsidRDefault="005B5D40" w:rsidP="005B5D40">
            <w:pPr>
              <w:pStyle w:val="normaltabel"/>
            </w:pPr>
            <w:r w:rsidRPr="00F97D0F">
              <w:t xml:space="preserve"> vinylchloride </w:t>
            </w:r>
          </w:p>
        </w:tc>
        <w:tc>
          <w:tcPr>
            <w:tcW w:w="849" w:type="dxa"/>
            <w:vAlign w:val="bottom"/>
          </w:tcPr>
          <w:p w:rsidR="005B5D40" w:rsidRPr="00F97D0F" w:rsidRDefault="005B5D40" w:rsidP="005B5D40">
            <w:pPr>
              <w:pStyle w:val="normaltabel"/>
              <w:jc w:val="center"/>
            </w:pPr>
            <w:r w:rsidRPr="00F97D0F">
              <w:t>n.g.</w:t>
            </w:r>
          </w:p>
        </w:tc>
        <w:tc>
          <w:tcPr>
            <w:tcW w:w="698" w:type="dxa"/>
            <w:vAlign w:val="bottom"/>
          </w:tcPr>
          <w:p w:rsidR="005B5D40" w:rsidRPr="00F97D0F" w:rsidRDefault="005B5D40" w:rsidP="005B5D40">
            <w:pPr>
              <w:pStyle w:val="normaltabel"/>
              <w:jc w:val="center"/>
            </w:pPr>
            <w:r w:rsidRPr="00F97D0F">
              <w:t>n.g.</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pPr>
            <w:r w:rsidRPr="00F97D0F">
              <w:t xml:space="preserve"> n.decaan </w:t>
            </w:r>
          </w:p>
        </w:tc>
        <w:tc>
          <w:tcPr>
            <w:tcW w:w="960" w:type="dxa"/>
            <w:shd w:val="clear" w:color="auto" w:fill="auto"/>
            <w:noWrap/>
            <w:vAlign w:val="bottom"/>
            <w:hideMark/>
          </w:tcPr>
          <w:p w:rsidR="005B5D40" w:rsidRPr="00F97D0F" w:rsidRDefault="005B5D40" w:rsidP="005B5D40">
            <w:pPr>
              <w:pStyle w:val="normaltabel"/>
              <w:jc w:val="center"/>
            </w:pPr>
            <w:r w:rsidRPr="00F97D0F">
              <w:t>0,2</w:t>
            </w:r>
          </w:p>
        </w:tc>
        <w:tc>
          <w:tcPr>
            <w:tcW w:w="960" w:type="dxa"/>
            <w:shd w:val="clear" w:color="auto" w:fill="auto"/>
            <w:noWrap/>
            <w:vAlign w:val="bottom"/>
            <w:hideMark/>
          </w:tcPr>
          <w:p w:rsidR="005B5D40" w:rsidRPr="00F97D0F" w:rsidRDefault="005B5D40" w:rsidP="005B5D40">
            <w:pPr>
              <w:pStyle w:val="normaltabel"/>
              <w:jc w:val="center"/>
            </w:pPr>
            <w:r w:rsidRPr="00F97D0F">
              <w:t>0,2</w:t>
            </w:r>
          </w:p>
        </w:tc>
        <w:tc>
          <w:tcPr>
            <w:tcW w:w="2333" w:type="dxa"/>
            <w:vAlign w:val="bottom"/>
          </w:tcPr>
          <w:p w:rsidR="005B5D40" w:rsidRPr="00F97D0F" w:rsidRDefault="005B5D40" w:rsidP="005B5D40">
            <w:pPr>
              <w:pStyle w:val="normaltabel"/>
            </w:pPr>
            <w:r w:rsidRPr="00F97D0F">
              <w:t xml:space="preserve"> 1,2-dichloorethaan </w:t>
            </w:r>
          </w:p>
        </w:tc>
        <w:tc>
          <w:tcPr>
            <w:tcW w:w="849" w:type="dxa"/>
            <w:vAlign w:val="bottom"/>
          </w:tcPr>
          <w:p w:rsidR="005B5D40" w:rsidRPr="00F97D0F" w:rsidRDefault="005B5D40" w:rsidP="005B5D40">
            <w:pPr>
              <w:pStyle w:val="normaltabel"/>
              <w:jc w:val="center"/>
            </w:pPr>
            <w:r w:rsidRPr="00F97D0F">
              <w:t>0,1</w:t>
            </w:r>
          </w:p>
        </w:tc>
        <w:tc>
          <w:tcPr>
            <w:tcW w:w="698" w:type="dxa"/>
            <w:vAlign w:val="bottom"/>
          </w:tcPr>
          <w:p w:rsidR="005B5D40" w:rsidRPr="00F97D0F" w:rsidRDefault="005B5D40" w:rsidP="005B5D40">
            <w:pPr>
              <w:pStyle w:val="normaltabel"/>
              <w:jc w:val="center"/>
            </w:pPr>
            <w:r w:rsidRPr="00F97D0F">
              <w:t>0,2</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pPr>
            <w:r w:rsidRPr="00F97D0F">
              <w:t xml:space="preserve"> isobutaan </w:t>
            </w:r>
          </w:p>
        </w:tc>
        <w:tc>
          <w:tcPr>
            <w:tcW w:w="960" w:type="dxa"/>
            <w:shd w:val="clear" w:color="auto" w:fill="auto"/>
            <w:noWrap/>
            <w:vAlign w:val="bottom"/>
            <w:hideMark/>
          </w:tcPr>
          <w:p w:rsidR="005B5D40" w:rsidRPr="00F97D0F" w:rsidRDefault="005B5D40" w:rsidP="005B5D40">
            <w:pPr>
              <w:pStyle w:val="normaltabel"/>
              <w:jc w:val="center"/>
            </w:pPr>
            <w:r w:rsidRPr="00F97D0F">
              <w:t>n.g.</w:t>
            </w:r>
          </w:p>
        </w:tc>
        <w:tc>
          <w:tcPr>
            <w:tcW w:w="960" w:type="dxa"/>
            <w:shd w:val="clear" w:color="auto" w:fill="auto"/>
            <w:noWrap/>
            <w:vAlign w:val="bottom"/>
            <w:hideMark/>
          </w:tcPr>
          <w:p w:rsidR="005B5D40" w:rsidRPr="00F97D0F" w:rsidRDefault="005B5D40" w:rsidP="005B5D40">
            <w:pPr>
              <w:pStyle w:val="normaltabel"/>
              <w:jc w:val="center"/>
            </w:pPr>
            <w:r w:rsidRPr="00F97D0F">
              <w:t>n.g.</w:t>
            </w:r>
          </w:p>
        </w:tc>
        <w:tc>
          <w:tcPr>
            <w:tcW w:w="2333" w:type="dxa"/>
            <w:vAlign w:val="bottom"/>
          </w:tcPr>
          <w:p w:rsidR="005B5D40" w:rsidRPr="00F97D0F" w:rsidRDefault="005B5D40" w:rsidP="005B5D40">
            <w:pPr>
              <w:pStyle w:val="normaltabel"/>
            </w:pPr>
            <w:r w:rsidRPr="00F97D0F">
              <w:t xml:space="preserve"> 1,1,1-trichloorethaan </w:t>
            </w:r>
          </w:p>
        </w:tc>
        <w:tc>
          <w:tcPr>
            <w:tcW w:w="849" w:type="dxa"/>
            <w:vAlign w:val="bottom"/>
          </w:tcPr>
          <w:p w:rsidR="005B5D40" w:rsidRPr="00F97D0F" w:rsidRDefault="005B5D40" w:rsidP="005B5D40">
            <w:pPr>
              <w:pStyle w:val="normaltabel"/>
              <w:jc w:val="center"/>
            </w:pPr>
            <w:r w:rsidRPr="00F97D0F">
              <w:t>0,1</w:t>
            </w:r>
          </w:p>
        </w:tc>
        <w:tc>
          <w:tcPr>
            <w:tcW w:w="698" w:type="dxa"/>
            <w:vAlign w:val="bottom"/>
          </w:tcPr>
          <w:p w:rsidR="005B5D40" w:rsidRPr="00F97D0F" w:rsidRDefault="005B5D40" w:rsidP="005B5D40">
            <w:pPr>
              <w:pStyle w:val="normaltabel"/>
              <w:jc w:val="center"/>
            </w:pPr>
            <w:r w:rsidRPr="00F97D0F">
              <w:t>0,1</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pPr>
            <w:r w:rsidRPr="00F97D0F">
              <w:t xml:space="preserve"> isopentaan </w:t>
            </w:r>
          </w:p>
        </w:tc>
        <w:tc>
          <w:tcPr>
            <w:tcW w:w="960" w:type="dxa"/>
            <w:shd w:val="clear" w:color="auto" w:fill="auto"/>
            <w:noWrap/>
            <w:vAlign w:val="bottom"/>
            <w:hideMark/>
          </w:tcPr>
          <w:p w:rsidR="005B5D40" w:rsidRPr="00F97D0F" w:rsidRDefault="005B5D40" w:rsidP="005B5D40">
            <w:pPr>
              <w:pStyle w:val="normaltabel"/>
              <w:jc w:val="center"/>
            </w:pPr>
            <w:r w:rsidRPr="00F97D0F">
              <w:t>1,3</w:t>
            </w:r>
          </w:p>
        </w:tc>
        <w:tc>
          <w:tcPr>
            <w:tcW w:w="960" w:type="dxa"/>
            <w:shd w:val="clear" w:color="auto" w:fill="auto"/>
            <w:noWrap/>
            <w:vAlign w:val="bottom"/>
            <w:hideMark/>
          </w:tcPr>
          <w:p w:rsidR="005B5D40" w:rsidRPr="00F97D0F" w:rsidRDefault="005B5D40" w:rsidP="005B5D40">
            <w:pPr>
              <w:pStyle w:val="normaltabel"/>
              <w:jc w:val="center"/>
            </w:pPr>
            <w:r w:rsidRPr="00F97D0F">
              <w:t>1</w:t>
            </w:r>
          </w:p>
        </w:tc>
        <w:tc>
          <w:tcPr>
            <w:tcW w:w="2333" w:type="dxa"/>
            <w:vAlign w:val="bottom"/>
          </w:tcPr>
          <w:p w:rsidR="005B5D40" w:rsidRPr="00F97D0F" w:rsidRDefault="005B5D40" w:rsidP="005B5D40">
            <w:pPr>
              <w:pStyle w:val="normaltabel"/>
            </w:pPr>
            <w:r w:rsidRPr="00F97D0F">
              <w:t xml:space="preserve"> tetrachloorethyleen </w:t>
            </w:r>
          </w:p>
        </w:tc>
        <w:tc>
          <w:tcPr>
            <w:tcW w:w="849" w:type="dxa"/>
            <w:vAlign w:val="bottom"/>
          </w:tcPr>
          <w:p w:rsidR="005B5D40" w:rsidRPr="00F97D0F" w:rsidRDefault="005B5D40" w:rsidP="005B5D40">
            <w:pPr>
              <w:pStyle w:val="normaltabel"/>
              <w:jc w:val="center"/>
            </w:pPr>
            <w:r w:rsidRPr="00F97D0F">
              <w:t>0,3</w:t>
            </w:r>
          </w:p>
        </w:tc>
        <w:tc>
          <w:tcPr>
            <w:tcW w:w="698" w:type="dxa"/>
            <w:vAlign w:val="bottom"/>
          </w:tcPr>
          <w:p w:rsidR="005B5D40" w:rsidRPr="00F97D0F" w:rsidRDefault="005B5D40" w:rsidP="005B5D40">
            <w:pPr>
              <w:pStyle w:val="normaltabel"/>
              <w:jc w:val="center"/>
            </w:pPr>
            <w:r w:rsidRPr="00F97D0F">
              <w:t>0,2</w:t>
            </w:r>
          </w:p>
        </w:tc>
      </w:tr>
      <w:tr w:rsidR="005B5D40" w:rsidRPr="00F97D0F" w:rsidTr="005B5D40">
        <w:trPr>
          <w:trHeight w:val="300"/>
        </w:trPr>
        <w:tc>
          <w:tcPr>
            <w:tcW w:w="2283" w:type="dxa"/>
            <w:shd w:val="clear" w:color="auto" w:fill="auto"/>
            <w:noWrap/>
            <w:vAlign w:val="bottom"/>
            <w:hideMark/>
          </w:tcPr>
          <w:p w:rsidR="005B5D40" w:rsidRPr="00F97D0F" w:rsidRDefault="005B5D40" w:rsidP="005B5D40">
            <w:pPr>
              <w:pStyle w:val="normaltabel"/>
              <w:keepNext/>
            </w:pPr>
            <w:r w:rsidRPr="00F97D0F">
              <w:t xml:space="preserve"> 2,3-dimethylbutaan </w:t>
            </w:r>
          </w:p>
        </w:tc>
        <w:tc>
          <w:tcPr>
            <w:tcW w:w="960" w:type="dxa"/>
            <w:shd w:val="clear" w:color="auto" w:fill="auto"/>
            <w:noWrap/>
            <w:vAlign w:val="bottom"/>
            <w:hideMark/>
          </w:tcPr>
          <w:p w:rsidR="005B5D40" w:rsidRPr="00F97D0F" w:rsidRDefault="005B5D40" w:rsidP="005B5D40">
            <w:pPr>
              <w:pStyle w:val="normaltabel"/>
              <w:keepNext/>
              <w:jc w:val="center"/>
            </w:pPr>
            <w:r w:rsidRPr="00F97D0F">
              <w:t>0,1</w:t>
            </w:r>
          </w:p>
        </w:tc>
        <w:tc>
          <w:tcPr>
            <w:tcW w:w="960" w:type="dxa"/>
            <w:shd w:val="clear" w:color="auto" w:fill="auto"/>
            <w:noWrap/>
            <w:vAlign w:val="bottom"/>
            <w:hideMark/>
          </w:tcPr>
          <w:p w:rsidR="005B5D40" w:rsidRPr="00F97D0F" w:rsidRDefault="005B5D40" w:rsidP="005B5D40">
            <w:pPr>
              <w:pStyle w:val="normaltabel"/>
              <w:keepNext/>
              <w:jc w:val="center"/>
            </w:pPr>
            <w:r w:rsidRPr="00F97D0F">
              <w:t>0,2</w:t>
            </w:r>
          </w:p>
        </w:tc>
        <w:tc>
          <w:tcPr>
            <w:tcW w:w="2333" w:type="dxa"/>
            <w:vAlign w:val="bottom"/>
          </w:tcPr>
          <w:p w:rsidR="005B5D40" w:rsidRPr="00F97D0F" w:rsidRDefault="005B5D40" w:rsidP="005B5D40">
            <w:pPr>
              <w:pStyle w:val="normaltabel"/>
            </w:pPr>
            <w:r w:rsidRPr="00F97D0F">
              <w:t xml:space="preserve"> chloorbenzeen </w:t>
            </w:r>
          </w:p>
        </w:tc>
        <w:tc>
          <w:tcPr>
            <w:tcW w:w="849" w:type="dxa"/>
            <w:vAlign w:val="bottom"/>
          </w:tcPr>
          <w:p w:rsidR="005B5D40" w:rsidRPr="00F97D0F" w:rsidRDefault="005B5D40" w:rsidP="005B5D40">
            <w:pPr>
              <w:pStyle w:val="normaltabel"/>
              <w:jc w:val="center"/>
            </w:pPr>
            <w:r w:rsidRPr="00F97D0F">
              <w:t>0,2</w:t>
            </w:r>
          </w:p>
        </w:tc>
        <w:tc>
          <w:tcPr>
            <w:tcW w:w="698" w:type="dxa"/>
            <w:vAlign w:val="bottom"/>
          </w:tcPr>
          <w:p w:rsidR="005B5D40" w:rsidRPr="00F97D0F" w:rsidRDefault="005B5D40" w:rsidP="005B5D40">
            <w:pPr>
              <w:pStyle w:val="normaltabel"/>
              <w:jc w:val="center"/>
            </w:pPr>
            <w:r w:rsidRPr="00F97D0F">
              <w:t>0,2</w:t>
            </w:r>
          </w:p>
        </w:tc>
      </w:tr>
    </w:tbl>
    <w:p w:rsidR="005B5D40" w:rsidRDefault="005B5D40" w:rsidP="005B5D40">
      <w:pPr>
        <w:pStyle w:val="voetnoottabel"/>
      </w:pPr>
      <w:r>
        <w:t xml:space="preserve">dl </w:t>
      </w:r>
      <w:r w:rsidRPr="00F97D0F">
        <w:t>= detectielimiet = concentratie kleiner dan 0,1 μg/m³</w:t>
      </w:r>
    </w:p>
    <w:p w:rsidR="005B5D40" w:rsidRDefault="005B5D40" w:rsidP="005B5D40">
      <w:pPr>
        <w:pStyle w:val="voetnoottabel"/>
      </w:pPr>
      <w:r>
        <w:t>n.g.: niet gemeten</w:t>
      </w:r>
    </w:p>
    <w:p w:rsidR="005B5D40" w:rsidRDefault="005B5D40" w:rsidP="005B5D40">
      <w:r>
        <w:t>M.b.t. de gerapporteerde waarden worden geen overschrijdingen van wettelijk vastgestelde doelstellingen of WGO- streefwaarden vastgesteld.</w:t>
      </w:r>
    </w:p>
    <w:p w:rsidR="005B5D40" w:rsidRDefault="005B5D40" w:rsidP="005B5D40">
      <w:pPr>
        <w:pStyle w:val="Heading3"/>
        <w:jc w:val="left"/>
      </w:pPr>
      <w:bookmarkStart w:id="815" w:name="_Toc312069281"/>
      <w:r>
        <w:lastRenderedPageBreak/>
        <w:t>Referentiesituatie</w:t>
      </w:r>
      <w:bookmarkEnd w:id="815"/>
    </w:p>
    <w:p w:rsidR="005B5D40" w:rsidRDefault="005B5D40" w:rsidP="005B5D40">
      <w:pPr>
        <w:pStyle w:val="Heading4"/>
        <w:jc w:val="left"/>
      </w:pPr>
      <w:bookmarkStart w:id="816" w:name="_Toc312069282"/>
      <w:r>
        <w:t>Relevante emissiebronnen van het bedrijf</w:t>
      </w:r>
      <w:bookmarkEnd w:id="816"/>
    </w:p>
    <w:p w:rsidR="005B5D40" w:rsidRDefault="005B5D40" w:rsidP="005B5D40">
      <w:pPr>
        <w:pStyle w:val="Heading5"/>
        <w:jc w:val="left"/>
      </w:pPr>
      <w:bookmarkStart w:id="817" w:name="_Toc312069283"/>
      <w:r>
        <w:t>Emissies te wijten aan de op- en overslag van vluchtige organische stoffen</w:t>
      </w:r>
      <w:bookmarkEnd w:id="817"/>
    </w:p>
    <w:p w:rsidR="005B5D40" w:rsidRPr="007D421A" w:rsidRDefault="005B5D40" w:rsidP="005B5D40">
      <w:pPr>
        <w:rPr>
          <w:lang w:val="nl-NL"/>
        </w:rPr>
      </w:pPr>
      <w:r w:rsidRPr="007D421A">
        <w:rPr>
          <w:lang w:val="nl-NL"/>
        </w:rPr>
        <w:t>Bij de berekening van tankparkverliezen ten aanzien van de bestaande situatie wordt uitgegaan van de werkelijk geregistreerde producttransfers met de hieraan gekoppelde opslagtanks. Dit moet toelaten een realistische inschatting van de huidige VOS emissies</w:t>
      </w:r>
      <w:r>
        <w:rPr>
          <w:lang w:val="nl-NL"/>
        </w:rPr>
        <w:t xml:space="preserve"> te maken</w:t>
      </w:r>
      <w:r w:rsidRPr="007D421A">
        <w:rPr>
          <w:lang w:val="nl-NL"/>
        </w:rPr>
        <w:t xml:space="preserve">, en hun impact op de luchtkwaliteit te evalueren. </w:t>
      </w:r>
      <w:r>
        <w:rPr>
          <w:lang w:val="nl-NL"/>
        </w:rPr>
        <w:tab/>
      </w:r>
    </w:p>
    <w:p w:rsidR="005B5D40" w:rsidRDefault="005B5D40" w:rsidP="005B5D40">
      <w:pPr>
        <w:rPr>
          <w:lang w:val="nl-NL"/>
        </w:rPr>
      </w:pPr>
      <w:r w:rsidRPr="007D421A">
        <w:rPr>
          <w:lang w:val="nl-NL"/>
        </w:rPr>
        <w:t xml:space="preserve">Rekening houdend met de aard van de opgeslagen producten, de specifieke tanks waarin deze terechtkomen, de gemiddelde verblijftijd, de wijze van aan- en afvoer,..., </w:t>
      </w:r>
      <w:r>
        <w:rPr>
          <w:lang w:val="nl-NL"/>
        </w:rPr>
        <w:t>zijn</w:t>
      </w:r>
      <w:r w:rsidRPr="007D421A">
        <w:rPr>
          <w:lang w:val="nl-NL"/>
        </w:rPr>
        <w:t xml:space="preserve"> de huidige VOS emissie</w:t>
      </w:r>
      <w:r>
        <w:rPr>
          <w:lang w:val="nl-NL"/>
        </w:rPr>
        <w:t>s</w:t>
      </w:r>
      <w:r w:rsidRPr="007D421A">
        <w:rPr>
          <w:lang w:val="nl-NL"/>
        </w:rPr>
        <w:t xml:space="preserve"> berekend</w:t>
      </w:r>
      <w:r>
        <w:rPr>
          <w:lang w:val="nl-NL"/>
        </w:rPr>
        <w:t>.</w:t>
      </w:r>
    </w:p>
    <w:p w:rsidR="005B5D40" w:rsidRDefault="005B5D40" w:rsidP="005B5D40">
      <w:pPr>
        <w:rPr>
          <w:lang w:val="nl-NL"/>
        </w:rPr>
      </w:pPr>
      <w:r w:rsidRPr="007D421A">
        <w:rPr>
          <w:lang w:val="nl-NL"/>
        </w:rPr>
        <w:t>De hierbij bekomen VOS emissieswaarde</w:t>
      </w:r>
      <w:r>
        <w:rPr>
          <w:lang w:val="nl-NL"/>
        </w:rPr>
        <w:t>n</w:t>
      </w:r>
      <w:r w:rsidRPr="007D421A">
        <w:rPr>
          <w:lang w:val="nl-NL"/>
        </w:rPr>
        <w:t xml:space="preserve"> dienen wel als grootte-orde aanzien te worden omwille van het gebruik van kengetallen (TNO-kengetallen) waarop een relatief grote onzekerheidsmarge zit. Dit heeft uiteraard ook repercussies op de hieruit af te leiden impact op de luchtkwaliteit. </w:t>
      </w:r>
      <w:r>
        <w:rPr>
          <w:lang w:val="nl-NL"/>
        </w:rPr>
        <w:tab/>
      </w:r>
      <w:r>
        <w:rPr>
          <w:lang w:val="nl-NL"/>
        </w:rPr>
        <w:br/>
      </w:r>
    </w:p>
    <w:p w:rsidR="005B5D40" w:rsidRPr="0084474F" w:rsidRDefault="005B5D40" w:rsidP="005B5D40">
      <w:pPr>
        <w:pStyle w:val="tabel0"/>
        <w:rPr>
          <w:lang w:val="nl-BE"/>
        </w:rPr>
      </w:pPr>
      <w:r w:rsidRPr="0084474F">
        <w:rPr>
          <w:lang w:val="nl-BE"/>
        </w:rPr>
        <w:t>Tabel</w:t>
      </w:r>
      <w:r w:rsidR="009C1E15">
        <w:t xml:space="preserve"> </w:t>
      </w:r>
      <w:r w:rsidR="00C325A0">
        <w:fldChar w:fldCharType="begin"/>
      </w:r>
      <w:r w:rsidR="009C1E15">
        <w:instrText xml:space="preserve"> REF t_lucht_VOS_referentie \h </w:instrText>
      </w:r>
      <w:r w:rsidR="00C325A0">
        <w:fldChar w:fldCharType="separate"/>
      </w:r>
      <w:r w:rsidR="008102D8">
        <w:t>VIII.2.10</w:t>
      </w:r>
      <w:r w:rsidR="00C325A0">
        <w:fldChar w:fldCharType="end"/>
      </w:r>
      <w:r w:rsidR="009C1E15">
        <w:t>:</w:t>
      </w:r>
      <w:r w:rsidRPr="0084474F">
        <w:rPr>
          <w:lang w:val="nl-BE"/>
        </w:rPr>
        <w:tab/>
        <w:t>VOS-emissies referentiesituatie</w:t>
      </w:r>
    </w:p>
    <w:tbl>
      <w:tblPr>
        <w:tblW w:w="738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56"/>
        <w:gridCol w:w="1318"/>
        <w:gridCol w:w="837"/>
        <w:gridCol w:w="837"/>
        <w:gridCol w:w="838"/>
      </w:tblGrid>
      <w:tr w:rsidR="005B5D40" w:rsidRPr="00701710" w:rsidTr="005B5D40">
        <w:trPr>
          <w:trHeight w:val="225"/>
        </w:trPr>
        <w:tc>
          <w:tcPr>
            <w:tcW w:w="3556" w:type="dxa"/>
            <w:shd w:val="clear" w:color="auto" w:fill="CCCCCC"/>
            <w:noWrap/>
            <w:vAlign w:val="center"/>
          </w:tcPr>
          <w:p w:rsidR="005B5D40" w:rsidRPr="00701710" w:rsidRDefault="005B5D40" w:rsidP="005B5D40">
            <w:pPr>
              <w:pStyle w:val="normaltabel"/>
            </w:pPr>
            <w:r w:rsidRPr="00701710">
              <w:t> </w:t>
            </w:r>
          </w:p>
        </w:tc>
        <w:tc>
          <w:tcPr>
            <w:tcW w:w="1318" w:type="dxa"/>
            <w:shd w:val="clear" w:color="auto" w:fill="CCCCCC"/>
            <w:noWrap/>
            <w:vAlign w:val="center"/>
          </w:tcPr>
          <w:p w:rsidR="005B5D40" w:rsidRPr="00701710" w:rsidRDefault="005B5D40" w:rsidP="005B5D40">
            <w:pPr>
              <w:pStyle w:val="normaltabel"/>
            </w:pPr>
            <w:r w:rsidRPr="00701710">
              <w:t> </w:t>
            </w:r>
          </w:p>
        </w:tc>
        <w:tc>
          <w:tcPr>
            <w:tcW w:w="837" w:type="dxa"/>
            <w:shd w:val="clear" w:color="auto" w:fill="CCCCCC"/>
            <w:noWrap/>
            <w:vAlign w:val="center"/>
          </w:tcPr>
          <w:p w:rsidR="005B5D40" w:rsidRPr="00701710" w:rsidRDefault="005B5D40" w:rsidP="005B5D40">
            <w:pPr>
              <w:pStyle w:val="normaltabel"/>
              <w:jc w:val="center"/>
              <w:rPr>
                <w:i/>
              </w:rPr>
            </w:pPr>
            <w:r w:rsidRPr="00701710">
              <w:rPr>
                <w:i/>
              </w:rPr>
              <w:t>2008</w:t>
            </w:r>
          </w:p>
        </w:tc>
        <w:tc>
          <w:tcPr>
            <w:tcW w:w="837" w:type="dxa"/>
            <w:shd w:val="clear" w:color="auto" w:fill="CCCCCC"/>
            <w:noWrap/>
            <w:vAlign w:val="center"/>
          </w:tcPr>
          <w:p w:rsidR="005B5D40" w:rsidRPr="00701710" w:rsidRDefault="005B5D40" w:rsidP="005B5D40">
            <w:pPr>
              <w:pStyle w:val="normaltabel"/>
              <w:jc w:val="center"/>
              <w:rPr>
                <w:i/>
              </w:rPr>
            </w:pPr>
            <w:r w:rsidRPr="00701710">
              <w:rPr>
                <w:i/>
              </w:rPr>
              <w:t>2009</w:t>
            </w:r>
          </w:p>
        </w:tc>
        <w:tc>
          <w:tcPr>
            <w:tcW w:w="838" w:type="dxa"/>
            <w:shd w:val="clear" w:color="auto" w:fill="CCCCCC"/>
            <w:noWrap/>
            <w:vAlign w:val="center"/>
          </w:tcPr>
          <w:p w:rsidR="005B5D40" w:rsidRPr="00701710" w:rsidRDefault="005B5D40" w:rsidP="005B5D40">
            <w:pPr>
              <w:pStyle w:val="normaltabel"/>
              <w:jc w:val="center"/>
              <w:rPr>
                <w:i/>
              </w:rPr>
            </w:pPr>
            <w:r w:rsidRPr="00701710">
              <w:rPr>
                <w:i/>
              </w:rPr>
              <w:t>2010</w:t>
            </w:r>
          </w:p>
        </w:tc>
      </w:tr>
      <w:tr w:rsidR="005B5D40" w:rsidRPr="00701710" w:rsidTr="005B5D40">
        <w:trPr>
          <w:trHeight w:val="225"/>
        </w:trPr>
        <w:tc>
          <w:tcPr>
            <w:tcW w:w="3556" w:type="dxa"/>
            <w:shd w:val="clear" w:color="auto" w:fill="auto"/>
            <w:noWrap/>
            <w:vAlign w:val="center"/>
          </w:tcPr>
          <w:p w:rsidR="005B5D40" w:rsidRPr="00701710" w:rsidRDefault="005B5D40" w:rsidP="005B5D40">
            <w:pPr>
              <w:pStyle w:val="normaltabel"/>
            </w:pPr>
            <w:r>
              <w:t>terminalcapaciteit</w:t>
            </w:r>
          </w:p>
        </w:tc>
        <w:tc>
          <w:tcPr>
            <w:tcW w:w="1318" w:type="dxa"/>
            <w:shd w:val="clear" w:color="auto" w:fill="auto"/>
            <w:noWrap/>
            <w:vAlign w:val="center"/>
          </w:tcPr>
          <w:p w:rsidR="005B5D40" w:rsidRPr="00701710" w:rsidRDefault="005B5D40" w:rsidP="005B5D40">
            <w:pPr>
              <w:pStyle w:val="normaltabel"/>
            </w:pPr>
            <w:r>
              <w:t>ton</w:t>
            </w:r>
          </w:p>
        </w:tc>
        <w:tc>
          <w:tcPr>
            <w:tcW w:w="2512" w:type="dxa"/>
            <w:gridSpan w:val="3"/>
            <w:shd w:val="clear" w:color="auto" w:fill="auto"/>
            <w:noWrap/>
            <w:vAlign w:val="center"/>
          </w:tcPr>
          <w:p w:rsidR="005B5D40" w:rsidRPr="00701710" w:rsidRDefault="005B5D40" w:rsidP="005B5D40">
            <w:pPr>
              <w:pStyle w:val="normaltabel"/>
              <w:jc w:val="center"/>
            </w:pPr>
            <w:r>
              <w:t>477</w:t>
            </w:r>
            <w:r w:rsidR="00E52369">
              <w:t>.</w:t>
            </w:r>
            <w:r>
              <w:t>855</w:t>
            </w:r>
          </w:p>
        </w:tc>
      </w:tr>
      <w:tr w:rsidR="005B5D40" w:rsidRPr="00701710" w:rsidTr="005B5D40">
        <w:trPr>
          <w:trHeight w:val="225"/>
        </w:trPr>
        <w:tc>
          <w:tcPr>
            <w:tcW w:w="3556" w:type="dxa"/>
            <w:shd w:val="clear" w:color="auto" w:fill="auto"/>
            <w:noWrap/>
            <w:vAlign w:val="center"/>
          </w:tcPr>
          <w:p w:rsidR="005B5D40" w:rsidRPr="00701710" w:rsidRDefault="005B5D40" w:rsidP="005B5D40">
            <w:pPr>
              <w:pStyle w:val="normaltabel"/>
            </w:pPr>
            <w:r>
              <w:t>doorzet vluchtige organische stoffen (in + uit)</w:t>
            </w:r>
          </w:p>
        </w:tc>
        <w:tc>
          <w:tcPr>
            <w:tcW w:w="1318" w:type="dxa"/>
            <w:shd w:val="clear" w:color="auto" w:fill="auto"/>
            <w:noWrap/>
            <w:vAlign w:val="center"/>
          </w:tcPr>
          <w:p w:rsidR="005B5D40" w:rsidRPr="00701710" w:rsidRDefault="005B5D40" w:rsidP="005B5D40">
            <w:pPr>
              <w:pStyle w:val="normaltabel"/>
            </w:pPr>
            <w:r>
              <w:t>ton/jaar</w:t>
            </w:r>
          </w:p>
        </w:tc>
        <w:tc>
          <w:tcPr>
            <w:tcW w:w="837" w:type="dxa"/>
            <w:shd w:val="clear" w:color="auto" w:fill="auto"/>
            <w:noWrap/>
            <w:vAlign w:val="center"/>
          </w:tcPr>
          <w:p w:rsidR="005B5D40" w:rsidRPr="00701710" w:rsidRDefault="005B5D40" w:rsidP="005B5D40">
            <w:pPr>
              <w:pStyle w:val="normaltabel"/>
              <w:jc w:val="center"/>
            </w:pPr>
            <w:r>
              <w:t>495</w:t>
            </w:r>
            <w:r w:rsidR="00E52369">
              <w:t>.</w:t>
            </w:r>
            <w:r>
              <w:t>424</w:t>
            </w:r>
          </w:p>
        </w:tc>
        <w:tc>
          <w:tcPr>
            <w:tcW w:w="837" w:type="dxa"/>
            <w:shd w:val="clear" w:color="auto" w:fill="auto"/>
            <w:noWrap/>
            <w:vAlign w:val="center"/>
          </w:tcPr>
          <w:p w:rsidR="005B5D40" w:rsidRPr="00701710" w:rsidRDefault="005B5D40" w:rsidP="005B5D40">
            <w:pPr>
              <w:pStyle w:val="normaltabel"/>
              <w:jc w:val="center"/>
            </w:pPr>
            <w:r>
              <w:t>519</w:t>
            </w:r>
            <w:r w:rsidR="00E52369">
              <w:t>.</w:t>
            </w:r>
            <w:r>
              <w:t>953</w:t>
            </w:r>
          </w:p>
        </w:tc>
        <w:tc>
          <w:tcPr>
            <w:tcW w:w="838" w:type="dxa"/>
            <w:shd w:val="clear" w:color="auto" w:fill="auto"/>
            <w:noWrap/>
            <w:vAlign w:val="center"/>
          </w:tcPr>
          <w:p w:rsidR="005B5D40" w:rsidRPr="00701710" w:rsidRDefault="005B5D40" w:rsidP="005B5D40">
            <w:pPr>
              <w:pStyle w:val="normaltabel"/>
              <w:jc w:val="center"/>
            </w:pPr>
            <w:r>
              <w:t>656</w:t>
            </w:r>
            <w:r w:rsidR="00E52369">
              <w:t>.</w:t>
            </w:r>
            <w:r>
              <w:t>443</w:t>
            </w:r>
          </w:p>
        </w:tc>
      </w:tr>
      <w:tr w:rsidR="005B5D40" w:rsidRPr="00701710" w:rsidTr="005B5D40">
        <w:trPr>
          <w:trHeight w:val="225"/>
        </w:trPr>
        <w:tc>
          <w:tcPr>
            <w:tcW w:w="3556" w:type="dxa"/>
            <w:shd w:val="clear" w:color="auto" w:fill="auto"/>
            <w:noWrap/>
            <w:vAlign w:val="center"/>
          </w:tcPr>
          <w:p w:rsidR="005B5D40" w:rsidRPr="00701710" w:rsidRDefault="005B5D40" w:rsidP="005B5D40">
            <w:pPr>
              <w:pStyle w:val="normaltabel"/>
            </w:pPr>
            <w:r w:rsidRPr="00701710">
              <w:t>adem- en uitdampingsverliezen</w:t>
            </w:r>
          </w:p>
        </w:tc>
        <w:tc>
          <w:tcPr>
            <w:tcW w:w="1318" w:type="dxa"/>
            <w:shd w:val="clear" w:color="auto" w:fill="auto"/>
            <w:noWrap/>
            <w:vAlign w:val="center"/>
          </w:tcPr>
          <w:p w:rsidR="005B5D40" w:rsidRPr="00701710" w:rsidRDefault="005B5D40" w:rsidP="005B5D40">
            <w:pPr>
              <w:pStyle w:val="normaltabel"/>
            </w:pPr>
            <w:r w:rsidRPr="00701710">
              <w:t>ton/jaar</w:t>
            </w:r>
          </w:p>
        </w:tc>
        <w:tc>
          <w:tcPr>
            <w:tcW w:w="837" w:type="dxa"/>
            <w:shd w:val="clear" w:color="auto" w:fill="auto"/>
            <w:noWrap/>
            <w:vAlign w:val="center"/>
          </w:tcPr>
          <w:p w:rsidR="005B5D40" w:rsidRPr="00701710" w:rsidRDefault="005B5D40" w:rsidP="005B5D40">
            <w:pPr>
              <w:pStyle w:val="normaltabel"/>
              <w:jc w:val="center"/>
            </w:pPr>
            <w:r w:rsidRPr="00701710">
              <w:t>15,8</w:t>
            </w:r>
          </w:p>
        </w:tc>
        <w:tc>
          <w:tcPr>
            <w:tcW w:w="837" w:type="dxa"/>
            <w:shd w:val="clear" w:color="auto" w:fill="auto"/>
            <w:noWrap/>
            <w:vAlign w:val="center"/>
          </w:tcPr>
          <w:p w:rsidR="005B5D40" w:rsidRPr="00701710" w:rsidRDefault="005B5D40" w:rsidP="005B5D40">
            <w:pPr>
              <w:pStyle w:val="normaltabel"/>
              <w:jc w:val="center"/>
            </w:pPr>
            <w:r w:rsidRPr="00701710">
              <w:t>15,8</w:t>
            </w:r>
          </w:p>
        </w:tc>
        <w:tc>
          <w:tcPr>
            <w:tcW w:w="838" w:type="dxa"/>
            <w:shd w:val="clear" w:color="auto" w:fill="auto"/>
            <w:noWrap/>
            <w:vAlign w:val="center"/>
          </w:tcPr>
          <w:p w:rsidR="005B5D40" w:rsidRPr="00701710" w:rsidRDefault="005B5D40" w:rsidP="005B5D40">
            <w:pPr>
              <w:pStyle w:val="normaltabel"/>
              <w:jc w:val="center"/>
            </w:pPr>
            <w:r w:rsidRPr="00701710">
              <w:t>16</w:t>
            </w:r>
          </w:p>
        </w:tc>
      </w:tr>
      <w:tr w:rsidR="005B5D40" w:rsidRPr="00701710" w:rsidTr="005B5D40">
        <w:trPr>
          <w:trHeight w:val="225"/>
        </w:trPr>
        <w:tc>
          <w:tcPr>
            <w:tcW w:w="3556" w:type="dxa"/>
            <w:shd w:val="clear" w:color="auto" w:fill="auto"/>
            <w:noWrap/>
            <w:vAlign w:val="center"/>
          </w:tcPr>
          <w:p w:rsidR="005B5D40" w:rsidRPr="00701710" w:rsidRDefault="005B5D40" w:rsidP="005B5D40">
            <w:pPr>
              <w:pStyle w:val="normaltabel"/>
            </w:pPr>
            <w:r w:rsidRPr="00701710">
              <w:t>verdrijvings- en uitpompingsverliezen</w:t>
            </w:r>
          </w:p>
        </w:tc>
        <w:tc>
          <w:tcPr>
            <w:tcW w:w="1318" w:type="dxa"/>
            <w:shd w:val="clear" w:color="auto" w:fill="auto"/>
            <w:noWrap/>
            <w:vAlign w:val="center"/>
          </w:tcPr>
          <w:p w:rsidR="005B5D40" w:rsidRPr="00701710" w:rsidRDefault="005B5D40" w:rsidP="005B5D40">
            <w:pPr>
              <w:pStyle w:val="normaltabel"/>
            </w:pPr>
            <w:r w:rsidRPr="00701710">
              <w:t>ton/jaar</w:t>
            </w:r>
          </w:p>
        </w:tc>
        <w:tc>
          <w:tcPr>
            <w:tcW w:w="837" w:type="dxa"/>
            <w:shd w:val="clear" w:color="auto" w:fill="auto"/>
            <w:noWrap/>
            <w:vAlign w:val="center"/>
          </w:tcPr>
          <w:p w:rsidR="005B5D40" w:rsidRPr="00701710" w:rsidRDefault="005B5D40" w:rsidP="005B5D40">
            <w:pPr>
              <w:pStyle w:val="normaltabel"/>
              <w:jc w:val="center"/>
            </w:pPr>
            <w:r w:rsidRPr="00701710">
              <w:t>21,4</w:t>
            </w:r>
          </w:p>
        </w:tc>
        <w:tc>
          <w:tcPr>
            <w:tcW w:w="837" w:type="dxa"/>
            <w:shd w:val="clear" w:color="auto" w:fill="auto"/>
            <w:noWrap/>
            <w:vAlign w:val="center"/>
          </w:tcPr>
          <w:p w:rsidR="005B5D40" w:rsidRPr="00701710" w:rsidRDefault="00B650E9" w:rsidP="005B5D40">
            <w:pPr>
              <w:pStyle w:val="normaltabel"/>
              <w:jc w:val="center"/>
            </w:pPr>
            <w:r w:rsidRPr="00744234">
              <w:t>12,2</w:t>
            </w:r>
          </w:p>
        </w:tc>
        <w:tc>
          <w:tcPr>
            <w:tcW w:w="838" w:type="dxa"/>
            <w:shd w:val="clear" w:color="auto" w:fill="auto"/>
            <w:noWrap/>
            <w:vAlign w:val="center"/>
          </w:tcPr>
          <w:p w:rsidR="005B5D40" w:rsidRPr="00701710" w:rsidRDefault="005B5D40" w:rsidP="005B5D40">
            <w:pPr>
              <w:pStyle w:val="normaltabel"/>
              <w:jc w:val="center"/>
            </w:pPr>
            <w:r w:rsidRPr="00701710">
              <w:t>25</w:t>
            </w:r>
          </w:p>
        </w:tc>
      </w:tr>
      <w:tr w:rsidR="005B5D40" w:rsidRPr="00701710" w:rsidTr="005B5D40">
        <w:trPr>
          <w:trHeight w:val="225"/>
        </w:trPr>
        <w:tc>
          <w:tcPr>
            <w:tcW w:w="3556" w:type="dxa"/>
            <w:shd w:val="clear" w:color="auto" w:fill="auto"/>
            <w:noWrap/>
            <w:vAlign w:val="center"/>
          </w:tcPr>
          <w:p w:rsidR="005B5D40" w:rsidRPr="00701710" w:rsidRDefault="005B5D40" w:rsidP="005B5D40">
            <w:pPr>
              <w:pStyle w:val="normaltabel"/>
            </w:pPr>
            <w:r w:rsidRPr="00701710">
              <w:t>beladingsverliezen</w:t>
            </w:r>
          </w:p>
        </w:tc>
        <w:tc>
          <w:tcPr>
            <w:tcW w:w="1318" w:type="dxa"/>
            <w:shd w:val="clear" w:color="auto" w:fill="auto"/>
            <w:noWrap/>
            <w:vAlign w:val="center"/>
          </w:tcPr>
          <w:p w:rsidR="005B5D40" w:rsidRPr="00701710" w:rsidRDefault="005B5D40" w:rsidP="005B5D40">
            <w:pPr>
              <w:pStyle w:val="normaltabel"/>
            </w:pPr>
            <w:r w:rsidRPr="00701710">
              <w:t>ton/jaar</w:t>
            </w:r>
          </w:p>
        </w:tc>
        <w:tc>
          <w:tcPr>
            <w:tcW w:w="837" w:type="dxa"/>
            <w:shd w:val="clear" w:color="auto" w:fill="auto"/>
            <w:noWrap/>
            <w:vAlign w:val="center"/>
          </w:tcPr>
          <w:p w:rsidR="005B5D40" w:rsidRPr="00701710" w:rsidRDefault="005B5D40" w:rsidP="005B5D40">
            <w:pPr>
              <w:pStyle w:val="normaltabel"/>
              <w:jc w:val="center"/>
            </w:pPr>
            <w:r w:rsidRPr="00701710">
              <w:t>14,5</w:t>
            </w:r>
          </w:p>
        </w:tc>
        <w:tc>
          <w:tcPr>
            <w:tcW w:w="837" w:type="dxa"/>
            <w:shd w:val="clear" w:color="auto" w:fill="auto"/>
            <w:noWrap/>
            <w:vAlign w:val="center"/>
          </w:tcPr>
          <w:p w:rsidR="005B5D40" w:rsidRPr="00701710" w:rsidRDefault="005B5D40" w:rsidP="005B5D40">
            <w:pPr>
              <w:pStyle w:val="normaltabel"/>
              <w:jc w:val="center"/>
            </w:pPr>
            <w:r w:rsidRPr="00701710">
              <w:t>11,4</w:t>
            </w:r>
          </w:p>
        </w:tc>
        <w:tc>
          <w:tcPr>
            <w:tcW w:w="838" w:type="dxa"/>
            <w:shd w:val="clear" w:color="auto" w:fill="auto"/>
            <w:noWrap/>
            <w:vAlign w:val="center"/>
          </w:tcPr>
          <w:p w:rsidR="005B5D40" w:rsidRPr="00701710" w:rsidRDefault="005B5D40" w:rsidP="005B5D40">
            <w:pPr>
              <w:pStyle w:val="normaltabel"/>
              <w:jc w:val="center"/>
            </w:pPr>
            <w:r w:rsidRPr="00701710">
              <w:t>15</w:t>
            </w:r>
          </w:p>
        </w:tc>
      </w:tr>
      <w:tr w:rsidR="005B5D40" w:rsidRPr="00701710" w:rsidTr="005B5D40">
        <w:trPr>
          <w:trHeight w:val="225"/>
        </w:trPr>
        <w:tc>
          <w:tcPr>
            <w:tcW w:w="3556" w:type="dxa"/>
            <w:shd w:val="clear" w:color="auto" w:fill="auto"/>
            <w:noWrap/>
            <w:vAlign w:val="center"/>
          </w:tcPr>
          <w:p w:rsidR="005B5D40" w:rsidRPr="00701710" w:rsidRDefault="005B5D40" w:rsidP="005B5D40">
            <w:pPr>
              <w:pStyle w:val="normaltabel"/>
            </w:pPr>
            <w:r w:rsidRPr="00701710">
              <w:t>Totaal</w:t>
            </w:r>
            <w:r>
              <w:t>, exclusief lekemissies</w:t>
            </w:r>
          </w:p>
        </w:tc>
        <w:tc>
          <w:tcPr>
            <w:tcW w:w="1318" w:type="dxa"/>
            <w:shd w:val="clear" w:color="auto" w:fill="auto"/>
            <w:noWrap/>
            <w:vAlign w:val="center"/>
          </w:tcPr>
          <w:p w:rsidR="005B5D40" w:rsidRPr="00701710" w:rsidRDefault="005B5D40" w:rsidP="005B5D40">
            <w:pPr>
              <w:pStyle w:val="normaltabel"/>
            </w:pPr>
            <w:r w:rsidRPr="00701710">
              <w:t>ton/jaar</w:t>
            </w:r>
          </w:p>
        </w:tc>
        <w:tc>
          <w:tcPr>
            <w:tcW w:w="837" w:type="dxa"/>
            <w:shd w:val="clear" w:color="auto" w:fill="auto"/>
            <w:noWrap/>
            <w:vAlign w:val="center"/>
          </w:tcPr>
          <w:p w:rsidR="005B5D40" w:rsidRPr="00701710" w:rsidRDefault="005B5D40" w:rsidP="005B5D40">
            <w:pPr>
              <w:pStyle w:val="normaltabel"/>
              <w:jc w:val="center"/>
            </w:pPr>
            <w:r w:rsidRPr="00701710">
              <w:t>51,7</w:t>
            </w:r>
          </w:p>
        </w:tc>
        <w:tc>
          <w:tcPr>
            <w:tcW w:w="837" w:type="dxa"/>
            <w:shd w:val="clear" w:color="auto" w:fill="auto"/>
            <w:noWrap/>
            <w:vAlign w:val="center"/>
          </w:tcPr>
          <w:p w:rsidR="005B5D40" w:rsidRPr="00701710" w:rsidRDefault="005B5D40" w:rsidP="005B5D40">
            <w:pPr>
              <w:pStyle w:val="normaltabel"/>
              <w:jc w:val="center"/>
            </w:pPr>
            <w:r w:rsidRPr="00701710">
              <w:t>39,4</w:t>
            </w:r>
          </w:p>
        </w:tc>
        <w:tc>
          <w:tcPr>
            <w:tcW w:w="838" w:type="dxa"/>
            <w:shd w:val="clear" w:color="auto" w:fill="auto"/>
            <w:noWrap/>
            <w:vAlign w:val="center"/>
          </w:tcPr>
          <w:p w:rsidR="005B5D40" w:rsidRPr="00701710" w:rsidRDefault="005B5D40" w:rsidP="005B5D40">
            <w:pPr>
              <w:pStyle w:val="normaltabel"/>
              <w:jc w:val="center"/>
            </w:pPr>
            <w:r w:rsidRPr="00701710">
              <w:t>56</w:t>
            </w:r>
          </w:p>
        </w:tc>
      </w:tr>
    </w:tbl>
    <w:p w:rsidR="00744234" w:rsidRPr="005A79A3" w:rsidRDefault="00744234" w:rsidP="005B5D40">
      <w:pPr>
        <w:rPr>
          <w:b/>
          <w:lang w:val="nl-NL"/>
        </w:rPr>
      </w:pPr>
      <w:r>
        <w:rPr>
          <w:lang w:val="nl-NL"/>
        </w:rPr>
        <w:t>In 2009 worden aanzienlijk lagere werkingsverliezen berekend dan in de andere jaren. De ladingsverliezen worden in zeer grote mate bepaald door de verhandeling van het product hexeen (&gt;90%). In 2009 werd echter quasi  50%  minder afgevoerd dan in 2008, en zelfs 80% minder aangevoerd. Dit verklaart de aanzienlijke lagere waarde voor 2009.</w:t>
      </w:r>
    </w:p>
    <w:p w:rsidR="005B5D40" w:rsidRDefault="005B5D40" w:rsidP="005B5D40">
      <w:pPr>
        <w:rPr>
          <w:lang w:val="nl-NL"/>
        </w:rPr>
      </w:pPr>
      <w:r>
        <w:rPr>
          <w:lang w:val="nl-NL"/>
        </w:rPr>
        <w:t xml:space="preserve">In de periode 2008 – 2010 werden de VOS-emissies (excl. lekemissies) voor 70 à 85% bepaald door de op- en overslag van hexeen en isopreen. Het is nl. zo dat in deze periode de emissies van deze stoffen –welke een dampspanning hebben van meer 13.3 kPa bij 35 °C – </w:t>
      </w:r>
      <w:r w:rsidR="00ED059E">
        <w:rPr>
          <w:lang w:val="nl-NL"/>
        </w:rPr>
        <w:t xml:space="preserve">slechts beperkt </w:t>
      </w:r>
      <w:r>
        <w:rPr>
          <w:lang w:val="nl-NL"/>
        </w:rPr>
        <w:t>werden behandeld</w:t>
      </w:r>
      <w:r w:rsidR="00ED059E">
        <w:rPr>
          <w:lang w:val="nl-NL"/>
        </w:rPr>
        <w:t xml:space="preserve"> (enkel verladingsemissies</w:t>
      </w:r>
      <w:r w:rsidR="00ED059E">
        <w:rPr>
          <w:rStyle w:val="FootnoteReference"/>
          <w:lang w:val="nl-NL"/>
        </w:rPr>
        <w:footnoteReference w:id="53"/>
      </w:r>
      <w:r w:rsidR="00ED059E">
        <w:rPr>
          <w:lang w:val="nl-NL"/>
        </w:rPr>
        <w:t xml:space="preserve">). Vanaf medio 2011 zullen ook de adememissies via de DVI worden geleid. </w:t>
      </w:r>
    </w:p>
    <w:p w:rsidR="005B5D40" w:rsidRDefault="005B5D40" w:rsidP="005B5D40">
      <w:pPr>
        <w:rPr>
          <w:rFonts w:cs="Arial"/>
        </w:rPr>
      </w:pPr>
      <w:r>
        <w:rPr>
          <w:rFonts w:cs="Arial"/>
        </w:rPr>
        <w:t>Wat betreft (zeer) giftige, carcinogene, mutagene en terratogene VOS, welke ook bij de evaluatie van de toekomstige situatie meer in detail zullen beoordeeld worden (zie verder), werd geen van de betrokken stoffen in de periode 2008 – 2010 opgeslagen.</w:t>
      </w:r>
    </w:p>
    <w:p w:rsidR="00F077DA" w:rsidRDefault="005B5D40" w:rsidP="00F077DA">
      <w:pPr>
        <w:keepNext/>
        <w:tabs>
          <w:tab w:val="left" w:pos="851"/>
        </w:tabs>
        <w:spacing w:before="0"/>
        <w:rPr>
          <w:rFonts w:cs="Arial"/>
        </w:rPr>
      </w:pPr>
      <w:r w:rsidRPr="00DB38DD">
        <w:rPr>
          <w:rFonts w:cs="Arial"/>
        </w:rPr>
        <w:lastRenderedPageBreak/>
        <w:t>Aangaande de emissies van organische zuren kan melding gemaakt worden van volgende emissies in de referentiesituatie:</w:t>
      </w:r>
      <w:r w:rsidR="001F2A97">
        <w:rPr>
          <w:rFonts w:cs="Arial"/>
        </w:rPr>
        <w:t xml:space="preserve">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9"/>
        <w:gridCol w:w="1011"/>
        <w:gridCol w:w="1011"/>
        <w:gridCol w:w="1010"/>
        <w:gridCol w:w="1010"/>
      </w:tblGrid>
      <w:tr w:rsidR="005B5D40" w:rsidRPr="00F57472" w:rsidTr="005B5D40">
        <w:trPr>
          <w:trHeight w:val="218"/>
        </w:trPr>
        <w:tc>
          <w:tcPr>
            <w:tcW w:w="2239" w:type="dxa"/>
          </w:tcPr>
          <w:p w:rsidR="00F077DA" w:rsidRDefault="00F077DA" w:rsidP="00F077DA">
            <w:pPr>
              <w:pStyle w:val="normaltabel"/>
              <w:keepNext/>
              <w:widowControl/>
            </w:pPr>
          </w:p>
        </w:tc>
        <w:tc>
          <w:tcPr>
            <w:tcW w:w="1011" w:type="dxa"/>
          </w:tcPr>
          <w:p w:rsidR="00F077DA" w:rsidRDefault="00F077DA" w:rsidP="00F077DA">
            <w:pPr>
              <w:pStyle w:val="normaltabel"/>
              <w:keepNext/>
              <w:widowControl/>
            </w:pPr>
          </w:p>
        </w:tc>
        <w:tc>
          <w:tcPr>
            <w:tcW w:w="1011" w:type="dxa"/>
          </w:tcPr>
          <w:p w:rsidR="00F077DA" w:rsidRDefault="005B5D40" w:rsidP="00F077DA">
            <w:pPr>
              <w:pStyle w:val="normaltabel"/>
              <w:keepNext/>
              <w:widowControl/>
              <w:jc w:val="center"/>
            </w:pPr>
            <w:r w:rsidRPr="00F57472">
              <w:t>200</w:t>
            </w:r>
            <w:r>
              <w:t>8</w:t>
            </w:r>
          </w:p>
        </w:tc>
        <w:tc>
          <w:tcPr>
            <w:tcW w:w="1010" w:type="dxa"/>
          </w:tcPr>
          <w:p w:rsidR="00F077DA" w:rsidRDefault="005B5D40" w:rsidP="00F077DA">
            <w:pPr>
              <w:pStyle w:val="normaltabel"/>
              <w:keepNext/>
              <w:widowControl/>
              <w:jc w:val="center"/>
            </w:pPr>
            <w:r w:rsidRPr="00F57472">
              <w:t>200</w:t>
            </w:r>
            <w:r>
              <w:t>9</w:t>
            </w:r>
          </w:p>
        </w:tc>
        <w:tc>
          <w:tcPr>
            <w:tcW w:w="1010" w:type="dxa"/>
          </w:tcPr>
          <w:p w:rsidR="00F077DA" w:rsidRDefault="005B5D40" w:rsidP="00F077DA">
            <w:pPr>
              <w:pStyle w:val="normaltabel"/>
              <w:keepNext/>
              <w:widowControl/>
              <w:jc w:val="center"/>
            </w:pPr>
            <w:r w:rsidRPr="00F57472">
              <w:t>20</w:t>
            </w:r>
            <w:r>
              <w:t>10</w:t>
            </w:r>
          </w:p>
        </w:tc>
      </w:tr>
      <w:tr w:rsidR="001F2A97" w:rsidRPr="00F57472" w:rsidTr="00664D55">
        <w:trPr>
          <w:trHeight w:val="218"/>
        </w:trPr>
        <w:tc>
          <w:tcPr>
            <w:tcW w:w="2239" w:type="dxa"/>
            <w:vAlign w:val="center"/>
          </w:tcPr>
          <w:p w:rsidR="00F077DA" w:rsidRDefault="0078070A" w:rsidP="00F077DA">
            <w:pPr>
              <w:pStyle w:val="normaltabel"/>
              <w:keepNext/>
              <w:widowControl/>
              <w:jc w:val="left"/>
              <w:rPr>
                <w:rFonts w:asciiTheme="minorHAnsi" w:hAnsiTheme="minorHAnsi" w:cstheme="minorHAnsi"/>
                <w:szCs w:val="18"/>
              </w:rPr>
            </w:pPr>
            <w:r w:rsidRPr="0078070A">
              <w:rPr>
                <w:rFonts w:asciiTheme="minorHAnsi" w:hAnsiTheme="minorHAnsi" w:cstheme="minorHAnsi"/>
                <w:szCs w:val="18"/>
              </w:rPr>
              <w:t>D</w:t>
            </w:r>
            <w:r w:rsidR="001F2A97" w:rsidRPr="0078070A">
              <w:rPr>
                <w:rFonts w:asciiTheme="minorHAnsi" w:hAnsiTheme="minorHAnsi" w:cstheme="minorHAnsi"/>
                <w:szCs w:val="18"/>
              </w:rPr>
              <w:t xml:space="preserve">oorzet </w:t>
            </w:r>
            <w:r w:rsidRPr="0078070A">
              <w:rPr>
                <w:rFonts w:asciiTheme="minorHAnsi" w:hAnsiTheme="minorHAnsi" w:cstheme="minorHAnsi"/>
                <w:szCs w:val="18"/>
              </w:rPr>
              <w:t xml:space="preserve">propionzuur </w:t>
            </w:r>
          </w:p>
        </w:tc>
        <w:tc>
          <w:tcPr>
            <w:tcW w:w="1011" w:type="dxa"/>
            <w:vAlign w:val="center"/>
          </w:tcPr>
          <w:p w:rsidR="00F077DA" w:rsidRDefault="0078070A" w:rsidP="00F077DA">
            <w:pPr>
              <w:pStyle w:val="normaltabel"/>
              <w:keepNext/>
              <w:widowControl/>
              <w:jc w:val="center"/>
              <w:rPr>
                <w:rFonts w:asciiTheme="minorHAnsi" w:hAnsiTheme="minorHAnsi" w:cstheme="minorHAnsi"/>
                <w:szCs w:val="18"/>
              </w:rPr>
            </w:pPr>
            <w:r w:rsidRPr="0078070A">
              <w:rPr>
                <w:rFonts w:asciiTheme="minorHAnsi" w:hAnsiTheme="minorHAnsi" w:cstheme="minorHAnsi"/>
                <w:szCs w:val="18"/>
              </w:rPr>
              <w:t>ton/jaar</w:t>
            </w:r>
          </w:p>
        </w:tc>
        <w:tc>
          <w:tcPr>
            <w:tcW w:w="1011" w:type="dxa"/>
            <w:vAlign w:val="center"/>
          </w:tcPr>
          <w:p w:rsidR="00F077DA" w:rsidRDefault="00FE04BD" w:rsidP="00F077DA">
            <w:pPr>
              <w:keepNext/>
              <w:jc w:val="center"/>
              <w:rPr>
                <w:rFonts w:asciiTheme="minorHAnsi" w:hAnsiTheme="minorHAnsi" w:cstheme="minorHAnsi"/>
                <w:color w:val="0000FF"/>
                <w:sz w:val="18"/>
                <w:szCs w:val="18"/>
              </w:rPr>
            </w:pPr>
            <w:r w:rsidRPr="0078070A">
              <w:rPr>
                <w:rFonts w:asciiTheme="minorHAnsi" w:hAnsiTheme="minorHAnsi" w:cstheme="minorHAnsi"/>
                <w:color w:val="0000FF"/>
                <w:sz w:val="18"/>
                <w:szCs w:val="18"/>
              </w:rPr>
              <w:t>23.882</w:t>
            </w:r>
          </w:p>
        </w:tc>
        <w:tc>
          <w:tcPr>
            <w:tcW w:w="1010" w:type="dxa"/>
            <w:vAlign w:val="center"/>
          </w:tcPr>
          <w:p w:rsidR="00F077DA" w:rsidRDefault="0078070A" w:rsidP="00F077DA">
            <w:pPr>
              <w:keepNext/>
              <w:jc w:val="center"/>
              <w:rPr>
                <w:rFonts w:asciiTheme="minorHAnsi" w:hAnsiTheme="minorHAnsi" w:cstheme="minorHAnsi"/>
                <w:color w:val="0000FF"/>
                <w:sz w:val="18"/>
                <w:szCs w:val="18"/>
              </w:rPr>
            </w:pPr>
            <w:r w:rsidRPr="0078070A">
              <w:rPr>
                <w:rFonts w:asciiTheme="minorHAnsi" w:hAnsiTheme="minorHAnsi" w:cstheme="minorHAnsi"/>
                <w:color w:val="0000FF"/>
                <w:sz w:val="18"/>
                <w:szCs w:val="18"/>
              </w:rPr>
              <w:t>27</w:t>
            </w:r>
            <w:r>
              <w:rPr>
                <w:rFonts w:asciiTheme="minorHAnsi" w:hAnsiTheme="minorHAnsi" w:cstheme="minorHAnsi"/>
                <w:color w:val="0000FF"/>
                <w:sz w:val="18"/>
                <w:szCs w:val="18"/>
              </w:rPr>
              <w:t>.</w:t>
            </w:r>
            <w:r w:rsidRPr="0078070A">
              <w:rPr>
                <w:rFonts w:asciiTheme="minorHAnsi" w:hAnsiTheme="minorHAnsi" w:cstheme="minorHAnsi"/>
                <w:color w:val="0000FF"/>
                <w:sz w:val="18"/>
                <w:szCs w:val="18"/>
              </w:rPr>
              <w:t>204</w:t>
            </w:r>
          </w:p>
        </w:tc>
        <w:tc>
          <w:tcPr>
            <w:tcW w:w="1010" w:type="dxa"/>
            <w:vAlign w:val="center"/>
          </w:tcPr>
          <w:p w:rsidR="00F077DA" w:rsidRDefault="0078070A" w:rsidP="00F077DA">
            <w:pPr>
              <w:keepNext/>
              <w:jc w:val="center"/>
              <w:rPr>
                <w:rFonts w:asciiTheme="minorHAnsi" w:hAnsiTheme="minorHAnsi" w:cstheme="minorHAnsi"/>
                <w:sz w:val="18"/>
                <w:szCs w:val="18"/>
              </w:rPr>
            </w:pPr>
            <w:r w:rsidRPr="0078070A">
              <w:rPr>
                <w:rFonts w:asciiTheme="minorHAnsi" w:hAnsiTheme="minorHAnsi" w:cstheme="minorHAnsi"/>
                <w:sz w:val="18"/>
                <w:szCs w:val="18"/>
              </w:rPr>
              <w:t>22</w:t>
            </w:r>
            <w:r>
              <w:rPr>
                <w:rFonts w:asciiTheme="minorHAnsi" w:hAnsiTheme="minorHAnsi" w:cstheme="minorHAnsi"/>
                <w:sz w:val="18"/>
                <w:szCs w:val="18"/>
              </w:rPr>
              <w:t>.307</w:t>
            </w:r>
          </w:p>
        </w:tc>
      </w:tr>
      <w:tr w:rsidR="005B5D40" w:rsidRPr="00F57472" w:rsidTr="00664D55">
        <w:trPr>
          <w:trHeight w:val="218"/>
        </w:trPr>
        <w:tc>
          <w:tcPr>
            <w:tcW w:w="2239" w:type="dxa"/>
            <w:vAlign w:val="center"/>
          </w:tcPr>
          <w:p w:rsidR="00F077DA" w:rsidRDefault="0078070A" w:rsidP="00F077DA">
            <w:pPr>
              <w:pStyle w:val="normaltabel"/>
              <w:keepNext/>
              <w:widowControl/>
              <w:jc w:val="left"/>
              <w:rPr>
                <w:rFonts w:asciiTheme="minorHAnsi" w:hAnsiTheme="minorHAnsi" w:cstheme="minorHAnsi"/>
                <w:szCs w:val="18"/>
              </w:rPr>
            </w:pPr>
            <w:r w:rsidRPr="0078070A">
              <w:rPr>
                <w:rFonts w:asciiTheme="minorHAnsi" w:hAnsiTheme="minorHAnsi" w:cstheme="minorHAnsi"/>
                <w:szCs w:val="18"/>
              </w:rPr>
              <w:t>Emissies p</w:t>
            </w:r>
            <w:r w:rsidR="005B5D40" w:rsidRPr="0078070A">
              <w:rPr>
                <w:rFonts w:asciiTheme="minorHAnsi" w:hAnsiTheme="minorHAnsi" w:cstheme="minorHAnsi"/>
                <w:szCs w:val="18"/>
              </w:rPr>
              <w:t>ropionzuur</w:t>
            </w:r>
          </w:p>
        </w:tc>
        <w:tc>
          <w:tcPr>
            <w:tcW w:w="1011" w:type="dxa"/>
            <w:vAlign w:val="center"/>
          </w:tcPr>
          <w:p w:rsidR="00F077DA" w:rsidRDefault="005B5D40" w:rsidP="00F077DA">
            <w:pPr>
              <w:pStyle w:val="normaltabel"/>
              <w:keepNext/>
              <w:widowControl/>
              <w:jc w:val="center"/>
              <w:rPr>
                <w:rFonts w:asciiTheme="minorHAnsi" w:hAnsiTheme="minorHAnsi" w:cstheme="minorHAnsi"/>
                <w:szCs w:val="18"/>
              </w:rPr>
            </w:pPr>
            <w:r w:rsidRPr="0078070A">
              <w:rPr>
                <w:rFonts w:asciiTheme="minorHAnsi" w:hAnsiTheme="minorHAnsi" w:cstheme="minorHAnsi"/>
                <w:szCs w:val="18"/>
              </w:rPr>
              <w:t>ton/jaar</w:t>
            </w:r>
          </w:p>
        </w:tc>
        <w:tc>
          <w:tcPr>
            <w:tcW w:w="1011" w:type="dxa"/>
            <w:vAlign w:val="center"/>
          </w:tcPr>
          <w:p w:rsidR="00F077DA" w:rsidRDefault="005B5D40" w:rsidP="00F077DA">
            <w:pPr>
              <w:pStyle w:val="normaltabel"/>
              <w:keepNext/>
              <w:widowControl/>
              <w:jc w:val="center"/>
              <w:rPr>
                <w:rFonts w:asciiTheme="minorHAnsi" w:hAnsiTheme="minorHAnsi" w:cstheme="minorHAnsi"/>
                <w:szCs w:val="18"/>
              </w:rPr>
            </w:pPr>
            <w:r w:rsidRPr="0078070A">
              <w:rPr>
                <w:rFonts w:asciiTheme="minorHAnsi" w:hAnsiTheme="minorHAnsi" w:cstheme="minorHAnsi"/>
                <w:szCs w:val="18"/>
              </w:rPr>
              <w:t>0.16</w:t>
            </w:r>
          </w:p>
        </w:tc>
        <w:tc>
          <w:tcPr>
            <w:tcW w:w="1010" w:type="dxa"/>
            <w:vAlign w:val="center"/>
          </w:tcPr>
          <w:p w:rsidR="00F077DA" w:rsidRDefault="005B5D40" w:rsidP="00F077DA">
            <w:pPr>
              <w:pStyle w:val="normaltabel"/>
              <w:keepNext/>
              <w:widowControl/>
              <w:jc w:val="center"/>
              <w:rPr>
                <w:rFonts w:asciiTheme="minorHAnsi" w:hAnsiTheme="minorHAnsi" w:cstheme="minorHAnsi"/>
                <w:szCs w:val="18"/>
              </w:rPr>
            </w:pPr>
            <w:r w:rsidRPr="0078070A">
              <w:rPr>
                <w:rFonts w:asciiTheme="minorHAnsi" w:hAnsiTheme="minorHAnsi" w:cstheme="minorHAnsi"/>
                <w:szCs w:val="18"/>
              </w:rPr>
              <w:t>0.17</w:t>
            </w:r>
          </w:p>
        </w:tc>
        <w:tc>
          <w:tcPr>
            <w:tcW w:w="1010" w:type="dxa"/>
            <w:vAlign w:val="center"/>
          </w:tcPr>
          <w:p w:rsidR="00F077DA" w:rsidRDefault="005B5D40" w:rsidP="00F077DA">
            <w:pPr>
              <w:pStyle w:val="normaltabel"/>
              <w:keepNext/>
              <w:widowControl/>
              <w:jc w:val="center"/>
              <w:rPr>
                <w:rFonts w:asciiTheme="minorHAnsi" w:hAnsiTheme="minorHAnsi" w:cstheme="minorHAnsi"/>
                <w:szCs w:val="18"/>
              </w:rPr>
            </w:pPr>
            <w:r w:rsidRPr="0078070A">
              <w:rPr>
                <w:rFonts w:asciiTheme="minorHAnsi" w:hAnsiTheme="minorHAnsi" w:cstheme="minorHAnsi"/>
                <w:szCs w:val="18"/>
              </w:rPr>
              <w:t>0.18</w:t>
            </w:r>
          </w:p>
        </w:tc>
      </w:tr>
      <w:tr w:rsidR="00CF1446" w:rsidRPr="00F57472" w:rsidTr="00664D55">
        <w:trPr>
          <w:trHeight w:val="218"/>
        </w:trPr>
        <w:tc>
          <w:tcPr>
            <w:tcW w:w="2239" w:type="dxa"/>
            <w:vAlign w:val="center"/>
          </w:tcPr>
          <w:p w:rsidR="00F077DA" w:rsidRDefault="0078070A" w:rsidP="00F077DA">
            <w:pPr>
              <w:pStyle w:val="normaltabel"/>
              <w:keepNext/>
              <w:widowControl/>
              <w:jc w:val="left"/>
              <w:rPr>
                <w:rFonts w:asciiTheme="minorHAnsi" w:hAnsiTheme="minorHAnsi" w:cstheme="minorHAnsi"/>
                <w:szCs w:val="18"/>
              </w:rPr>
            </w:pPr>
            <w:r w:rsidRPr="0078070A">
              <w:rPr>
                <w:rFonts w:asciiTheme="minorHAnsi" w:hAnsiTheme="minorHAnsi" w:cstheme="minorHAnsi"/>
                <w:szCs w:val="18"/>
              </w:rPr>
              <w:t>Doorzet Valeriaanzuur</w:t>
            </w:r>
          </w:p>
        </w:tc>
        <w:tc>
          <w:tcPr>
            <w:tcW w:w="1011" w:type="dxa"/>
            <w:vAlign w:val="center"/>
          </w:tcPr>
          <w:p w:rsidR="00F077DA" w:rsidRDefault="0078070A" w:rsidP="00F077DA">
            <w:pPr>
              <w:pStyle w:val="normaltabel"/>
              <w:keepNext/>
              <w:widowControl/>
              <w:jc w:val="center"/>
              <w:rPr>
                <w:rFonts w:asciiTheme="minorHAnsi" w:hAnsiTheme="minorHAnsi" w:cstheme="minorHAnsi"/>
                <w:szCs w:val="18"/>
              </w:rPr>
            </w:pPr>
            <w:r w:rsidRPr="0078070A">
              <w:rPr>
                <w:rFonts w:asciiTheme="minorHAnsi" w:hAnsiTheme="minorHAnsi" w:cstheme="minorHAnsi"/>
                <w:szCs w:val="18"/>
              </w:rPr>
              <w:t>ton/jaar</w:t>
            </w:r>
          </w:p>
        </w:tc>
        <w:tc>
          <w:tcPr>
            <w:tcW w:w="1011" w:type="dxa"/>
            <w:vAlign w:val="center"/>
          </w:tcPr>
          <w:p w:rsidR="00F077DA" w:rsidRDefault="0078070A" w:rsidP="00F077DA">
            <w:pPr>
              <w:keepNext/>
              <w:jc w:val="center"/>
              <w:rPr>
                <w:rFonts w:asciiTheme="minorHAnsi" w:hAnsiTheme="minorHAnsi" w:cstheme="minorHAnsi"/>
                <w:color w:val="0000FF"/>
                <w:sz w:val="18"/>
                <w:szCs w:val="18"/>
              </w:rPr>
            </w:pPr>
            <w:r w:rsidRPr="0078070A">
              <w:rPr>
                <w:rFonts w:asciiTheme="minorHAnsi" w:hAnsiTheme="minorHAnsi" w:cstheme="minorHAnsi"/>
                <w:color w:val="0000FF"/>
                <w:sz w:val="18"/>
                <w:szCs w:val="18"/>
              </w:rPr>
              <w:t>6</w:t>
            </w:r>
            <w:r>
              <w:rPr>
                <w:rFonts w:asciiTheme="minorHAnsi" w:hAnsiTheme="minorHAnsi" w:cstheme="minorHAnsi"/>
                <w:color w:val="0000FF"/>
                <w:sz w:val="18"/>
                <w:szCs w:val="18"/>
              </w:rPr>
              <w:t>.180</w:t>
            </w:r>
          </w:p>
        </w:tc>
        <w:tc>
          <w:tcPr>
            <w:tcW w:w="1010" w:type="dxa"/>
            <w:vAlign w:val="center"/>
          </w:tcPr>
          <w:p w:rsidR="00F077DA" w:rsidRDefault="0078070A" w:rsidP="00F077DA">
            <w:pPr>
              <w:keepNext/>
              <w:jc w:val="center"/>
              <w:rPr>
                <w:rFonts w:asciiTheme="minorHAnsi" w:hAnsiTheme="minorHAnsi" w:cstheme="minorHAnsi"/>
                <w:color w:val="0000FF"/>
                <w:sz w:val="18"/>
                <w:szCs w:val="18"/>
              </w:rPr>
            </w:pPr>
            <w:r w:rsidRPr="0078070A">
              <w:rPr>
                <w:rFonts w:asciiTheme="minorHAnsi" w:hAnsiTheme="minorHAnsi" w:cstheme="minorHAnsi"/>
                <w:color w:val="0000FF"/>
                <w:sz w:val="18"/>
                <w:szCs w:val="18"/>
              </w:rPr>
              <w:t>5</w:t>
            </w:r>
            <w:r>
              <w:rPr>
                <w:rFonts w:asciiTheme="minorHAnsi" w:hAnsiTheme="minorHAnsi" w:cstheme="minorHAnsi"/>
                <w:color w:val="0000FF"/>
                <w:sz w:val="18"/>
                <w:szCs w:val="18"/>
              </w:rPr>
              <w:t>.</w:t>
            </w:r>
            <w:r w:rsidRPr="0078070A">
              <w:rPr>
                <w:rFonts w:asciiTheme="minorHAnsi" w:hAnsiTheme="minorHAnsi" w:cstheme="minorHAnsi"/>
                <w:color w:val="0000FF"/>
                <w:sz w:val="18"/>
                <w:szCs w:val="18"/>
              </w:rPr>
              <w:t>514</w:t>
            </w:r>
          </w:p>
        </w:tc>
        <w:tc>
          <w:tcPr>
            <w:tcW w:w="1010" w:type="dxa"/>
            <w:vAlign w:val="center"/>
          </w:tcPr>
          <w:p w:rsidR="00F077DA" w:rsidRDefault="0078070A" w:rsidP="00F077DA">
            <w:pPr>
              <w:keepNext/>
              <w:jc w:val="center"/>
              <w:rPr>
                <w:rFonts w:asciiTheme="minorHAnsi" w:hAnsiTheme="minorHAnsi" w:cstheme="minorHAnsi"/>
                <w:sz w:val="18"/>
                <w:szCs w:val="18"/>
              </w:rPr>
            </w:pPr>
            <w:r w:rsidRPr="0078070A">
              <w:rPr>
                <w:rFonts w:asciiTheme="minorHAnsi" w:hAnsiTheme="minorHAnsi" w:cstheme="minorHAnsi"/>
                <w:sz w:val="18"/>
                <w:szCs w:val="18"/>
              </w:rPr>
              <w:t>9</w:t>
            </w:r>
            <w:r>
              <w:rPr>
                <w:rFonts w:asciiTheme="minorHAnsi" w:hAnsiTheme="minorHAnsi" w:cstheme="minorHAnsi"/>
                <w:sz w:val="18"/>
                <w:szCs w:val="18"/>
              </w:rPr>
              <w:t>.</w:t>
            </w:r>
            <w:r w:rsidRPr="0078070A">
              <w:rPr>
                <w:rFonts w:asciiTheme="minorHAnsi" w:hAnsiTheme="minorHAnsi" w:cstheme="minorHAnsi"/>
                <w:sz w:val="18"/>
                <w:szCs w:val="18"/>
              </w:rPr>
              <w:t>227</w:t>
            </w:r>
          </w:p>
        </w:tc>
      </w:tr>
      <w:tr w:rsidR="005B5D40" w:rsidRPr="00F57472" w:rsidTr="00664D55">
        <w:trPr>
          <w:trHeight w:val="218"/>
        </w:trPr>
        <w:tc>
          <w:tcPr>
            <w:tcW w:w="2239" w:type="dxa"/>
            <w:vAlign w:val="center"/>
          </w:tcPr>
          <w:p w:rsidR="00F077DA" w:rsidRDefault="0078070A" w:rsidP="00F077DA">
            <w:pPr>
              <w:pStyle w:val="normaltabel"/>
              <w:keepNext/>
              <w:widowControl/>
              <w:jc w:val="left"/>
              <w:rPr>
                <w:rFonts w:asciiTheme="minorHAnsi" w:hAnsiTheme="minorHAnsi" w:cstheme="minorHAnsi"/>
                <w:szCs w:val="18"/>
              </w:rPr>
            </w:pPr>
            <w:r w:rsidRPr="0078070A">
              <w:rPr>
                <w:rFonts w:asciiTheme="minorHAnsi" w:hAnsiTheme="minorHAnsi" w:cstheme="minorHAnsi"/>
                <w:szCs w:val="18"/>
              </w:rPr>
              <w:t>Emissies v</w:t>
            </w:r>
            <w:r w:rsidR="005B5D40" w:rsidRPr="0078070A">
              <w:rPr>
                <w:rFonts w:asciiTheme="minorHAnsi" w:hAnsiTheme="minorHAnsi" w:cstheme="minorHAnsi"/>
                <w:szCs w:val="18"/>
              </w:rPr>
              <w:t>aleriaanzuur</w:t>
            </w:r>
          </w:p>
        </w:tc>
        <w:tc>
          <w:tcPr>
            <w:tcW w:w="1011" w:type="dxa"/>
            <w:vAlign w:val="center"/>
          </w:tcPr>
          <w:p w:rsidR="00F077DA" w:rsidRDefault="005B5D40" w:rsidP="00F077DA">
            <w:pPr>
              <w:pStyle w:val="normaltabel"/>
              <w:keepNext/>
              <w:widowControl/>
              <w:jc w:val="center"/>
              <w:rPr>
                <w:rFonts w:asciiTheme="minorHAnsi" w:hAnsiTheme="minorHAnsi" w:cstheme="minorHAnsi"/>
                <w:szCs w:val="18"/>
              </w:rPr>
            </w:pPr>
            <w:r w:rsidRPr="0078070A">
              <w:rPr>
                <w:rFonts w:asciiTheme="minorHAnsi" w:hAnsiTheme="minorHAnsi" w:cstheme="minorHAnsi"/>
                <w:szCs w:val="18"/>
              </w:rPr>
              <w:t>ton/jaar</w:t>
            </w:r>
          </w:p>
        </w:tc>
        <w:tc>
          <w:tcPr>
            <w:tcW w:w="1011" w:type="dxa"/>
            <w:vAlign w:val="center"/>
          </w:tcPr>
          <w:p w:rsidR="00F077DA" w:rsidRDefault="005B5D40" w:rsidP="00F077DA">
            <w:pPr>
              <w:pStyle w:val="normaltabel"/>
              <w:keepNext/>
              <w:widowControl/>
              <w:jc w:val="center"/>
              <w:rPr>
                <w:rFonts w:asciiTheme="minorHAnsi" w:hAnsiTheme="minorHAnsi" w:cstheme="minorHAnsi"/>
                <w:szCs w:val="18"/>
              </w:rPr>
            </w:pPr>
            <w:r w:rsidRPr="0078070A">
              <w:rPr>
                <w:rFonts w:asciiTheme="minorHAnsi" w:hAnsiTheme="minorHAnsi" w:cstheme="minorHAnsi"/>
                <w:szCs w:val="18"/>
              </w:rPr>
              <w:t>0.06</w:t>
            </w:r>
          </w:p>
        </w:tc>
        <w:tc>
          <w:tcPr>
            <w:tcW w:w="1010" w:type="dxa"/>
            <w:vAlign w:val="center"/>
          </w:tcPr>
          <w:p w:rsidR="00F077DA" w:rsidRDefault="005B5D40" w:rsidP="00F077DA">
            <w:pPr>
              <w:pStyle w:val="normaltabel"/>
              <w:keepNext/>
              <w:widowControl/>
              <w:jc w:val="center"/>
              <w:rPr>
                <w:rFonts w:asciiTheme="minorHAnsi" w:hAnsiTheme="minorHAnsi" w:cstheme="minorHAnsi"/>
                <w:szCs w:val="18"/>
              </w:rPr>
            </w:pPr>
            <w:r w:rsidRPr="0078070A">
              <w:rPr>
                <w:rFonts w:asciiTheme="minorHAnsi" w:hAnsiTheme="minorHAnsi" w:cstheme="minorHAnsi"/>
                <w:szCs w:val="18"/>
              </w:rPr>
              <w:t>0.07</w:t>
            </w:r>
          </w:p>
        </w:tc>
        <w:tc>
          <w:tcPr>
            <w:tcW w:w="1010" w:type="dxa"/>
            <w:vAlign w:val="center"/>
          </w:tcPr>
          <w:p w:rsidR="00F077DA" w:rsidRDefault="005B5D40" w:rsidP="00F077DA">
            <w:pPr>
              <w:pStyle w:val="normaltabel"/>
              <w:keepNext/>
              <w:widowControl/>
              <w:jc w:val="center"/>
              <w:rPr>
                <w:rFonts w:asciiTheme="minorHAnsi" w:hAnsiTheme="minorHAnsi" w:cstheme="minorHAnsi"/>
                <w:szCs w:val="18"/>
              </w:rPr>
            </w:pPr>
            <w:r w:rsidRPr="0078070A">
              <w:rPr>
                <w:rFonts w:asciiTheme="minorHAnsi" w:hAnsiTheme="minorHAnsi" w:cstheme="minorHAnsi"/>
                <w:szCs w:val="18"/>
              </w:rPr>
              <w:t>0.07</w:t>
            </w:r>
          </w:p>
        </w:tc>
      </w:tr>
    </w:tbl>
    <w:p w:rsidR="005B5D40" w:rsidRDefault="005B5D40" w:rsidP="005B5D40">
      <w:pPr>
        <w:pStyle w:val="Heading5"/>
        <w:jc w:val="left"/>
      </w:pPr>
      <w:bookmarkStart w:id="818" w:name="_Toc312069284"/>
      <w:r>
        <w:t>Fugitieve emissies</w:t>
      </w:r>
      <w:bookmarkEnd w:id="818"/>
    </w:p>
    <w:p w:rsidR="005B5D40" w:rsidRDefault="005B5D40" w:rsidP="005B5D40">
      <w:pPr>
        <w:rPr>
          <w:lang w:val="nl-NL"/>
        </w:rPr>
      </w:pPr>
      <w:r>
        <w:rPr>
          <w:lang w:val="nl-NL"/>
        </w:rPr>
        <w:t xml:space="preserve">Potentieel treden er bij de behandeling van VOS eveneens lekverliezen op. Om deze te beperken wordt er gebruik gemaakt van TA-Luft gecertificeerde pakkingen, afsluiters en kleppen. Op dit ogenblik is </w:t>
      </w:r>
      <w:r w:rsidR="00B1573D">
        <w:rPr>
          <w:lang w:val="nl-NL"/>
        </w:rPr>
        <w:t xml:space="preserve">ca. 30 </w:t>
      </w:r>
      <w:r>
        <w:rPr>
          <w:lang w:val="nl-NL"/>
        </w:rPr>
        <w:t xml:space="preserve">% van de kleppen, mangaten en flenzen op tanks reeds uitgerust met dergelijke lekvrije pakkingen. Bedoeling is om op termijn </w:t>
      </w:r>
      <w:r w:rsidR="00347752">
        <w:rPr>
          <w:lang w:val="nl-NL"/>
        </w:rPr>
        <w:t>dit verder door te trekken voor de hele terminal</w:t>
      </w:r>
      <w:r>
        <w:rPr>
          <w:lang w:val="nl-NL"/>
        </w:rPr>
        <w:t xml:space="preserve"> Ook wordt er stelselmatig meer en meer gebruik gemaakt van pompen met een stikstof spermedium </w:t>
      </w:r>
      <w:r w:rsidR="00347752">
        <w:rPr>
          <w:lang w:val="nl-NL"/>
        </w:rPr>
        <w:t xml:space="preserve">of magnetisch gekoppelde pompen </w:t>
      </w:r>
      <w:r>
        <w:rPr>
          <w:lang w:val="nl-NL"/>
        </w:rPr>
        <w:t>voor het verpompen van vluchtige stoffen met P</w:t>
      </w:r>
      <w:r w:rsidRPr="00753D2B">
        <w:rPr>
          <w:vertAlign w:val="subscript"/>
          <w:lang w:val="nl-NL"/>
        </w:rPr>
        <w:t xml:space="preserve">damp@35°C </w:t>
      </w:r>
      <w:r>
        <w:rPr>
          <w:lang w:val="nl-NL"/>
        </w:rPr>
        <w:t>&gt; 13,3 kPa.</w:t>
      </w:r>
    </w:p>
    <w:p w:rsidR="005B5D40" w:rsidRDefault="005B5D40" w:rsidP="005B5D40">
      <w:pPr>
        <w:rPr>
          <w:lang w:val="nl-NL"/>
        </w:rPr>
      </w:pPr>
      <w:r>
        <w:rPr>
          <w:lang w:val="nl-NL"/>
        </w:rPr>
        <w:t xml:space="preserve">Door VTE werden, rekening houdend met </w:t>
      </w:r>
    </w:p>
    <w:p w:rsidR="005B5D40" w:rsidRDefault="005B5D40" w:rsidP="005B5D40">
      <w:pPr>
        <w:pStyle w:val="ListParagraph"/>
        <w:numPr>
          <w:ilvl w:val="0"/>
          <w:numId w:val="16"/>
        </w:numPr>
        <w:tabs>
          <w:tab w:val="clear" w:pos="2007"/>
          <w:tab w:val="num" w:pos="284"/>
        </w:tabs>
        <w:spacing w:before="0"/>
        <w:ind w:left="284" w:hanging="284"/>
        <w:jc w:val="left"/>
        <w:rPr>
          <w:lang w:val="nl-NL"/>
        </w:rPr>
      </w:pPr>
      <w:r w:rsidRPr="00222CB6">
        <w:rPr>
          <w:lang w:val="nl-NL"/>
        </w:rPr>
        <w:t>de op de terminal aanwezige producten</w:t>
      </w:r>
      <w:r>
        <w:rPr>
          <w:lang w:val="nl-NL"/>
        </w:rPr>
        <w:t>;</w:t>
      </w:r>
      <w:r w:rsidRPr="00222CB6">
        <w:rPr>
          <w:lang w:val="nl-NL"/>
        </w:rPr>
        <w:t xml:space="preserve"> </w:t>
      </w:r>
    </w:p>
    <w:p w:rsidR="005B5D40" w:rsidRDefault="005B5D40" w:rsidP="005B5D40">
      <w:pPr>
        <w:pStyle w:val="ListParagraph"/>
        <w:numPr>
          <w:ilvl w:val="0"/>
          <w:numId w:val="16"/>
        </w:numPr>
        <w:tabs>
          <w:tab w:val="clear" w:pos="2007"/>
          <w:tab w:val="num" w:pos="284"/>
        </w:tabs>
        <w:spacing w:before="0"/>
        <w:ind w:left="284" w:hanging="284"/>
        <w:jc w:val="left"/>
        <w:rPr>
          <w:lang w:val="nl-NL"/>
        </w:rPr>
      </w:pPr>
      <w:r>
        <w:rPr>
          <w:lang w:val="nl-NL"/>
        </w:rPr>
        <w:t xml:space="preserve">aantal en type </w:t>
      </w:r>
      <w:r w:rsidRPr="00222CB6">
        <w:rPr>
          <w:lang w:val="nl-NL"/>
        </w:rPr>
        <w:t xml:space="preserve">potentiële lekpunten </w:t>
      </w:r>
      <w:r>
        <w:rPr>
          <w:lang w:val="nl-NL"/>
        </w:rPr>
        <w:t xml:space="preserve">(kleppen, flezen, mangaten tanks, staalnamepunten en pompen); </w:t>
      </w:r>
    </w:p>
    <w:p w:rsidR="005B5D40" w:rsidRDefault="005B5D40" w:rsidP="005B5D40">
      <w:pPr>
        <w:pStyle w:val="ListParagraph"/>
        <w:numPr>
          <w:ilvl w:val="0"/>
          <w:numId w:val="16"/>
        </w:numPr>
        <w:tabs>
          <w:tab w:val="clear" w:pos="2007"/>
          <w:tab w:val="num" w:pos="284"/>
        </w:tabs>
        <w:spacing w:before="0"/>
        <w:ind w:left="284" w:hanging="284"/>
        <w:jc w:val="left"/>
        <w:rPr>
          <w:lang w:val="nl-NL"/>
        </w:rPr>
      </w:pPr>
      <w:r>
        <w:rPr>
          <w:lang w:val="nl-NL"/>
        </w:rPr>
        <w:t>de</w:t>
      </w:r>
      <w:r w:rsidRPr="00222CB6">
        <w:rPr>
          <w:lang w:val="nl-NL"/>
        </w:rPr>
        <w:t xml:space="preserve"> emissiefactoren</w:t>
      </w:r>
      <w:r>
        <w:rPr>
          <w:lang w:val="nl-NL"/>
        </w:rPr>
        <w:t xml:space="preserve"> van </w:t>
      </w:r>
      <w:r>
        <w:t>bijlage 4.4.6 Vlarem II;</w:t>
      </w:r>
      <w:r>
        <w:rPr>
          <w:rStyle w:val="FootnoteReference"/>
          <w:lang w:val="nl-NL"/>
        </w:rPr>
        <w:t xml:space="preserve"> </w:t>
      </w:r>
      <w:r w:rsidRPr="00222CB6">
        <w:rPr>
          <w:lang w:val="nl-NL"/>
        </w:rPr>
        <w:t xml:space="preserve"> </w:t>
      </w:r>
    </w:p>
    <w:p w:rsidR="005B5D40" w:rsidRDefault="005B5D40" w:rsidP="005B5D40">
      <w:pPr>
        <w:spacing w:before="0"/>
        <w:rPr>
          <w:lang w:val="nl-NL"/>
        </w:rPr>
      </w:pPr>
      <w:r>
        <w:rPr>
          <w:lang w:val="nl-NL"/>
        </w:rPr>
        <w:t xml:space="preserve">de fugitieve emissies voor het jaar 2010 in totaliteit begroot op </w:t>
      </w:r>
      <w:r>
        <w:rPr>
          <w:rFonts w:cs="Calibri"/>
          <w:lang w:val="nl-NL"/>
        </w:rPr>
        <w:t>8,9</w:t>
      </w:r>
      <w:r>
        <w:rPr>
          <w:lang w:val="nl-NL"/>
        </w:rPr>
        <w:t xml:space="preserve"> ton, waarvan ca. 1,5 ton isopreen (= carcinogene stof).</w:t>
      </w:r>
    </w:p>
    <w:p w:rsidR="005B5D40" w:rsidRDefault="005B5D40" w:rsidP="005B5D40">
      <w:pPr>
        <w:spacing w:before="0"/>
        <w:rPr>
          <w:lang w:val="nl-NL"/>
        </w:rPr>
      </w:pPr>
      <w:r>
        <w:rPr>
          <w:lang w:val="nl-NL"/>
        </w:rPr>
        <w:t xml:space="preserve">De berekeningen geven dan ook aan dat er – op basis van de gegevens mbt 2010 – er geen verplichting is om een LDAR-programma te implementeren (cf. afdeling 4.4.6 van Vlarem II). </w:t>
      </w:r>
    </w:p>
    <w:p w:rsidR="005B5D40" w:rsidRDefault="005B5D40" w:rsidP="005B5D40">
      <w:pPr>
        <w:pStyle w:val="Heading5"/>
        <w:jc w:val="left"/>
      </w:pPr>
      <w:bookmarkStart w:id="819" w:name="_Toc312069285"/>
      <w:r>
        <w:t>Emissies afvullen eenheidsverpakkingen</w:t>
      </w:r>
      <w:bookmarkEnd w:id="819"/>
    </w:p>
    <w:p w:rsidR="005B5D40" w:rsidRDefault="00CB3B91" w:rsidP="005B5D40">
      <w:r w:rsidRPr="00CB3B91">
        <w:t xml:space="preserve">Zoals aangegeven in § </w:t>
      </w:r>
      <w:r w:rsidR="00C325A0">
        <w:fldChar w:fldCharType="begin"/>
      </w:r>
      <w:r w:rsidR="00D95493">
        <w:instrText xml:space="preserve"> REF _Ref296432675 \r \h </w:instrText>
      </w:r>
      <w:r w:rsidR="00C325A0">
        <w:fldChar w:fldCharType="separate"/>
      </w:r>
      <w:r w:rsidR="008102D8">
        <w:t>IV1.1.2.2</w:t>
      </w:r>
      <w:r w:rsidR="00C325A0">
        <w:fldChar w:fldCharType="end"/>
      </w:r>
      <w:r w:rsidR="00D95493">
        <w:t xml:space="preserve"> </w:t>
      </w:r>
      <w:r w:rsidR="005B5D40">
        <w:t>wordt een beperkt deel van de in de terminal aangevoerde vloei</w:t>
      </w:r>
      <w:r w:rsidR="005B5D40">
        <w:softHyphen/>
        <w:t>stoffen in bulk, in opdracht van de klant af</w:t>
      </w:r>
      <w:r w:rsidR="005B5D40">
        <w:softHyphen/>
        <w:t>gevuld in een</w:t>
      </w:r>
      <w:r w:rsidR="005B5D40">
        <w:softHyphen/>
        <w:t>heidsverpakkingen. De afgevulde vloeistoffen zijn typisch weinig vluchtige vloeistoffen (P</w:t>
      </w:r>
      <w:r w:rsidR="005B5D40" w:rsidRPr="00A71D4D">
        <w:rPr>
          <w:vertAlign w:val="subscript"/>
        </w:rPr>
        <w:t>damp@20°C</w:t>
      </w:r>
      <w:r w:rsidR="005B5D40">
        <w:t xml:space="preserve"> &lt; 1 kPa). </w:t>
      </w:r>
    </w:p>
    <w:p w:rsidR="005B5D40" w:rsidRDefault="005B5D40" w:rsidP="005B5D40">
      <w:r>
        <w:rPr>
          <w:lang w:val="nl-NL"/>
        </w:rPr>
        <w:t xml:space="preserve">De emissies bij de afvulling in éénheidsverpakkingen zijn dan ook beperkt en van ondergeschikt belang t.o.v. diegene die verband houden met </w:t>
      </w:r>
      <w:r>
        <w:t>op- en overslag van vluchtige organische stoffen.</w:t>
      </w:r>
    </w:p>
    <w:p w:rsidR="005B5D40" w:rsidRDefault="005B5D40" w:rsidP="005B5D40">
      <w:r>
        <w:t xml:space="preserve">Om dit te duiden werd berekend hoeveel ICB’s </w:t>
      </w:r>
      <w:r>
        <w:rPr>
          <w:lang w:val="nl-NL"/>
        </w:rPr>
        <w:t xml:space="preserve">met isobutanol (= product met een </w:t>
      </w:r>
      <w:r>
        <w:t>P</w:t>
      </w:r>
      <w:r w:rsidRPr="00A71D4D">
        <w:rPr>
          <w:vertAlign w:val="subscript"/>
        </w:rPr>
        <w:t>damp@20°C</w:t>
      </w:r>
      <w:r>
        <w:t xml:space="preserve"> = 0,95 kPa) er dienen afgevuld te worden om een emissie te hebben die overeenstemt met 1% (490 kg/jaar) van </w:t>
      </w:r>
      <w:r>
        <w:rPr>
          <w:lang w:val="nl-NL"/>
        </w:rPr>
        <w:t>de em</w:t>
      </w:r>
      <w:r>
        <w:t>issies die vrijkomen bij op- en overslag van vluchtige organische stoffen.</w:t>
      </w:r>
    </w:p>
    <w:p w:rsidR="005B5D40" w:rsidRDefault="005B5D40" w:rsidP="005B5D40">
      <w:pPr>
        <w:keepNext/>
        <w:tabs>
          <w:tab w:val="left" w:pos="2552"/>
        </w:tabs>
        <w:rPr>
          <w:lang w:val="nl-NL"/>
        </w:rPr>
      </w:pPr>
      <w:r>
        <w:rPr>
          <w:lang w:val="nl-NL"/>
        </w:rPr>
        <w:t xml:space="preserve">De emissies per afgevuld vat werden als volgt berekend </w:t>
      </w:r>
      <w:r>
        <w:rPr>
          <w:rStyle w:val="EndnoteReference"/>
          <w:lang w:val="nl-NL"/>
        </w:rPr>
        <w:endnoteReference w:id="3"/>
      </w:r>
      <w:r>
        <w:rPr>
          <w:lang w:val="nl-NL"/>
        </w:rPr>
        <w:t>:</w:t>
      </w:r>
    </w:p>
    <w:p w:rsidR="005B5D40" w:rsidRPr="00595C2A" w:rsidRDefault="005B5D40" w:rsidP="005B5D40">
      <w:pPr>
        <w:ind w:left="45"/>
        <w:rPr>
          <w:lang w:val="fr-FR"/>
        </w:rPr>
      </w:pPr>
      <w:r w:rsidRPr="00595C2A">
        <w:rPr>
          <w:lang w:val="fr-FR"/>
        </w:rPr>
        <w:t>E</w:t>
      </w:r>
      <w:r w:rsidRPr="00595C2A">
        <w:rPr>
          <w:vertAlign w:val="subscript"/>
          <w:lang w:val="fr-FR"/>
        </w:rPr>
        <w:t>VA</w:t>
      </w:r>
      <w:r w:rsidRPr="00595C2A">
        <w:rPr>
          <w:lang w:val="fr-FR"/>
        </w:rPr>
        <w:t xml:space="preserve"> = [(P x M x V) / (8,314 x T)]</w:t>
      </w:r>
    </w:p>
    <w:p w:rsidR="005B5D40" w:rsidRDefault="005B5D40" w:rsidP="005B5D40">
      <w:pPr>
        <w:tabs>
          <w:tab w:val="left" w:pos="709"/>
        </w:tabs>
        <w:ind w:left="45"/>
        <w:rPr>
          <w:sz w:val="18"/>
          <w:szCs w:val="18"/>
        </w:rPr>
      </w:pPr>
      <w:r w:rsidRPr="00CA1260">
        <w:rPr>
          <w:sz w:val="18"/>
          <w:szCs w:val="18"/>
        </w:rPr>
        <w:t>Waarbij:</w:t>
      </w:r>
      <w:r w:rsidRPr="00CA1260">
        <w:rPr>
          <w:sz w:val="18"/>
          <w:szCs w:val="18"/>
        </w:rPr>
        <w:tab/>
        <w:t>P = dampdruk (kPa) bij temperatuur T</w:t>
      </w:r>
      <w:r>
        <w:rPr>
          <w:sz w:val="18"/>
          <w:szCs w:val="18"/>
        </w:rPr>
        <w:t xml:space="preserve"> = 0,46 kPa</w:t>
      </w:r>
    </w:p>
    <w:p w:rsidR="005B5D40" w:rsidRDefault="005B5D40" w:rsidP="005B5D40">
      <w:pPr>
        <w:tabs>
          <w:tab w:val="left" w:pos="709"/>
        </w:tabs>
        <w:spacing w:before="0"/>
        <w:ind w:left="709"/>
        <w:rPr>
          <w:sz w:val="18"/>
          <w:szCs w:val="18"/>
        </w:rPr>
      </w:pPr>
      <w:r>
        <w:rPr>
          <w:sz w:val="18"/>
          <w:szCs w:val="18"/>
        </w:rPr>
        <w:t>M = molucuulgewicht van de damp (g/mol) = 74 g/mol</w:t>
      </w:r>
    </w:p>
    <w:p w:rsidR="005B5D40" w:rsidRDefault="005B5D40" w:rsidP="005B5D40">
      <w:pPr>
        <w:tabs>
          <w:tab w:val="left" w:pos="709"/>
        </w:tabs>
        <w:spacing w:before="0"/>
        <w:ind w:left="709"/>
        <w:rPr>
          <w:sz w:val="18"/>
          <w:szCs w:val="18"/>
        </w:rPr>
      </w:pPr>
      <w:r>
        <w:rPr>
          <w:sz w:val="18"/>
          <w:szCs w:val="18"/>
        </w:rPr>
        <w:t>V = volume ICB (m³) = 1m³ (er wordt gewerkt met ICB’s daar deze meer dan 90% vormen van de éénheidsverpakkingen)</w:t>
      </w:r>
    </w:p>
    <w:p w:rsidR="005B5D40" w:rsidRDefault="005B5D40" w:rsidP="005B5D40">
      <w:pPr>
        <w:tabs>
          <w:tab w:val="left" w:pos="709"/>
        </w:tabs>
        <w:spacing w:before="0"/>
        <w:ind w:left="709"/>
        <w:rPr>
          <w:sz w:val="18"/>
          <w:szCs w:val="18"/>
        </w:rPr>
      </w:pPr>
      <w:r>
        <w:rPr>
          <w:sz w:val="18"/>
          <w:szCs w:val="18"/>
        </w:rPr>
        <w:t>T = temperatuur van de damp (K) = 283 K (= gemm. omgevingstemperatuur in België)</w:t>
      </w:r>
    </w:p>
    <w:p w:rsidR="005B5D40" w:rsidRDefault="005B5D40" w:rsidP="005B5D40">
      <w:pPr>
        <w:tabs>
          <w:tab w:val="left" w:pos="709"/>
        </w:tabs>
        <w:spacing w:before="0"/>
        <w:ind w:left="709"/>
        <w:rPr>
          <w:sz w:val="18"/>
          <w:szCs w:val="18"/>
        </w:rPr>
      </w:pPr>
      <w:r>
        <w:rPr>
          <w:sz w:val="18"/>
          <w:szCs w:val="18"/>
        </w:rPr>
        <w:t>8,314 = ideale gasconstante R (J/mol.K)</w:t>
      </w:r>
    </w:p>
    <w:p w:rsidR="005B5D40" w:rsidRDefault="005B5D40" w:rsidP="005B5D40">
      <w:pPr>
        <w:tabs>
          <w:tab w:val="left" w:pos="3544"/>
        </w:tabs>
        <w:rPr>
          <w:lang w:val="nl-NL"/>
        </w:rPr>
      </w:pPr>
      <w:r>
        <w:rPr>
          <w:lang w:val="nl-NL"/>
        </w:rPr>
        <w:lastRenderedPageBreak/>
        <w:t xml:space="preserve">Op basis van bovenstaande gegevens kan berekend worden dat per afvulling van isobutanol er 0,0145 kg geëmitteerd wordt. Om aldus tot een totale emissie van 450 kg/jaar te komen dienen er dan ca. 33.800 ICB’s / jaar afgevuld te worden. </w:t>
      </w:r>
    </w:p>
    <w:p w:rsidR="005B5D40" w:rsidRDefault="005B5D40" w:rsidP="005B5D40">
      <w:pPr>
        <w:tabs>
          <w:tab w:val="left" w:pos="3544"/>
        </w:tabs>
        <w:rPr>
          <w:lang w:val="nl-NL"/>
        </w:rPr>
      </w:pPr>
      <w:r>
        <w:rPr>
          <w:lang w:val="nl-NL"/>
        </w:rPr>
        <w:t>Een dergelijke hoeveelheid wordt in praktijk evenwel nooit afgevuld</w:t>
      </w:r>
      <w:r w:rsidRPr="00CB7CBF">
        <w:rPr>
          <w:lang w:val="nl-NL"/>
        </w:rPr>
        <w:t xml:space="preserve"> </w:t>
      </w:r>
      <w:r>
        <w:rPr>
          <w:lang w:val="nl-NL"/>
        </w:rPr>
        <w:t xml:space="preserve">in vaten. Zo bedroeg het aantal afgevulde ICB’s de afgelopen jaren </w:t>
      </w:r>
      <w:r w:rsidR="00CB3B91" w:rsidRPr="00CB3B91">
        <w:rPr>
          <w:lang w:val="nl-NL"/>
        </w:rPr>
        <w:t>maximaal 10.000 / jaar en</w:t>
      </w:r>
      <w:r>
        <w:rPr>
          <w:lang w:val="nl-NL"/>
        </w:rPr>
        <w:t xml:space="preserve"> dit dan nog voor producten met een dampspanning beduidend lager dan deze van isobutanol. </w:t>
      </w:r>
    </w:p>
    <w:p w:rsidR="005B5D40" w:rsidRDefault="005B5D40" w:rsidP="005B5D40">
      <w:r>
        <w:rPr>
          <w:lang w:val="nl-NL"/>
        </w:rPr>
        <w:t xml:space="preserve">Rekening houdend met de totale doorzet en met bovenstaande kan gesteld worden dat de emissies die kunnen vrijkomen bij afvulling in éénheidsverpakkingen verwaarloosbaar zijn t.o.v.  </w:t>
      </w:r>
      <w:r>
        <w:t xml:space="preserve">van </w:t>
      </w:r>
      <w:r>
        <w:rPr>
          <w:lang w:val="nl-NL"/>
        </w:rPr>
        <w:t>diegene</w:t>
      </w:r>
      <w:r>
        <w:t xml:space="preserve"> die vrijkomen bij op- en overslag van vluchtige organische stoffen.</w:t>
      </w:r>
    </w:p>
    <w:p w:rsidR="005B5D40" w:rsidRDefault="005B5D40" w:rsidP="005B5D40">
      <w:pPr>
        <w:pStyle w:val="Heading5"/>
        <w:jc w:val="left"/>
      </w:pPr>
      <w:bookmarkStart w:id="820" w:name="_Toc297542534"/>
      <w:bookmarkStart w:id="821" w:name="_Toc297546673"/>
      <w:bookmarkStart w:id="822" w:name="_Toc297546838"/>
      <w:bookmarkStart w:id="823" w:name="_Toc297547003"/>
      <w:bookmarkStart w:id="824" w:name="_Toc297547168"/>
      <w:bookmarkStart w:id="825" w:name="_Toc297553669"/>
      <w:bookmarkStart w:id="826" w:name="_Toc297649835"/>
      <w:bookmarkStart w:id="827" w:name="_Toc297722635"/>
      <w:bookmarkStart w:id="828" w:name="_Toc297725653"/>
      <w:bookmarkStart w:id="829" w:name="_Toc298161772"/>
      <w:bookmarkStart w:id="830" w:name="_Toc297542535"/>
      <w:bookmarkStart w:id="831" w:name="_Toc297546674"/>
      <w:bookmarkStart w:id="832" w:name="_Toc297546839"/>
      <w:bookmarkStart w:id="833" w:name="_Toc297547004"/>
      <w:bookmarkStart w:id="834" w:name="_Toc297547169"/>
      <w:bookmarkStart w:id="835" w:name="_Toc297553670"/>
      <w:bookmarkStart w:id="836" w:name="_Toc297649836"/>
      <w:bookmarkStart w:id="837" w:name="_Toc297722636"/>
      <w:bookmarkStart w:id="838" w:name="_Toc297725654"/>
      <w:bookmarkStart w:id="839" w:name="_Toc298161773"/>
      <w:bookmarkStart w:id="840" w:name="_Toc312069286"/>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t>Verbrandingsemissies</w:t>
      </w:r>
      <w:bookmarkEnd w:id="840"/>
    </w:p>
    <w:p w:rsidR="005B5D40" w:rsidRDefault="005B5D40" w:rsidP="005B5D40">
      <w:r>
        <w:t xml:space="preserve">VTE beschikt over een aardgasgestookte stoomketel met een thermisch vermogen van 6,2 en stookoliegestookte stoomketel met een vermogen van 3,2 MW. De ketel met een vermogen van 6,2 MW is quasi continu in dienst. De andere ketel doet dienst als reserve ketel en is slechts </w:t>
      </w:r>
      <w:r w:rsidR="00347752">
        <w:t>een paar</w:t>
      </w:r>
      <w:r>
        <w:t xml:space="preserve"> dagen per jaar werkzaam wanneer de andere ketel uit dienst is of wanneer bij extreme koude de stoomvraag zeer groot is.</w:t>
      </w:r>
    </w:p>
    <w:p w:rsidR="00731907" w:rsidRDefault="005B5D40" w:rsidP="005B5D40">
      <w:r>
        <w:t>In normale omstandigheden is dan ook enkel de ketel met een vermogen van 6,2 MW</w:t>
      </w:r>
      <w:r w:rsidR="00731907">
        <w:t xml:space="preserve"> </w:t>
      </w:r>
      <w:r>
        <w:t>in dienst. De stikstofoxide-emissie van deze ketel kan – op basis van emissiemetingen en uitgaande van 8.688 effectieve werkingsuren</w:t>
      </w:r>
      <w:r>
        <w:rPr>
          <w:rStyle w:val="FootnoteReference"/>
        </w:rPr>
        <w:footnoteReference w:id="54"/>
      </w:r>
      <w:r>
        <w:t xml:space="preserve"> per jaar – berekend worden op ca. 3 ton per jaar.</w:t>
      </w:r>
    </w:p>
    <w:p w:rsidR="005B5D40" w:rsidRDefault="005B5D40" w:rsidP="005B5D40">
      <w:r>
        <w:t>Voor overige parameters (CO en SO</w:t>
      </w:r>
      <w:r w:rsidRPr="006E3AF0">
        <w:rPr>
          <w:vertAlign w:val="subscript"/>
        </w:rPr>
        <w:t>2</w:t>
      </w:r>
      <w:r>
        <w:t>) geven de metingen aan dat de emissieconcentraties lager zijn dan de bepalingsgrens.</w:t>
      </w:r>
    </w:p>
    <w:p w:rsidR="005B5D40" w:rsidRDefault="005B5D40" w:rsidP="005B5D40">
      <w:r>
        <w:t>Bij het in dienst nemen van de thermische nabehandelingseenheid zullen er uiteraard extra NOx en CO emissies optreden. Omwille van het beperkte thermische vermogen kan aangenomen worden dat de emissies die hiermee gepaard zullen gaan ook beperkt zullen zijn.</w:t>
      </w:r>
    </w:p>
    <w:p w:rsidR="00744234" w:rsidRDefault="00744234" w:rsidP="005B5D40">
      <w:pPr>
        <w:rPr>
          <w:lang w:val="nl-NL"/>
        </w:rPr>
      </w:pPr>
      <w:r>
        <w:rPr>
          <w:lang w:val="nl-NL"/>
        </w:rPr>
        <w:t>Aan de DVI is geen warmte recuperatie gekoppeld. Gezien de aard van de installatie is dit evenmin evident.</w:t>
      </w:r>
    </w:p>
    <w:p w:rsidR="00744234" w:rsidRPr="00744234" w:rsidRDefault="00744234" w:rsidP="005B5D40">
      <w:pPr>
        <w:rPr>
          <w:lang w:val="nl-NL"/>
        </w:rPr>
      </w:pPr>
      <w:r>
        <w:rPr>
          <w:lang w:val="nl-NL"/>
        </w:rPr>
        <w:t>Dampretour en koppeling met de DVI worden voorzien voor die producten waarvoor een vergaande reductie noodzakelijk is om te voldoen aan de wettelijke bepalingen.</w:t>
      </w:r>
    </w:p>
    <w:p w:rsidR="005B5D40" w:rsidRDefault="005B5D40" w:rsidP="005B5D40">
      <w:pPr>
        <w:pStyle w:val="Heading5"/>
        <w:jc w:val="left"/>
      </w:pPr>
      <w:bookmarkStart w:id="841" w:name="_Toc297542537"/>
      <w:bookmarkStart w:id="842" w:name="_Toc297546676"/>
      <w:bookmarkStart w:id="843" w:name="_Toc297546841"/>
      <w:bookmarkStart w:id="844" w:name="_Toc297547006"/>
      <w:bookmarkStart w:id="845" w:name="_Toc297547171"/>
      <w:bookmarkStart w:id="846" w:name="_Toc297553672"/>
      <w:bookmarkStart w:id="847" w:name="_Toc297649838"/>
      <w:bookmarkStart w:id="848" w:name="_Toc297722638"/>
      <w:bookmarkStart w:id="849" w:name="_Toc297725656"/>
      <w:bookmarkStart w:id="850" w:name="_Toc298161775"/>
      <w:bookmarkStart w:id="851" w:name="_Ref311456790"/>
      <w:bookmarkStart w:id="852" w:name="_Ref311456796"/>
      <w:bookmarkStart w:id="853" w:name="_Toc312069287"/>
      <w:bookmarkEnd w:id="841"/>
      <w:bookmarkEnd w:id="842"/>
      <w:bookmarkEnd w:id="843"/>
      <w:bookmarkEnd w:id="844"/>
      <w:bookmarkEnd w:id="845"/>
      <w:bookmarkEnd w:id="846"/>
      <w:bookmarkEnd w:id="847"/>
      <w:bookmarkEnd w:id="848"/>
      <w:bookmarkEnd w:id="849"/>
      <w:bookmarkEnd w:id="850"/>
      <w:r>
        <w:t>Transportemissies</w:t>
      </w:r>
      <w:bookmarkEnd w:id="851"/>
      <w:bookmarkEnd w:id="852"/>
      <w:bookmarkEnd w:id="853"/>
    </w:p>
    <w:p w:rsidR="005B5D40" w:rsidRPr="00E260B2" w:rsidRDefault="005B5D40" w:rsidP="005B5D40">
      <w:pPr>
        <w:rPr>
          <w:lang w:val="nl-NL"/>
        </w:rPr>
      </w:pPr>
      <w:r>
        <w:t xml:space="preserve">Zowel de aan- als afvoer van stoffen per schip, spoorweg en wegverkeer kunnen aanleiding geven tot transportemissies.  Het aantal transporten per transportmiddel is opgenomen in </w:t>
      </w:r>
      <w:r w:rsidRPr="00213514">
        <w:t xml:space="preserve">tabel </w:t>
      </w:r>
      <w:r w:rsidR="00C325A0">
        <w:fldChar w:fldCharType="begin"/>
      </w:r>
      <w:r w:rsidR="00DA3803">
        <w:instrText xml:space="preserve"> REF t_project_transporten \h </w:instrText>
      </w:r>
      <w:r w:rsidR="00C325A0">
        <w:fldChar w:fldCharType="separate"/>
      </w:r>
      <w:r w:rsidR="008102D8">
        <w:t>IV.</w:t>
      </w:r>
      <w:r w:rsidR="008102D8">
        <w:rPr>
          <w:noProof/>
        </w:rPr>
        <w:t>4</w:t>
      </w:r>
      <w:r w:rsidR="00C325A0">
        <w:fldChar w:fldCharType="end"/>
      </w:r>
      <w:r w:rsidR="00DA3803">
        <w:t>.</w:t>
      </w:r>
    </w:p>
    <w:p w:rsidR="005B5D40" w:rsidRDefault="005B5D40" w:rsidP="005B5D40">
      <w:r>
        <w:t>Als belangrijkste parameters kunnen hierbij NOx, SO</w:t>
      </w:r>
      <w:r>
        <w:rPr>
          <w:vertAlign w:val="subscript"/>
        </w:rPr>
        <w:t>2</w:t>
      </w:r>
      <w:r>
        <w:t xml:space="preserve"> en fijn stof  beschouwd worden.</w:t>
      </w:r>
    </w:p>
    <w:p w:rsidR="005B5D40" w:rsidRDefault="005B5D40" w:rsidP="005B5D40">
      <w:r>
        <w:t xml:space="preserve">Voor het in kaart brengen van de voornaamste emissies kan gebruik gemaakt worden van aantallen transporten en emissiekengetallen. Op basis van de eerder vermelde transportaantallen en de emissiekarakteristieken kan gesteld worden dat het transport door wegverkeer en door scheepvaart als meest relevant kunnen beschouwd worden. </w:t>
      </w:r>
    </w:p>
    <w:p w:rsidR="005B5D40" w:rsidRDefault="005B5D40" w:rsidP="005B5D40">
      <w:r w:rsidRPr="00690316">
        <w:t xml:space="preserve">In het kader van dit project wordt de berekening van de transportemissies </w:t>
      </w:r>
      <w:r>
        <w:t xml:space="preserve">op zich niet uitgevoerd gezien niet zozeer de grootte van de emissies </w:t>
      </w:r>
      <w:r w:rsidRPr="00690316">
        <w:t>op zich</w:t>
      </w:r>
      <w:r>
        <w:t xml:space="preserve"> </w:t>
      </w:r>
      <w:r w:rsidRPr="00690316">
        <w:t>relevant geacht</w:t>
      </w:r>
      <w:r>
        <w:t xml:space="preserve"> wordt, dan wel de impact die ze veroorzaken. Zeker de impact van vrachtwagentransport dient losgekoppeld te worden van de grootte van de emissies gezien de rechtstreekse impact van deze emissies op het leefklimaat (omdat het emissiepunt zich op leefniveau bevindt). Hierdoor zal er sneller een impact ontstaan in vergelijking met emissies via schouwen (een bepaalde emissie zal sneller een aantoonbare impact veroorzaken)</w:t>
      </w:r>
      <w:r w:rsidRPr="00690316">
        <w:t xml:space="preserve">. In </w:t>
      </w:r>
      <w:r>
        <w:t>het vervolg van de studie</w:t>
      </w:r>
      <w:r w:rsidRPr="00690316">
        <w:t xml:space="preserve"> wordt </w:t>
      </w:r>
      <w:r>
        <w:t xml:space="preserve">dan ook </w:t>
      </w:r>
      <w:r w:rsidRPr="00690316">
        <w:t>de nadruk gelegd op de impact van deze emissies.</w:t>
      </w:r>
      <w:r>
        <w:t xml:space="preserve"> </w:t>
      </w:r>
    </w:p>
    <w:p w:rsidR="005B5D40" w:rsidRDefault="005B5D40" w:rsidP="005B5D40">
      <w:r>
        <w:lastRenderedPageBreak/>
        <w:t>Wel kan gesteld worden dat het transport van- en naar het bedrijf als verwaarloosbaar kan beschouwd worden in vergelijking met het totaal aanwezige transport in het studiegebied.</w:t>
      </w:r>
    </w:p>
    <w:p w:rsidR="005B5D40" w:rsidRDefault="005B5D40" w:rsidP="005B5D40">
      <w:pPr>
        <w:pStyle w:val="Heading4"/>
        <w:jc w:val="left"/>
      </w:pPr>
      <w:bookmarkStart w:id="854" w:name="_Toc312069288"/>
      <w:r>
        <w:t>Effectevaluatie actuele emissies</w:t>
      </w:r>
      <w:bookmarkEnd w:id="854"/>
    </w:p>
    <w:p w:rsidR="005B5D40" w:rsidRDefault="005B5D40" w:rsidP="005B5D40">
      <w:pPr>
        <w:pStyle w:val="Heading5"/>
        <w:jc w:val="left"/>
      </w:pPr>
      <w:bookmarkStart w:id="855" w:name="_Toc312069289"/>
      <w:r>
        <w:t>VOS-emissies</w:t>
      </w:r>
      <w:bookmarkEnd w:id="855"/>
    </w:p>
    <w:p w:rsidR="005B5D40" w:rsidRDefault="005B5D40" w:rsidP="005B5D40">
      <w:pPr>
        <w:rPr>
          <w:lang w:val="nl-NL"/>
        </w:rPr>
      </w:pPr>
      <w:r w:rsidRPr="00CE6581">
        <w:rPr>
          <w:lang w:val="nl-NL"/>
        </w:rPr>
        <w:t xml:space="preserve">Op basis van de berekende massa uitstoten wordt de huidige impact van het bedrijf op de plaatselijke luchtkwaliteit geëvalueerd. Hiertoe wordt op basis van een IFDM modellering de bijdrage van de emissies van Vopak </w:t>
      </w:r>
      <w:r w:rsidRPr="00B37DC4">
        <w:rPr>
          <w:lang w:val="nl-NL"/>
        </w:rPr>
        <w:t xml:space="preserve">op grondniveau  </w:t>
      </w:r>
      <w:r>
        <w:rPr>
          <w:lang w:val="nl-NL"/>
        </w:rPr>
        <w:t>in de omgeving  berekend, rekening</w:t>
      </w:r>
      <w:r w:rsidRPr="00B37DC4">
        <w:rPr>
          <w:lang w:val="nl-NL"/>
        </w:rPr>
        <w:t xml:space="preserve"> houdend met de hierboven berekende VOS emissies. </w:t>
      </w:r>
    </w:p>
    <w:p w:rsidR="00FB29C9" w:rsidRDefault="005B5D40">
      <w:pPr>
        <w:pStyle w:val="tabel0"/>
        <w:rPr>
          <w:lang w:val="nl-BE"/>
        </w:rPr>
      </w:pPr>
      <w:r w:rsidRPr="0084474F">
        <w:rPr>
          <w:lang w:val="nl-BE"/>
        </w:rPr>
        <w:t>Tabel</w:t>
      </w:r>
      <w:r w:rsidR="009C1E15">
        <w:t xml:space="preserve"> </w:t>
      </w:r>
      <w:r w:rsidR="00C325A0">
        <w:fldChar w:fldCharType="begin"/>
      </w:r>
      <w:r w:rsidR="009C1E15">
        <w:instrText xml:space="preserve"> REF t_lucht_VOS_actueel \h </w:instrText>
      </w:r>
      <w:r w:rsidR="00C325A0">
        <w:fldChar w:fldCharType="separate"/>
      </w:r>
      <w:r w:rsidR="008102D8">
        <w:t>VIII</w:t>
      </w:r>
      <w:r w:rsidR="008102D8" w:rsidRPr="00CB3B91">
        <w:t>.2.11</w:t>
      </w:r>
      <w:r w:rsidR="00C325A0">
        <w:fldChar w:fldCharType="end"/>
      </w:r>
      <w:r w:rsidR="009C1E15">
        <w:t>:</w:t>
      </w:r>
      <w:r>
        <w:rPr>
          <w:lang w:val="nl-BE"/>
        </w:rPr>
        <w:tab/>
        <w:t>VOS-emissies actuele situatie (zonder DVI)</w:t>
      </w:r>
    </w:p>
    <w:tbl>
      <w:tblPr>
        <w:tblW w:w="738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56"/>
        <w:gridCol w:w="1318"/>
        <w:gridCol w:w="837"/>
        <w:gridCol w:w="837"/>
        <w:gridCol w:w="838"/>
      </w:tblGrid>
      <w:tr w:rsidR="005B5D40" w:rsidRPr="00701710" w:rsidTr="005B5D40">
        <w:trPr>
          <w:trHeight w:val="225"/>
        </w:trPr>
        <w:tc>
          <w:tcPr>
            <w:tcW w:w="3556" w:type="dxa"/>
            <w:shd w:val="clear" w:color="auto" w:fill="CCCCCC"/>
            <w:noWrap/>
            <w:vAlign w:val="center"/>
          </w:tcPr>
          <w:p w:rsidR="00617415" w:rsidRDefault="005B5D40">
            <w:pPr>
              <w:pStyle w:val="normaltabel"/>
              <w:keepNext/>
              <w:widowControl/>
            </w:pPr>
            <w:r w:rsidRPr="00701710">
              <w:t> </w:t>
            </w:r>
          </w:p>
        </w:tc>
        <w:tc>
          <w:tcPr>
            <w:tcW w:w="1318" w:type="dxa"/>
            <w:shd w:val="clear" w:color="auto" w:fill="CCCCCC"/>
            <w:noWrap/>
            <w:vAlign w:val="center"/>
          </w:tcPr>
          <w:p w:rsidR="00617415" w:rsidRDefault="005B5D40">
            <w:pPr>
              <w:pStyle w:val="normaltabel"/>
              <w:keepNext/>
              <w:widowControl/>
            </w:pPr>
            <w:r w:rsidRPr="00701710">
              <w:t> </w:t>
            </w:r>
          </w:p>
        </w:tc>
        <w:tc>
          <w:tcPr>
            <w:tcW w:w="837" w:type="dxa"/>
            <w:shd w:val="clear" w:color="auto" w:fill="CCCCCC"/>
            <w:noWrap/>
            <w:vAlign w:val="center"/>
          </w:tcPr>
          <w:p w:rsidR="00617415" w:rsidRDefault="005B5D40">
            <w:pPr>
              <w:pStyle w:val="normaltabel"/>
              <w:keepNext/>
              <w:widowControl/>
              <w:jc w:val="center"/>
              <w:rPr>
                <w:i/>
              </w:rPr>
            </w:pPr>
            <w:r w:rsidRPr="00701710">
              <w:rPr>
                <w:i/>
              </w:rPr>
              <w:t>2008</w:t>
            </w:r>
          </w:p>
        </w:tc>
        <w:tc>
          <w:tcPr>
            <w:tcW w:w="837" w:type="dxa"/>
            <w:shd w:val="clear" w:color="auto" w:fill="CCCCCC"/>
            <w:noWrap/>
            <w:vAlign w:val="center"/>
          </w:tcPr>
          <w:p w:rsidR="00617415" w:rsidRDefault="005B5D40">
            <w:pPr>
              <w:pStyle w:val="normaltabel"/>
              <w:keepNext/>
              <w:widowControl/>
              <w:jc w:val="center"/>
              <w:rPr>
                <w:i/>
              </w:rPr>
            </w:pPr>
            <w:r w:rsidRPr="00701710">
              <w:rPr>
                <w:i/>
              </w:rPr>
              <w:t>2009</w:t>
            </w:r>
          </w:p>
        </w:tc>
        <w:tc>
          <w:tcPr>
            <w:tcW w:w="838" w:type="dxa"/>
            <w:shd w:val="clear" w:color="auto" w:fill="CCCCCC"/>
            <w:noWrap/>
            <w:vAlign w:val="center"/>
          </w:tcPr>
          <w:p w:rsidR="00617415" w:rsidRDefault="005B5D40">
            <w:pPr>
              <w:pStyle w:val="normaltabel"/>
              <w:keepNext/>
              <w:widowControl/>
              <w:jc w:val="center"/>
              <w:rPr>
                <w:i/>
              </w:rPr>
            </w:pPr>
            <w:r w:rsidRPr="00701710">
              <w:rPr>
                <w:i/>
              </w:rPr>
              <w:t>2010</w:t>
            </w:r>
          </w:p>
        </w:tc>
      </w:tr>
      <w:tr w:rsidR="005B5D40" w:rsidRPr="00701710" w:rsidTr="005B5D40">
        <w:trPr>
          <w:trHeight w:val="225"/>
        </w:trPr>
        <w:tc>
          <w:tcPr>
            <w:tcW w:w="3556" w:type="dxa"/>
            <w:shd w:val="clear" w:color="auto" w:fill="auto"/>
            <w:noWrap/>
            <w:vAlign w:val="center"/>
          </w:tcPr>
          <w:p w:rsidR="00617415" w:rsidRDefault="005B5D40">
            <w:pPr>
              <w:pStyle w:val="normaltabel"/>
              <w:keepNext/>
              <w:widowControl/>
            </w:pPr>
            <w:r>
              <w:t>terminalcapaciteit</w:t>
            </w:r>
          </w:p>
        </w:tc>
        <w:tc>
          <w:tcPr>
            <w:tcW w:w="1318" w:type="dxa"/>
            <w:shd w:val="clear" w:color="auto" w:fill="auto"/>
            <w:noWrap/>
            <w:vAlign w:val="center"/>
          </w:tcPr>
          <w:p w:rsidR="00617415" w:rsidRDefault="005B5D40">
            <w:pPr>
              <w:pStyle w:val="normaltabel"/>
              <w:keepNext/>
              <w:widowControl/>
            </w:pPr>
            <w:r>
              <w:t>ton</w:t>
            </w:r>
          </w:p>
        </w:tc>
        <w:tc>
          <w:tcPr>
            <w:tcW w:w="2512" w:type="dxa"/>
            <w:gridSpan w:val="3"/>
            <w:shd w:val="clear" w:color="auto" w:fill="auto"/>
            <w:noWrap/>
            <w:vAlign w:val="center"/>
          </w:tcPr>
          <w:p w:rsidR="00617415" w:rsidRDefault="005B5D40">
            <w:pPr>
              <w:pStyle w:val="normaltabel"/>
              <w:keepNext/>
              <w:widowControl/>
              <w:jc w:val="center"/>
            </w:pPr>
            <w:r>
              <w:t>477855</w:t>
            </w:r>
          </w:p>
        </w:tc>
      </w:tr>
      <w:tr w:rsidR="005B5D40" w:rsidRPr="00701710" w:rsidTr="005B5D40">
        <w:trPr>
          <w:trHeight w:val="225"/>
        </w:trPr>
        <w:tc>
          <w:tcPr>
            <w:tcW w:w="3556" w:type="dxa"/>
            <w:shd w:val="clear" w:color="auto" w:fill="auto"/>
            <w:noWrap/>
            <w:vAlign w:val="center"/>
          </w:tcPr>
          <w:p w:rsidR="00617415" w:rsidRDefault="005B5D40">
            <w:pPr>
              <w:pStyle w:val="normaltabel"/>
              <w:keepNext/>
              <w:widowControl/>
            </w:pPr>
            <w:r>
              <w:t>doorzet vluchtige organische stoffen (in + uit)</w:t>
            </w:r>
          </w:p>
        </w:tc>
        <w:tc>
          <w:tcPr>
            <w:tcW w:w="1318" w:type="dxa"/>
            <w:shd w:val="clear" w:color="auto" w:fill="auto"/>
            <w:noWrap/>
            <w:vAlign w:val="center"/>
          </w:tcPr>
          <w:p w:rsidR="00617415" w:rsidRDefault="005B5D40">
            <w:pPr>
              <w:pStyle w:val="normaltabel"/>
              <w:keepNext/>
              <w:widowControl/>
            </w:pPr>
            <w:r>
              <w:t>ton/jaar</w:t>
            </w:r>
          </w:p>
        </w:tc>
        <w:tc>
          <w:tcPr>
            <w:tcW w:w="837" w:type="dxa"/>
            <w:shd w:val="clear" w:color="auto" w:fill="auto"/>
            <w:noWrap/>
            <w:vAlign w:val="center"/>
          </w:tcPr>
          <w:p w:rsidR="00617415" w:rsidRDefault="005B5D40">
            <w:pPr>
              <w:pStyle w:val="normaltabel"/>
              <w:keepNext/>
              <w:widowControl/>
              <w:jc w:val="center"/>
            </w:pPr>
            <w:r>
              <w:t>495424</w:t>
            </w:r>
          </w:p>
        </w:tc>
        <w:tc>
          <w:tcPr>
            <w:tcW w:w="837" w:type="dxa"/>
            <w:shd w:val="clear" w:color="auto" w:fill="auto"/>
            <w:noWrap/>
            <w:vAlign w:val="center"/>
          </w:tcPr>
          <w:p w:rsidR="00617415" w:rsidRDefault="005B5D40">
            <w:pPr>
              <w:pStyle w:val="normaltabel"/>
              <w:keepNext/>
              <w:widowControl/>
              <w:jc w:val="center"/>
            </w:pPr>
            <w:r>
              <w:t>519953</w:t>
            </w:r>
          </w:p>
        </w:tc>
        <w:tc>
          <w:tcPr>
            <w:tcW w:w="838" w:type="dxa"/>
            <w:shd w:val="clear" w:color="auto" w:fill="auto"/>
            <w:noWrap/>
            <w:vAlign w:val="center"/>
          </w:tcPr>
          <w:p w:rsidR="00617415" w:rsidRDefault="005B5D40">
            <w:pPr>
              <w:pStyle w:val="normaltabel"/>
              <w:keepNext/>
              <w:widowControl/>
              <w:jc w:val="center"/>
            </w:pPr>
            <w:r>
              <w:t>656443</w:t>
            </w:r>
          </w:p>
        </w:tc>
      </w:tr>
      <w:tr w:rsidR="005B5D40" w:rsidRPr="00701710" w:rsidTr="005B5D40">
        <w:trPr>
          <w:trHeight w:val="225"/>
        </w:trPr>
        <w:tc>
          <w:tcPr>
            <w:tcW w:w="3556" w:type="dxa"/>
            <w:shd w:val="clear" w:color="auto" w:fill="auto"/>
            <w:noWrap/>
            <w:vAlign w:val="center"/>
          </w:tcPr>
          <w:p w:rsidR="00617415" w:rsidRDefault="005B5D40">
            <w:pPr>
              <w:pStyle w:val="normaltabel"/>
              <w:keepNext/>
              <w:widowControl/>
            </w:pPr>
            <w:r w:rsidRPr="00701710">
              <w:t>adem- en uitdampingsverliezen</w:t>
            </w:r>
          </w:p>
        </w:tc>
        <w:tc>
          <w:tcPr>
            <w:tcW w:w="1318" w:type="dxa"/>
            <w:shd w:val="clear" w:color="auto" w:fill="auto"/>
            <w:noWrap/>
            <w:vAlign w:val="center"/>
          </w:tcPr>
          <w:p w:rsidR="00617415" w:rsidRDefault="005B5D40">
            <w:pPr>
              <w:pStyle w:val="normaltabel"/>
              <w:keepNext/>
              <w:widowControl/>
            </w:pPr>
            <w:r w:rsidRPr="00701710">
              <w:t>ton/jaar</w:t>
            </w:r>
          </w:p>
        </w:tc>
        <w:tc>
          <w:tcPr>
            <w:tcW w:w="837" w:type="dxa"/>
            <w:shd w:val="clear" w:color="auto" w:fill="auto"/>
            <w:noWrap/>
            <w:vAlign w:val="center"/>
          </w:tcPr>
          <w:p w:rsidR="00617415" w:rsidRDefault="005B5D40">
            <w:pPr>
              <w:pStyle w:val="normaltabel"/>
              <w:keepNext/>
              <w:widowControl/>
              <w:jc w:val="center"/>
            </w:pPr>
            <w:r w:rsidRPr="00701710">
              <w:t>15,8</w:t>
            </w:r>
          </w:p>
        </w:tc>
        <w:tc>
          <w:tcPr>
            <w:tcW w:w="837" w:type="dxa"/>
            <w:shd w:val="clear" w:color="auto" w:fill="auto"/>
            <w:noWrap/>
            <w:vAlign w:val="center"/>
          </w:tcPr>
          <w:p w:rsidR="00617415" w:rsidRDefault="005B5D40">
            <w:pPr>
              <w:pStyle w:val="normaltabel"/>
              <w:keepNext/>
              <w:widowControl/>
              <w:jc w:val="center"/>
            </w:pPr>
            <w:r w:rsidRPr="00701710">
              <w:t>15,8</w:t>
            </w:r>
          </w:p>
        </w:tc>
        <w:tc>
          <w:tcPr>
            <w:tcW w:w="838" w:type="dxa"/>
            <w:shd w:val="clear" w:color="auto" w:fill="auto"/>
            <w:noWrap/>
            <w:vAlign w:val="center"/>
          </w:tcPr>
          <w:p w:rsidR="00617415" w:rsidRDefault="005B5D40">
            <w:pPr>
              <w:pStyle w:val="normaltabel"/>
              <w:keepNext/>
              <w:widowControl/>
              <w:jc w:val="center"/>
            </w:pPr>
            <w:r w:rsidRPr="00701710">
              <w:t>16</w:t>
            </w:r>
          </w:p>
        </w:tc>
      </w:tr>
      <w:tr w:rsidR="005B5D40" w:rsidRPr="00701710" w:rsidTr="005B5D40">
        <w:trPr>
          <w:trHeight w:val="225"/>
        </w:trPr>
        <w:tc>
          <w:tcPr>
            <w:tcW w:w="3556" w:type="dxa"/>
            <w:shd w:val="clear" w:color="auto" w:fill="auto"/>
            <w:noWrap/>
            <w:vAlign w:val="center"/>
          </w:tcPr>
          <w:p w:rsidR="00617415" w:rsidRDefault="005B5D40">
            <w:pPr>
              <w:pStyle w:val="normaltabel"/>
              <w:keepNext/>
              <w:widowControl/>
            </w:pPr>
            <w:r w:rsidRPr="00701710">
              <w:t>verdrijvings- en uitpompingsverliezen</w:t>
            </w:r>
          </w:p>
        </w:tc>
        <w:tc>
          <w:tcPr>
            <w:tcW w:w="1318" w:type="dxa"/>
            <w:shd w:val="clear" w:color="auto" w:fill="auto"/>
            <w:noWrap/>
            <w:vAlign w:val="center"/>
          </w:tcPr>
          <w:p w:rsidR="00617415" w:rsidRDefault="005B5D40">
            <w:pPr>
              <w:pStyle w:val="normaltabel"/>
              <w:keepNext/>
              <w:widowControl/>
            </w:pPr>
            <w:r w:rsidRPr="00701710">
              <w:t>ton/jaar</w:t>
            </w:r>
          </w:p>
        </w:tc>
        <w:tc>
          <w:tcPr>
            <w:tcW w:w="837" w:type="dxa"/>
            <w:shd w:val="clear" w:color="auto" w:fill="auto"/>
            <w:noWrap/>
            <w:vAlign w:val="center"/>
          </w:tcPr>
          <w:p w:rsidR="00617415" w:rsidRDefault="005B5D40">
            <w:pPr>
              <w:pStyle w:val="normaltabel"/>
              <w:keepNext/>
              <w:widowControl/>
              <w:jc w:val="center"/>
            </w:pPr>
            <w:r w:rsidRPr="00701710">
              <w:t>21,4</w:t>
            </w:r>
          </w:p>
        </w:tc>
        <w:tc>
          <w:tcPr>
            <w:tcW w:w="837" w:type="dxa"/>
            <w:shd w:val="clear" w:color="auto" w:fill="auto"/>
            <w:noWrap/>
            <w:vAlign w:val="center"/>
          </w:tcPr>
          <w:p w:rsidR="00617415" w:rsidRDefault="005B5D40">
            <w:pPr>
              <w:pStyle w:val="normaltabel"/>
              <w:keepNext/>
              <w:widowControl/>
              <w:jc w:val="center"/>
            </w:pPr>
            <w:r w:rsidRPr="00701710">
              <w:t>12,2</w:t>
            </w:r>
          </w:p>
        </w:tc>
        <w:tc>
          <w:tcPr>
            <w:tcW w:w="838" w:type="dxa"/>
            <w:shd w:val="clear" w:color="auto" w:fill="auto"/>
            <w:noWrap/>
            <w:vAlign w:val="center"/>
          </w:tcPr>
          <w:p w:rsidR="00617415" w:rsidRDefault="005B5D40">
            <w:pPr>
              <w:pStyle w:val="normaltabel"/>
              <w:keepNext/>
              <w:widowControl/>
              <w:jc w:val="center"/>
            </w:pPr>
            <w:r w:rsidRPr="00701710">
              <w:t>25</w:t>
            </w:r>
          </w:p>
        </w:tc>
      </w:tr>
      <w:tr w:rsidR="005B5D40" w:rsidRPr="00701710" w:rsidTr="005B5D40">
        <w:trPr>
          <w:trHeight w:val="225"/>
        </w:trPr>
        <w:tc>
          <w:tcPr>
            <w:tcW w:w="3556" w:type="dxa"/>
            <w:shd w:val="clear" w:color="auto" w:fill="auto"/>
            <w:noWrap/>
            <w:vAlign w:val="center"/>
          </w:tcPr>
          <w:p w:rsidR="00617415" w:rsidRDefault="005B5D40">
            <w:pPr>
              <w:pStyle w:val="normaltabel"/>
              <w:keepNext/>
              <w:widowControl/>
            </w:pPr>
            <w:r w:rsidRPr="00701710">
              <w:t>beladingsverliezen</w:t>
            </w:r>
          </w:p>
        </w:tc>
        <w:tc>
          <w:tcPr>
            <w:tcW w:w="1318" w:type="dxa"/>
            <w:shd w:val="clear" w:color="auto" w:fill="auto"/>
            <w:noWrap/>
            <w:vAlign w:val="center"/>
          </w:tcPr>
          <w:p w:rsidR="00617415" w:rsidRDefault="005B5D40">
            <w:pPr>
              <w:pStyle w:val="normaltabel"/>
              <w:keepNext/>
              <w:widowControl/>
            </w:pPr>
            <w:r w:rsidRPr="00701710">
              <w:t>ton/jaar</w:t>
            </w:r>
          </w:p>
        </w:tc>
        <w:tc>
          <w:tcPr>
            <w:tcW w:w="837" w:type="dxa"/>
            <w:shd w:val="clear" w:color="auto" w:fill="auto"/>
            <w:noWrap/>
            <w:vAlign w:val="center"/>
          </w:tcPr>
          <w:p w:rsidR="00617415" w:rsidRDefault="005B5D40">
            <w:pPr>
              <w:pStyle w:val="normaltabel"/>
              <w:keepNext/>
              <w:widowControl/>
              <w:jc w:val="center"/>
            </w:pPr>
            <w:r w:rsidRPr="00701710">
              <w:t>14,5</w:t>
            </w:r>
          </w:p>
        </w:tc>
        <w:tc>
          <w:tcPr>
            <w:tcW w:w="837" w:type="dxa"/>
            <w:shd w:val="clear" w:color="auto" w:fill="auto"/>
            <w:noWrap/>
            <w:vAlign w:val="center"/>
          </w:tcPr>
          <w:p w:rsidR="00617415" w:rsidRDefault="005B5D40">
            <w:pPr>
              <w:pStyle w:val="normaltabel"/>
              <w:keepNext/>
              <w:widowControl/>
              <w:jc w:val="center"/>
            </w:pPr>
            <w:r w:rsidRPr="00701710">
              <w:t>11,4</w:t>
            </w:r>
          </w:p>
        </w:tc>
        <w:tc>
          <w:tcPr>
            <w:tcW w:w="838" w:type="dxa"/>
            <w:shd w:val="clear" w:color="auto" w:fill="auto"/>
            <w:noWrap/>
            <w:vAlign w:val="center"/>
          </w:tcPr>
          <w:p w:rsidR="00617415" w:rsidRDefault="005B5D40">
            <w:pPr>
              <w:pStyle w:val="normaltabel"/>
              <w:keepNext/>
              <w:widowControl/>
              <w:jc w:val="center"/>
            </w:pPr>
            <w:r w:rsidRPr="00701710">
              <w:t>15</w:t>
            </w:r>
          </w:p>
        </w:tc>
      </w:tr>
      <w:tr w:rsidR="005B5D40" w:rsidRPr="00701710" w:rsidTr="005B5D40">
        <w:trPr>
          <w:trHeight w:val="225"/>
        </w:trPr>
        <w:tc>
          <w:tcPr>
            <w:tcW w:w="3556" w:type="dxa"/>
            <w:shd w:val="clear" w:color="auto" w:fill="auto"/>
            <w:noWrap/>
            <w:vAlign w:val="center"/>
          </w:tcPr>
          <w:p w:rsidR="00617415" w:rsidRDefault="005B5D40">
            <w:pPr>
              <w:pStyle w:val="normaltabel"/>
              <w:keepNext/>
              <w:widowControl/>
            </w:pPr>
            <w:r w:rsidRPr="00701710">
              <w:t>Totaal</w:t>
            </w:r>
            <w:r>
              <w:t>, exclusief lekemissies</w:t>
            </w:r>
          </w:p>
        </w:tc>
        <w:tc>
          <w:tcPr>
            <w:tcW w:w="1318" w:type="dxa"/>
            <w:shd w:val="clear" w:color="auto" w:fill="auto"/>
            <w:noWrap/>
            <w:vAlign w:val="center"/>
          </w:tcPr>
          <w:p w:rsidR="00617415" w:rsidRDefault="005B5D40">
            <w:pPr>
              <w:pStyle w:val="normaltabel"/>
              <w:keepNext/>
              <w:widowControl/>
            </w:pPr>
            <w:r w:rsidRPr="00701710">
              <w:t>ton/jaar</w:t>
            </w:r>
          </w:p>
        </w:tc>
        <w:tc>
          <w:tcPr>
            <w:tcW w:w="837" w:type="dxa"/>
            <w:shd w:val="clear" w:color="auto" w:fill="auto"/>
            <w:noWrap/>
            <w:vAlign w:val="center"/>
          </w:tcPr>
          <w:p w:rsidR="00617415" w:rsidRDefault="005B5D40">
            <w:pPr>
              <w:pStyle w:val="normaltabel"/>
              <w:keepNext/>
              <w:widowControl/>
              <w:jc w:val="center"/>
            </w:pPr>
            <w:r w:rsidRPr="00701710">
              <w:t>51,7</w:t>
            </w:r>
          </w:p>
        </w:tc>
        <w:tc>
          <w:tcPr>
            <w:tcW w:w="837" w:type="dxa"/>
            <w:shd w:val="clear" w:color="auto" w:fill="auto"/>
            <w:noWrap/>
            <w:vAlign w:val="center"/>
          </w:tcPr>
          <w:p w:rsidR="00617415" w:rsidRDefault="005B5D40">
            <w:pPr>
              <w:pStyle w:val="normaltabel"/>
              <w:keepNext/>
              <w:widowControl/>
              <w:jc w:val="center"/>
            </w:pPr>
            <w:r w:rsidRPr="00701710">
              <w:t>39,4</w:t>
            </w:r>
          </w:p>
        </w:tc>
        <w:tc>
          <w:tcPr>
            <w:tcW w:w="838" w:type="dxa"/>
            <w:shd w:val="clear" w:color="auto" w:fill="auto"/>
            <w:noWrap/>
            <w:vAlign w:val="center"/>
          </w:tcPr>
          <w:p w:rsidR="00617415" w:rsidRDefault="005B5D40">
            <w:pPr>
              <w:pStyle w:val="normaltabel"/>
              <w:keepNext/>
              <w:widowControl/>
              <w:jc w:val="center"/>
            </w:pPr>
            <w:r w:rsidRPr="00701710">
              <w:t>56</w:t>
            </w:r>
          </w:p>
        </w:tc>
      </w:tr>
      <w:tr w:rsidR="005B5D40" w:rsidRPr="00701710" w:rsidTr="005B5D40">
        <w:trPr>
          <w:trHeight w:val="225"/>
        </w:trPr>
        <w:tc>
          <w:tcPr>
            <w:tcW w:w="3556" w:type="dxa"/>
            <w:shd w:val="clear" w:color="auto" w:fill="auto"/>
            <w:noWrap/>
            <w:vAlign w:val="center"/>
          </w:tcPr>
          <w:p w:rsidR="00617415" w:rsidRDefault="005B5D40">
            <w:pPr>
              <w:pStyle w:val="normaltabel"/>
              <w:keepNext/>
              <w:widowControl/>
            </w:pPr>
            <w:r>
              <w:t>Potentiële lekemissies</w:t>
            </w:r>
          </w:p>
        </w:tc>
        <w:tc>
          <w:tcPr>
            <w:tcW w:w="1318" w:type="dxa"/>
            <w:shd w:val="clear" w:color="auto" w:fill="auto"/>
            <w:noWrap/>
            <w:vAlign w:val="center"/>
          </w:tcPr>
          <w:p w:rsidR="00617415" w:rsidRDefault="005B5D40">
            <w:pPr>
              <w:pStyle w:val="normaltabel"/>
              <w:keepNext/>
              <w:widowControl/>
            </w:pPr>
            <w:r>
              <w:t>Ton/jaar</w:t>
            </w:r>
          </w:p>
        </w:tc>
        <w:tc>
          <w:tcPr>
            <w:tcW w:w="837" w:type="dxa"/>
            <w:shd w:val="clear" w:color="auto" w:fill="auto"/>
            <w:noWrap/>
            <w:vAlign w:val="center"/>
          </w:tcPr>
          <w:p w:rsidR="00617415" w:rsidRDefault="00617415">
            <w:pPr>
              <w:pStyle w:val="normaltabel"/>
              <w:keepNext/>
              <w:widowControl/>
              <w:jc w:val="center"/>
            </w:pPr>
          </w:p>
        </w:tc>
        <w:tc>
          <w:tcPr>
            <w:tcW w:w="837" w:type="dxa"/>
            <w:shd w:val="clear" w:color="auto" w:fill="auto"/>
            <w:noWrap/>
            <w:vAlign w:val="center"/>
          </w:tcPr>
          <w:p w:rsidR="00617415" w:rsidRDefault="00617415">
            <w:pPr>
              <w:pStyle w:val="normaltabel"/>
              <w:keepNext/>
              <w:widowControl/>
              <w:jc w:val="center"/>
            </w:pPr>
          </w:p>
        </w:tc>
        <w:tc>
          <w:tcPr>
            <w:tcW w:w="838" w:type="dxa"/>
            <w:shd w:val="clear" w:color="auto" w:fill="auto"/>
            <w:noWrap/>
            <w:vAlign w:val="center"/>
          </w:tcPr>
          <w:p w:rsidR="00617415" w:rsidRDefault="005B5D40">
            <w:pPr>
              <w:pStyle w:val="normaltabel"/>
              <w:keepNext/>
              <w:widowControl/>
              <w:jc w:val="center"/>
            </w:pPr>
            <w:r>
              <w:t>9</w:t>
            </w:r>
          </w:p>
        </w:tc>
      </w:tr>
      <w:tr w:rsidR="005B5D40" w:rsidRPr="00701710" w:rsidTr="005B5D40">
        <w:trPr>
          <w:trHeight w:val="225"/>
        </w:trPr>
        <w:tc>
          <w:tcPr>
            <w:tcW w:w="3556" w:type="dxa"/>
            <w:shd w:val="clear" w:color="auto" w:fill="auto"/>
            <w:noWrap/>
            <w:vAlign w:val="center"/>
          </w:tcPr>
          <w:p w:rsidR="00617415" w:rsidRDefault="005B5D40">
            <w:pPr>
              <w:pStyle w:val="normaltabel"/>
              <w:keepNext/>
              <w:widowControl/>
            </w:pPr>
            <w:r>
              <w:t>Totaal VOS emissies</w:t>
            </w:r>
          </w:p>
        </w:tc>
        <w:tc>
          <w:tcPr>
            <w:tcW w:w="1318" w:type="dxa"/>
            <w:shd w:val="clear" w:color="auto" w:fill="auto"/>
            <w:noWrap/>
            <w:vAlign w:val="center"/>
          </w:tcPr>
          <w:p w:rsidR="00617415" w:rsidRDefault="00617415">
            <w:pPr>
              <w:pStyle w:val="normaltabel"/>
              <w:keepNext/>
              <w:widowControl/>
            </w:pPr>
          </w:p>
        </w:tc>
        <w:tc>
          <w:tcPr>
            <w:tcW w:w="837" w:type="dxa"/>
            <w:shd w:val="clear" w:color="auto" w:fill="auto"/>
            <w:noWrap/>
            <w:vAlign w:val="center"/>
          </w:tcPr>
          <w:p w:rsidR="00617415" w:rsidRDefault="00617415">
            <w:pPr>
              <w:pStyle w:val="normaltabel"/>
              <w:keepNext/>
              <w:widowControl/>
              <w:jc w:val="center"/>
            </w:pPr>
          </w:p>
        </w:tc>
        <w:tc>
          <w:tcPr>
            <w:tcW w:w="837" w:type="dxa"/>
            <w:shd w:val="clear" w:color="auto" w:fill="auto"/>
            <w:noWrap/>
            <w:vAlign w:val="center"/>
          </w:tcPr>
          <w:p w:rsidR="00617415" w:rsidRDefault="00617415">
            <w:pPr>
              <w:pStyle w:val="normaltabel"/>
              <w:keepNext/>
              <w:widowControl/>
              <w:jc w:val="center"/>
            </w:pPr>
          </w:p>
        </w:tc>
        <w:tc>
          <w:tcPr>
            <w:tcW w:w="838" w:type="dxa"/>
            <w:shd w:val="clear" w:color="auto" w:fill="auto"/>
            <w:noWrap/>
            <w:vAlign w:val="center"/>
          </w:tcPr>
          <w:p w:rsidR="00617415" w:rsidRDefault="005B5D40">
            <w:pPr>
              <w:pStyle w:val="normaltabel"/>
              <w:keepNext/>
              <w:widowControl/>
              <w:jc w:val="center"/>
            </w:pPr>
            <w:r>
              <w:t>65</w:t>
            </w:r>
          </w:p>
        </w:tc>
      </w:tr>
    </w:tbl>
    <w:p w:rsidR="005B5D40" w:rsidRDefault="005B5D40" w:rsidP="005B5D40">
      <w:pPr>
        <w:rPr>
          <w:lang w:val="nl-NL"/>
        </w:rPr>
      </w:pPr>
    </w:p>
    <w:p w:rsidR="005B5D40" w:rsidRDefault="005B5D40" w:rsidP="005B5D40">
      <w:pPr>
        <w:rPr>
          <w:lang w:val="nl-NL"/>
        </w:rPr>
      </w:pPr>
      <w:r w:rsidRPr="00CE6581">
        <w:rPr>
          <w:lang w:val="nl-NL"/>
        </w:rPr>
        <w:t xml:space="preserve">Teneinde de vergelijkbaarheid met de </w:t>
      </w:r>
      <w:r>
        <w:rPr>
          <w:lang w:val="nl-NL"/>
        </w:rPr>
        <w:t>geplande</w:t>
      </w:r>
      <w:r w:rsidRPr="00CE6581">
        <w:rPr>
          <w:lang w:val="nl-NL"/>
        </w:rPr>
        <w:t xml:space="preserve"> situatie mogelijk te maken</w:t>
      </w:r>
      <w:r>
        <w:rPr>
          <w:lang w:val="nl-NL"/>
        </w:rPr>
        <w:t>,</w:t>
      </w:r>
      <w:r w:rsidRPr="00CE6581">
        <w:rPr>
          <w:lang w:val="nl-NL"/>
        </w:rPr>
        <w:t xml:space="preserve"> wordt bij de impactberekening een theoretische verdeling van de emissies over de verschillende tankenparken en laadstations gehanteerd en niet de verdeling zoals deze zich bvb</w:t>
      </w:r>
      <w:r>
        <w:rPr>
          <w:lang w:val="nl-NL"/>
        </w:rPr>
        <w:t>. effectief</w:t>
      </w:r>
      <w:r w:rsidRPr="00CE6581">
        <w:rPr>
          <w:lang w:val="nl-NL"/>
        </w:rPr>
        <w:t xml:space="preserve"> in 20</w:t>
      </w:r>
      <w:r>
        <w:rPr>
          <w:lang w:val="nl-NL"/>
        </w:rPr>
        <w:t>10</w:t>
      </w:r>
      <w:r w:rsidRPr="00CE6581">
        <w:rPr>
          <w:lang w:val="nl-NL"/>
        </w:rPr>
        <w:t xml:space="preserve"> heeft voorgedaan. Ook omwille van het feit dat de werkelijke verdeling van de emissies jaar na jaar kan wijzigen wordt best met een globale verdeling gewerkt. </w:t>
      </w:r>
    </w:p>
    <w:p w:rsidR="005B5D40" w:rsidRPr="00B37DC4" w:rsidRDefault="005B5D40" w:rsidP="005B5D40">
      <w:pPr>
        <w:rPr>
          <w:lang w:val="nl-NL"/>
        </w:rPr>
      </w:pPr>
      <w:r w:rsidRPr="00B37DC4">
        <w:rPr>
          <w:lang w:val="nl-NL"/>
        </w:rPr>
        <w:t xml:space="preserve">Een probleem dat zich bij </w:t>
      </w:r>
      <w:r>
        <w:rPr>
          <w:lang w:val="nl-NL"/>
        </w:rPr>
        <w:t>IFDM-modellering</w:t>
      </w:r>
      <w:r w:rsidRPr="00B37DC4">
        <w:rPr>
          <w:lang w:val="nl-NL"/>
        </w:rPr>
        <w:t xml:space="preserve"> voordoet</w:t>
      </w:r>
      <w:r>
        <w:rPr>
          <w:lang w:val="nl-NL"/>
        </w:rPr>
        <w:t>,</w:t>
      </w:r>
      <w:r w:rsidRPr="00B37DC4">
        <w:rPr>
          <w:lang w:val="nl-NL"/>
        </w:rPr>
        <w:t xml:space="preserve"> is het vastleggen van de periode waarbij de emissies zich voordoen, en de moeilijkheden om deze gegevens in het rekenmodel in te voeren (de mogelijkheden hierbij zijn beperkt)</w:t>
      </w:r>
      <w:r>
        <w:rPr>
          <w:lang w:val="nl-NL"/>
        </w:rPr>
        <w:t>:</w:t>
      </w:r>
      <w:r w:rsidRPr="00B37DC4">
        <w:rPr>
          <w:lang w:val="nl-NL"/>
        </w:rPr>
        <w:t xml:space="preserve"> </w:t>
      </w:r>
    </w:p>
    <w:p w:rsidR="005B5D40" w:rsidRDefault="005B5D40" w:rsidP="005B5D40">
      <w:pPr>
        <w:pStyle w:val="ListParagraph"/>
        <w:numPr>
          <w:ilvl w:val="0"/>
          <w:numId w:val="67"/>
        </w:numPr>
        <w:ind w:left="284" w:hanging="142"/>
        <w:jc w:val="left"/>
        <w:rPr>
          <w:lang w:val="nl-NL"/>
        </w:rPr>
      </w:pPr>
      <w:r w:rsidRPr="003C7963">
        <w:rPr>
          <w:lang w:val="nl-NL"/>
        </w:rPr>
        <w:t>Zo treden de verplaatsingsverliezen uiteraard slechts op bij de laad-en losactiviteiten.</w:t>
      </w:r>
      <w:r>
        <w:rPr>
          <w:lang w:val="nl-NL"/>
        </w:rPr>
        <w:t xml:space="preserve"> Deze zijn modelmatig niet in kaart te brengen</w:t>
      </w:r>
    </w:p>
    <w:p w:rsidR="005B5D40" w:rsidRDefault="005B5D40" w:rsidP="005B5D40">
      <w:pPr>
        <w:pStyle w:val="ListParagraph"/>
        <w:numPr>
          <w:ilvl w:val="0"/>
          <w:numId w:val="67"/>
        </w:numPr>
        <w:ind w:left="284" w:hanging="142"/>
        <w:jc w:val="left"/>
        <w:rPr>
          <w:lang w:val="nl-NL"/>
        </w:rPr>
      </w:pPr>
      <w:r w:rsidRPr="003C7963">
        <w:rPr>
          <w:lang w:val="nl-NL"/>
        </w:rPr>
        <w:t xml:space="preserve">De ademhalingsverliezen daarentegen treden periodiek op, en dan enkel nog maar tijdens een korte periode overdag. Hierbij zullen de drukkleppen, na een periode van drukopbouw, kortstondig openen waarna de overmaat gas zal ontsnappen. Het is dus zeker geen continue emissie. Gezien de ademhalingsverliezen veruit de belangrijkste zijn (maken ongeveer </w:t>
      </w:r>
      <w:r>
        <w:rPr>
          <w:lang w:val="nl-NL"/>
        </w:rPr>
        <w:t>4</w:t>
      </w:r>
      <w:r w:rsidRPr="003C7963">
        <w:rPr>
          <w:lang w:val="nl-NL"/>
        </w:rPr>
        <w:t>0 % uit van de berekende tankparkverliezen) is het aan te raden bij de modelberekening slechts een beperkt aantal effectieve emissieperiodes in rekening te brengen. Bijkomend dient dan nog rekening gehouden te worden met het feit dat niet alle opslagtanks gelijktijdig gevuld worden, noch op hetzelfde ogenblik de ademhalingsverliezen optreden (de drukkleppen van de tanks zullen, behoudens louter toeval, niet op hetzelfde tijdstip open gaan).</w:t>
      </w:r>
    </w:p>
    <w:p w:rsidR="005B5D40" w:rsidRDefault="005B5D40" w:rsidP="005B5D40">
      <w:pPr>
        <w:pStyle w:val="ListParagraph"/>
        <w:numPr>
          <w:ilvl w:val="0"/>
          <w:numId w:val="67"/>
        </w:numPr>
        <w:ind w:left="284" w:hanging="142"/>
        <w:jc w:val="left"/>
        <w:rPr>
          <w:lang w:val="nl-NL"/>
        </w:rPr>
      </w:pPr>
      <w:r>
        <w:rPr>
          <w:lang w:val="nl-NL"/>
        </w:rPr>
        <w:t>Gezien de wijze van berekeningen louter een beoordeling van de gemiddelde impactbijdrage mogelijk maakt, heeft het modelmatig  hanteren van continue bronnen nauwelijks of geen impact op de nauwkeurigheid van de berekeningen</w:t>
      </w:r>
    </w:p>
    <w:p w:rsidR="005B5D40" w:rsidRDefault="005B5D40" w:rsidP="005B5D40">
      <w:pPr>
        <w:pStyle w:val="ListParagraph"/>
        <w:numPr>
          <w:ilvl w:val="0"/>
          <w:numId w:val="67"/>
        </w:numPr>
        <w:ind w:left="284" w:hanging="142"/>
        <w:jc w:val="left"/>
        <w:rPr>
          <w:lang w:val="nl-NL"/>
        </w:rPr>
      </w:pPr>
      <w:r>
        <w:rPr>
          <w:lang w:val="nl-NL"/>
        </w:rPr>
        <w:lastRenderedPageBreak/>
        <w:t>Omwille van de aanzienlijke verstoring die de tanks veroorzaken op de dispersie, en om rekening te houden met het zgn. “buiding wash down syndroon” (waarbij windafwaarts een groot gebouw, en dus ook de opslagtanks een onderdruk ontstaat die een negatieve impact heeft op de dispersie) wordt als emissiehoogte slechts de helft van de hoogte van de tanks gehanteerd.</w:t>
      </w:r>
    </w:p>
    <w:p w:rsidR="005B5D40" w:rsidRDefault="005B5D40" w:rsidP="005B5D40">
      <w:pPr>
        <w:rPr>
          <w:lang w:val="nl-NL"/>
        </w:rPr>
      </w:pPr>
      <w:r w:rsidRPr="00B37DC4">
        <w:rPr>
          <w:lang w:val="nl-NL"/>
        </w:rPr>
        <w:t xml:space="preserve">Deze </w:t>
      </w:r>
      <w:r>
        <w:rPr>
          <w:lang w:val="nl-NL"/>
        </w:rPr>
        <w:t>aannames laten</w:t>
      </w:r>
      <w:r w:rsidRPr="00B37DC4">
        <w:rPr>
          <w:lang w:val="nl-NL"/>
        </w:rPr>
        <w:t xml:space="preserve"> uiteraard enkel toe om een jaargemiddelde belasting voldoende nauwkeurig te beoordelen.</w:t>
      </w:r>
    </w:p>
    <w:p w:rsidR="005B5D40" w:rsidRDefault="005B5D40" w:rsidP="005B5D40">
      <w:pPr>
        <w:rPr>
          <w:lang w:val="nl-NL"/>
        </w:rPr>
      </w:pPr>
      <w:r>
        <w:rPr>
          <w:lang w:val="nl-NL"/>
        </w:rPr>
        <w:t xml:space="preserve">Voorts dient ook opgemerkt te worden dat </w:t>
      </w:r>
      <w:r w:rsidRPr="00B37DC4">
        <w:rPr>
          <w:lang w:val="nl-NL"/>
        </w:rPr>
        <w:t xml:space="preserve"> de onzekerheden bij de b</w:t>
      </w:r>
      <w:r>
        <w:rPr>
          <w:lang w:val="nl-NL"/>
        </w:rPr>
        <w:t>erekening van de impactbijdrage</w:t>
      </w:r>
      <w:r w:rsidRPr="00B37DC4">
        <w:rPr>
          <w:lang w:val="nl-NL"/>
        </w:rPr>
        <w:t xml:space="preserve"> zeer aanzienlijk kunnen zijn</w:t>
      </w:r>
      <w:r>
        <w:rPr>
          <w:lang w:val="nl-NL"/>
        </w:rPr>
        <w:t xml:space="preserve"> (te wijten aan b</w:t>
      </w:r>
      <w:r w:rsidRPr="00B37DC4">
        <w:rPr>
          <w:lang w:val="nl-NL"/>
        </w:rPr>
        <w:t>erekening van emissies</w:t>
      </w:r>
      <w:r>
        <w:rPr>
          <w:lang w:val="nl-NL"/>
        </w:rPr>
        <w:t>, d</w:t>
      </w:r>
      <w:r w:rsidRPr="00B37DC4">
        <w:rPr>
          <w:lang w:val="nl-NL"/>
        </w:rPr>
        <w:t>ispersie</w:t>
      </w:r>
      <w:r>
        <w:rPr>
          <w:lang w:val="nl-NL"/>
        </w:rPr>
        <w:t>, m</w:t>
      </w:r>
      <w:r w:rsidRPr="00B37DC4">
        <w:rPr>
          <w:lang w:val="nl-NL"/>
        </w:rPr>
        <w:t>odelmatige dispersiefactoren welke afwijken t.o.v. werkelijke situatie</w:t>
      </w:r>
      <w:r>
        <w:rPr>
          <w:lang w:val="nl-NL"/>
        </w:rPr>
        <w:t>, m</w:t>
      </w:r>
      <w:r w:rsidRPr="00B37DC4">
        <w:rPr>
          <w:lang w:val="nl-NL"/>
        </w:rPr>
        <w:t>eteo omstandigheden die ook op jaarbasis sterk kunnen varieren</w:t>
      </w:r>
      <w:r>
        <w:rPr>
          <w:lang w:val="nl-NL"/>
        </w:rPr>
        <w:t>, gebruik van meteo Mol die aanzienlijk verschilt van deze te Antwerpen (zeker ten aanzien van een sterk bepalende factor zoals windsnelheid), invloed gebouwen,….).</w:t>
      </w:r>
    </w:p>
    <w:p w:rsidR="005B5D40" w:rsidRDefault="005B5D40" w:rsidP="005B5D40">
      <w:pPr>
        <w:pStyle w:val="Heading6"/>
        <w:jc w:val="left"/>
      </w:pPr>
      <w:bookmarkStart w:id="856" w:name="_Toc312069290"/>
      <w:r>
        <w:t>VOS-totaal</w:t>
      </w:r>
      <w:bookmarkEnd w:id="856"/>
    </w:p>
    <w:p w:rsidR="005B5D40" w:rsidRDefault="005B5D40" w:rsidP="005B5D40">
      <w:pPr>
        <w:rPr>
          <w:lang w:val="nl-NL"/>
        </w:rPr>
      </w:pPr>
      <w:r>
        <w:rPr>
          <w:lang w:val="nl-NL"/>
        </w:rPr>
        <w:t>Wat betreft de impact van de VOS-emissies in de huidige situatie, is enkel een modellering van de totale VOS-emissie uitgevoerd</w:t>
      </w:r>
      <w:r>
        <w:rPr>
          <w:rStyle w:val="FootnoteReference"/>
          <w:lang w:val="nl-NL"/>
        </w:rPr>
        <w:footnoteReference w:id="55"/>
      </w:r>
      <w:r>
        <w:rPr>
          <w:lang w:val="nl-NL"/>
        </w:rPr>
        <w:t xml:space="preserve"> voor de situatie na in dienstname van de DVI (gezien deze situatie zal gebruikt worden om de impact van de uitbreiding op zich te beoordelen</w:t>
      </w:r>
      <w:r w:rsidR="00744234" w:rsidRPr="00744234">
        <w:rPr>
          <w:lang w:val="nl-NL"/>
        </w:rPr>
        <w:t xml:space="preserve"> </w:t>
      </w:r>
      <w:r w:rsidR="00744234">
        <w:rPr>
          <w:lang w:val="nl-NL"/>
        </w:rPr>
        <w:t>en gezien de DVI sowieso in dienst genomen wordt om vanaf 1/1/2012 aan de wettelijke vereisten inzake emissiereductie te kunnen voldoen).</w:t>
      </w:r>
      <w:r>
        <w:rPr>
          <w:lang w:val="nl-NL"/>
        </w:rPr>
        <w:t xml:space="preserve"> Om de impact te begroten van de situatie zonder DVI wordt de berekende impact gecorrigeerd  voor de verhouding van de emissies.</w:t>
      </w:r>
      <w:r w:rsidRPr="00BD0E94">
        <w:rPr>
          <w:lang w:val="nl-NL"/>
        </w:rPr>
        <w:t xml:space="preserve"> </w:t>
      </w:r>
      <w:r>
        <w:rPr>
          <w:lang w:val="nl-NL"/>
        </w:rPr>
        <w:t>Bij de berekeningen werd rekening gehouden met de VOS verliezen, inclusief potentiële lekemissies.</w:t>
      </w:r>
    </w:p>
    <w:p w:rsidR="003A0E0B" w:rsidRDefault="005B5D40" w:rsidP="005B5D40">
      <w:pPr>
        <w:rPr>
          <w:lang w:val="nl-NL"/>
        </w:rPr>
      </w:pPr>
      <w:r>
        <w:rPr>
          <w:lang w:val="nl-NL"/>
        </w:rPr>
        <w:t>De resultaten van de modellering worden visueel voorgesteld in figuur</w:t>
      </w:r>
      <w:r w:rsidR="003A0E0B">
        <w:rPr>
          <w:lang w:val="nl-NL"/>
        </w:rPr>
        <w:t xml:space="preserve"> </w:t>
      </w:r>
      <w:r w:rsidR="00C325A0">
        <w:rPr>
          <w:lang w:val="nl-NL"/>
        </w:rPr>
        <w:fldChar w:fldCharType="begin"/>
      </w:r>
      <w:r w:rsidR="003A0E0B">
        <w:rPr>
          <w:lang w:val="nl-NL"/>
        </w:rPr>
        <w:instrText xml:space="preserve"> REF f_lucht_impact_real_verg \h </w:instrText>
      </w:r>
      <w:r w:rsidR="00C325A0">
        <w:rPr>
          <w:lang w:val="nl-NL"/>
        </w:rPr>
      </w:r>
      <w:r w:rsidR="00C325A0">
        <w:rPr>
          <w:lang w:val="nl-NL"/>
        </w:rPr>
        <w:fldChar w:fldCharType="separate"/>
      </w:r>
      <w:r w:rsidR="008102D8">
        <w:t>VIII.2.2</w:t>
      </w:r>
      <w:r w:rsidR="00C325A0">
        <w:rPr>
          <w:lang w:val="nl-NL"/>
        </w:rPr>
        <w:fldChar w:fldCharType="end"/>
      </w:r>
      <w:r>
        <w:rPr>
          <w:lang w:val="nl-NL"/>
        </w:rPr>
        <w:t xml:space="preserve">. </w:t>
      </w:r>
    </w:p>
    <w:p w:rsidR="003A0E0B" w:rsidRDefault="005B5D40" w:rsidP="003A0E0B">
      <w:pPr>
        <w:keepNext/>
      </w:pPr>
      <w:r>
        <w:rPr>
          <w:rFonts w:cs="Arial"/>
          <w:noProof/>
        </w:rPr>
        <w:lastRenderedPageBreak/>
        <w:drawing>
          <wp:inline distT="0" distB="0" distL="0" distR="0">
            <wp:extent cx="5733415" cy="4096233"/>
            <wp:effectExtent l="0" t="0" r="0" b="0"/>
            <wp:docPr id="1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cstate="print"/>
                    <a:srcRect/>
                    <a:stretch>
                      <a:fillRect/>
                    </a:stretch>
                  </pic:blipFill>
                  <pic:spPr bwMode="auto">
                    <a:xfrm>
                      <a:off x="0" y="0"/>
                      <a:ext cx="5733415" cy="4096233"/>
                    </a:xfrm>
                    <a:prstGeom prst="rect">
                      <a:avLst/>
                    </a:prstGeom>
                    <a:noFill/>
                    <a:ln w="9525">
                      <a:noFill/>
                      <a:miter lim="800000"/>
                      <a:headEnd/>
                      <a:tailEnd/>
                    </a:ln>
                  </pic:spPr>
                </pic:pic>
              </a:graphicData>
            </a:graphic>
          </wp:inline>
        </w:drawing>
      </w:r>
    </w:p>
    <w:p w:rsidR="005B5D40" w:rsidRDefault="003A0E0B" w:rsidP="003A0E0B">
      <w:pPr>
        <w:pStyle w:val="Caption"/>
      </w:pPr>
      <w:r>
        <w:t xml:space="preserve">Figuur </w:t>
      </w:r>
      <w:r w:rsidR="00C325A0">
        <w:fldChar w:fldCharType="begin"/>
      </w:r>
      <w:r>
        <w:instrText xml:space="preserve"> REF f_lucht_impact_real_verg \h </w:instrText>
      </w:r>
      <w:r w:rsidR="00C325A0">
        <w:fldChar w:fldCharType="separate"/>
      </w:r>
      <w:r w:rsidR="008102D8">
        <w:t>VIII.2.2</w:t>
      </w:r>
      <w:r w:rsidR="00C325A0">
        <w:fldChar w:fldCharType="end"/>
      </w:r>
      <w:r>
        <w:t xml:space="preserve"> Weergave van modelleringresultaten voor VOS emissies in het realistisch scenario voor actueel vergunde situatie</w:t>
      </w:r>
    </w:p>
    <w:p w:rsidR="003A0E0B" w:rsidRPr="003A0E0B" w:rsidRDefault="003A0E0B" w:rsidP="003A0E0B"/>
    <w:p w:rsidR="005B5D40" w:rsidRDefault="005B5D40" w:rsidP="005B5D40">
      <w:pPr>
        <w:rPr>
          <w:rFonts w:cs="Arial"/>
        </w:rPr>
      </w:pPr>
      <w:r>
        <w:rPr>
          <w:rFonts w:cs="Arial"/>
        </w:rPr>
        <w:t xml:space="preserve">De bijdrage t.h.v. verschillende beoordelingspunten </w:t>
      </w:r>
      <w:r w:rsidR="00414EC8">
        <w:rPr>
          <w:rFonts w:cs="Arial"/>
        </w:rPr>
        <w:t xml:space="preserve">in het industriegebied (onmiddellijke omgeving van het bedrijf) </w:t>
      </w:r>
      <w:r>
        <w:rPr>
          <w:rFonts w:cs="Arial"/>
        </w:rPr>
        <w:t>wordt in onderstaande tabel weergegeven. Als beoordelingspunten werden punten gekozen op de Polderdijkweg en de Scheldelaan. Om tevens in de andere windrichtingen ook over beoordelingspunten te beschikken werden deze gekozen op een afstand van 400 m (komt quasi overeen met de afstand van de perceelsgrens tot het beoordelingspunt op de Scheldelaan)</w:t>
      </w:r>
    </w:p>
    <w:p w:rsidR="005B5D40" w:rsidRDefault="005B5D40" w:rsidP="005B5D40">
      <w:pPr>
        <w:rPr>
          <w:rFonts w:cs="Arial"/>
        </w:rPr>
      </w:pPr>
    </w:p>
    <w:p w:rsidR="005B5D40" w:rsidRDefault="005B5D40" w:rsidP="005B5D40">
      <w:pPr>
        <w:pStyle w:val="tabel0"/>
      </w:pPr>
      <w:r>
        <w:t>Tabel</w:t>
      </w:r>
      <w:r w:rsidR="009C1E15">
        <w:t xml:space="preserve"> </w:t>
      </w:r>
      <w:r w:rsidR="00C325A0">
        <w:fldChar w:fldCharType="begin"/>
      </w:r>
      <w:r w:rsidR="009C1E15">
        <w:instrText xml:space="preserve"> REF t_lucht_VOS_bijdrage_ref_act \h </w:instrText>
      </w:r>
      <w:r w:rsidR="00C325A0">
        <w:fldChar w:fldCharType="separate"/>
      </w:r>
      <w:r w:rsidR="008102D8">
        <w:t>VIII.2.12</w:t>
      </w:r>
      <w:r w:rsidR="00C325A0">
        <w:fldChar w:fldCharType="end"/>
      </w:r>
      <w:r w:rsidR="009C1E15">
        <w:t xml:space="preserve">: </w:t>
      </w:r>
      <w:r>
        <w:t>Overzicht berekende bijdrage in µg/m³ VOS t.h.v. verschillende beoordelingspunten in referentie situatie (met DVI) en actuele situatie (zonder ingebruikname DVI)</w:t>
      </w:r>
    </w:p>
    <w:tbl>
      <w:tblPr>
        <w:tblW w:w="91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86"/>
        <w:gridCol w:w="2022"/>
        <w:gridCol w:w="1677"/>
        <w:gridCol w:w="1843"/>
        <w:gridCol w:w="1984"/>
      </w:tblGrid>
      <w:tr w:rsidR="005B5D40" w:rsidRPr="00F2449C" w:rsidTr="005B5D40">
        <w:trPr>
          <w:trHeight w:val="300"/>
        </w:trPr>
        <w:tc>
          <w:tcPr>
            <w:tcW w:w="1586" w:type="dxa"/>
            <w:vAlign w:val="center"/>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Locatie</w:t>
            </w:r>
          </w:p>
        </w:tc>
        <w:tc>
          <w:tcPr>
            <w:tcW w:w="2022"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Polderdijkweg</w:t>
            </w:r>
          </w:p>
        </w:tc>
        <w:tc>
          <w:tcPr>
            <w:tcW w:w="1677"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Scheldelaan</w:t>
            </w:r>
          </w:p>
        </w:tc>
        <w:tc>
          <w:tcPr>
            <w:tcW w:w="1843"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p>
        </w:tc>
        <w:tc>
          <w:tcPr>
            <w:tcW w:w="1984"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p>
        </w:tc>
      </w:tr>
      <w:tr w:rsidR="005B5D40" w:rsidRPr="00F2449C" w:rsidTr="005B5D40">
        <w:trPr>
          <w:trHeight w:val="300"/>
        </w:trPr>
        <w:tc>
          <w:tcPr>
            <w:tcW w:w="1586" w:type="dxa"/>
            <w:vAlign w:val="center"/>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Windrichting</w:t>
            </w:r>
          </w:p>
        </w:tc>
        <w:tc>
          <w:tcPr>
            <w:tcW w:w="2022"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Ten NW</w:t>
            </w:r>
          </w:p>
        </w:tc>
        <w:tc>
          <w:tcPr>
            <w:tcW w:w="1677"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ZW</w:t>
            </w:r>
          </w:p>
        </w:tc>
        <w:tc>
          <w:tcPr>
            <w:tcW w:w="1843"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N</w:t>
            </w:r>
          </w:p>
        </w:tc>
        <w:tc>
          <w:tcPr>
            <w:tcW w:w="1984"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O</w:t>
            </w:r>
          </w:p>
        </w:tc>
      </w:tr>
      <w:tr w:rsidR="005B5D40" w:rsidRPr="00F2449C" w:rsidTr="005B5D40">
        <w:trPr>
          <w:trHeight w:val="300"/>
        </w:trPr>
        <w:tc>
          <w:tcPr>
            <w:tcW w:w="1586" w:type="dxa"/>
            <w:vAlign w:val="center"/>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coördinaten</w:t>
            </w:r>
          </w:p>
        </w:tc>
        <w:tc>
          <w:tcPr>
            <w:tcW w:w="2022"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148350;216000</w:t>
            </w:r>
          </w:p>
        </w:tc>
        <w:tc>
          <w:tcPr>
            <w:tcW w:w="1677"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148500;215200</w:t>
            </w:r>
          </w:p>
        </w:tc>
        <w:tc>
          <w:tcPr>
            <w:tcW w:w="1843"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148900;215050</w:t>
            </w:r>
          </w:p>
        </w:tc>
        <w:tc>
          <w:tcPr>
            <w:tcW w:w="1984"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149600;215450</w:t>
            </w:r>
          </w:p>
        </w:tc>
      </w:tr>
      <w:tr w:rsidR="005B5D40" w:rsidRPr="00F2449C" w:rsidTr="005B5D40">
        <w:trPr>
          <w:trHeight w:val="300"/>
        </w:trPr>
        <w:tc>
          <w:tcPr>
            <w:tcW w:w="1586" w:type="dxa"/>
            <w:vAlign w:val="center"/>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Actuele situatie zonder DVI</w:t>
            </w:r>
          </w:p>
        </w:tc>
        <w:tc>
          <w:tcPr>
            <w:tcW w:w="2022"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rPr>
              <w:t>1,8</w:t>
            </w:r>
          </w:p>
        </w:tc>
        <w:tc>
          <w:tcPr>
            <w:tcW w:w="1677"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rPr>
              <w:t>4,2</w:t>
            </w:r>
          </w:p>
        </w:tc>
        <w:tc>
          <w:tcPr>
            <w:tcW w:w="1843"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rPr>
              <w:t>4,5</w:t>
            </w:r>
          </w:p>
        </w:tc>
        <w:tc>
          <w:tcPr>
            <w:tcW w:w="1984"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rPr>
              <w:t>5,7</w:t>
            </w:r>
          </w:p>
        </w:tc>
      </w:tr>
      <w:tr w:rsidR="005B5D40" w:rsidRPr="00F2449C" w:rsidTr="005B5D40">
        <w:trPr>
          <w:trHeight w:val="300"/>
        </w:trPr>
        <w:tc>
          <w:tcPr>
            <w:tcW w:w="1586" w:type="dxa"/>
            <w:vAlign w:val="center"/>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Referentie situatie met DVI</w:t>
            </w:r>
          </w:p>
        </w:tc>
        <w:tc>
          <w:tcPr>
            <w:tcW w:w="2022"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0,6</w:t>
            </w:r>
          </w:p>
        </w:tc>
        <w:tc>
          <w:tcPr>
            <w:tcW w:w="1677"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1,4</w:t>
            </w:r>
          </w:p>
        </w:tc>
        <w:tc>
          <w:tcPr>
            <w:tcW w:w="1843"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1,5</w:t>
            </w:r>
          </w:p>
        </w:tc>
        <w:tc>
          <w:tcPr>
            <w:tcW w:w="1984" w:type="dxa"/>
            <w:shd w:val="clear" w:color="auto" w:fill="auto"/>
            <w:noWrap/>
            <w:vAlign w:val="center"/>
            <w:hideMark/>
          </w:tcPr>
          <w:p w:rsidR="005B5D40" w:rsidRPr="004924D2" w:rsidRDefault="005B5D40" w:rsidP="005B5D40">
            <w:pPr>
              <w:keepLines w:val="0"/>
              <w:spacing w:before="0" w:after="0" w:line="240" w:lineRule="auto"/>
              <w:jc w:val="center"/>
              <w:rPr>
                <w:rFonts w:asciiTheme="minorHAnsi" w:hAnsiTheme="minorHAnsi" w:cstheme="minorHAnsi"/>
                <w:sz w:val="18"/>
                <w:szCs w:val="18"/>
                <w:lang w:val="nl-NL" w:eastAsia="nl-NL"/>
              </w:rPr>
            </w:pPr>
            <w:r w:rsidRPr="004924D2">
              <w:rPr>
                <w:rFonts w:asciiTheme="minorHAnsi" w:hAnsiTheme="minorHAnsi" w:cstheme="minorHAnsi"/>
                <w:sz w:val="18"/>
                <w:szCs w:val="18"/>
                <w:lang w:val="nl-NL" w:eastAsia="nl-NL"/>
              </w:rPr>
              <w:t>1,9</w:t>
            </w:r>
          </w:p>
        </w:tc>
      </w:tr>
    </w:tbl>
    <w:p w:rsidR="005B5D40" w:rsidRDefault="005B5D40" w:rsidP="005B5D40">
      <w:pPr>
        <w:rPr>
          <w:lang w:val="nl-NL"/>
        </w:rPr>
      </w:pPr>
      <w:r>
        <w:rPr>
          <w:lang w:val="nl-NL"/>
        </w:rPr>
        <w:t>Ten opzicht van de gehanteerde toetsingswaarde voor VOS totaal kan de impactbijdrage in de referentie situatie als beperkt beoordeeld worden.</w:t>
      </w:r>
    </w:p>
    <w:p w:rsidR="00414EC8" w:rsidRPr="003C7963" w:rsidRDefault="00414EC8" w:rsidP="00414EC8">
      <w:pPr>
        <w:rPr>
          <w:lang w:val="nl-NL"/>
        </w:rPr>
      </w:pPr>
      <w:r>
        <w:rPr>
          <w:lang w:val="nl-NL"/>
        </w:rPr>
        <w:lastRenderedPageBreak/>
        <w:t>T.h.v. de omliggende woongebieden die nog veel verder van het bedrijf gelegen zijn, kan de impactbijdrage als verwaarloosbaar beschouwd worden (bijdragen &lt;&lt;0,6 µg/m³). Bij de beoordeling van de toekomstige situatie wordt voor fase 2 bij een impactberekening het studiegebied dermate groot genomen dat hieruit ook een kwantitatieve beoordeling mogelijk wordt als input voor de discipline mens.</w:t>
      </w:r>
    </w:p>
    <w:p w:rsidR="00414EC8" w:rsidRPr="003C7963" w:rsidRDefault="00414EC8" w:rsidP="005B5D40">
      <w:pPr>
        <w:rPr>
          <w:lang w:val="nl-NL"/>
        </w:rPr>
      </w:pPr>
    </w:p>
    <w:p w:rsidR="005B5D40" w:rsidRDefault="005B5D40" w:rsidP="005B5D40">
      <w:pPr>
        <w:pStyle w:val="Heading6"/>
        <w:jc w:val="left"/>
      </w:pPr>
      <w:bookmarkStart w:id="857" w:name="_Toc312069291"/>
      <w:r>
        <w:t>Geuremissies</w:t>
      </w:r>
      <w:bookmarkEnd w:id="857"/>
    </w:p>
    <w:p w:rsidR="005B5D40" w:rsidRDefault="005B5D40" w:rsidP="005B5D40">
      <w:r>
        <w:t xml:space="preserve">Ten aanzien van het aspect </w:t>
      </w:r>
      <w:r w:rsidRPr="008E2494">
        <w:t>geur</w:t>
      </w:r>
      <w:r>
        <w:t xml:space="preserve"> dient men te stellen dat de aard van de werkelijk aanwezige stoffen bepalend is voor het al of niet periodiek optreden van geur. Dit is uiteraard moeilijk vooraf in te schatten. In de mate dat er meer vluchtige stoffen met lage geurdrempel zullen opgeslagen worden zal uiteraard de kans op het optreden van geur in de  omgeving van de opslagtanks toenemen.</w:t>
      </w:r>
    </w:p>
    <w:p w:rsidR="005B5D40" w:rsidRDefault="005B5D40" w:rsidP="005B5D40">
      <w:r>
        <w:t>Gezien bij de toekomstige impactevaluatie rekening gehouden wordt met de hypothetische opslag van ethylacrylaat (een stof met zeer lage geurdrempel) en dit product de laatste jaren niet door VTE werd verhandeld, wordt voor de actuele situatie geen IFDM doorrekening van de geurimpact te wijten aan dit product uitgevoerd.</w:t>
      </w:r>
    </w:p>
    <w:p w:rsidR="005B5D40" w:rsidRDefault="005B5D40" w:rsidP="005B5D40">
      <w:pPr>
        <w:pStyle w:val="Heading6"/>
        <w:jc w:val="left"/>
      </w:pPr>
      <w:bookmarkStart w:id="858" w:name="_Toc312069292"/>
      <w:r>
        <w:t>Zuuremissies</w:t>
      </w:r>
      <w:bookmarkEnd w:id="858"/>
    </w:p>
    <w:p w:rsidR="005B5D40" w:rsidRDefault="005B5D40" w:rsidP="005B5D40">
      <w:pPr>
        <w:rPr>
          <w:lang w:val="nl-NL"/>
        </w:rPr>
      </w:pPr>
      <w:r>
        <w:rPr>
          <w:lang w:val="nl-NL"/>
        </w:rPr>
        <w:t>De emissies aan organische zuren zijn dermate laag dat zonder meer kan gesteld worden dat deze geen aanleiding geven tot een relevante zuurdepositie t.h.v. de meest nabije natuurgebieden.</w:t>
      </w:r>
    </w:p>
    <w:p w:rsidR="005B5D40" w:rsidRDefault="005B5D40" w:rsidP="005B5D40">
      <w:pPr>
        <w:pStyle w:val="Heading5"/>
        <w:jc w:val="left"/>
      </w:pPr>
      <w:bookmarkStart w:id="859" w:name="_Toc312069293"/>
      <w:r>
        <w:t>NO</w:t>
      </w:r>
      <w:r w:rsidRPr="000A5297">
        <w:rPr>
          <w:vertAlign w:val="subscript"/>
        </w:rPr>
        <w:t>x</w:t>
      </w:r>
      <w:r>
        <w:t>-emissies</w:t>
      </w:r>
      <w:bookmarkEnd w:id="859"/>
    </w:p>
    <w:p w:rsidR="005B5D40" w:rsidRDefault="005B5D40" w:rsidP="005B5D40">
      <w:pPr>
        <w:rPr>
          <w:lang w:val="nl-NL"/>
        </w:rPr>
      </w:pPr>
      <w:r>
        <w:rPr>
          <w:lang w:val="nl-NL"/>
        </w:rPr>
        <w:t>De impact van de NO</w:t>
      </w:r>
      <w:r w:rsidRPr="007B37EE">
        <w:rPr>
          <w:vertAlign w:val="subscript"/>
          <w:lang w:val="nl-NL"/>
        </w:rPr>
        <w:t>x</w:t>
      </w:r>
      <w:r>
        <w:rPr>
          <w:lang w:val="nl-NL"/>
        </w:rPr>
        <w:t>-emissies afkomstig van de stoomketel werden in detail onderzocht in het MER opgesteld in 2006.</w:t>
      </w:r>
    </w:p>
    <w:p w:rsidR="005B5D40" w:rsidRDefault="005B5D40" w:rsidP="005B5D40">
      <w:pPr>
        <w:rPr>
          <w:lang w:val="nl-NL"/>
        </w:rPr>
      </w:pPr>
      <w:r>
        <w:rPr>
          <w:lang w:val="nl-NL"/>
        </w:rPr>
        <w:t>Op basis van de toen uitgevoerde modellering van de jaargemiddelde immissiebijdragen en rekening houdend met een correctiefactor van 1,45</w:t>
      </w:r>
      <w:r>
        <w:rPr>
          <w:rStyle w:val="FootnoteReference"/>
          <w:lang w:val="nl-NL"/>
        </w:rPr>
        <w:footnoteReference w:id="56"/>
      </w:r>
      <w:r>
        <w:rPr>
          <w:lang w:val="nl-NL"/>
        </w:rPr>
        <w:t>, zijn in onderstaande tabel de jaargemiddelde immissiebijdragen thv de meest nabije woon- en natuurgebieden weergeven.</w:t>
      </w:r>
    </w:p>
    <w:p w:rsidR="005B5D40" w:rsidRPr="000A5297" w:rsidRDefault="009C1E15" w:rsidP="005B5D40">
      <w:pPr>
        <w:pStyle w:val="tabel0"/>
      </w:pPr>
      <w:r>
        <w:t xml:space="preserve"> Tabel </w:t>
      </w:r>
      <w:r w:rsidR="00C325A0">
        <w:fldChar w:fldCharType="begin"/>
      </w:r>
      <w:r>
        <w:instrText xml:space="preserve"> REF t_lucht_NOx_jaargem \h </w:instrText>
      </w:r>
      <w:r w:rsidR="00C325A0">
        <w:fldChar w:fldCharType="separate"/>
      </w:r>
      <w:r w:rsidR="008102D8">
        <w:t>VIII.2.13</w:t>
      </w:r>
      <w:r w:rsidR="00C325A0">
        <w:fldChar w:fldCharType="end"/>
      </w:r>
      <w:r>
        <w:t xml:space="preserve">: </w:t>
      </w:r>
      <w:r w:rsidR="005B5D40">
        <w:t>Jaargemiddelde NOx-bijdragen</w:t>
      </w:r>
    </w:p>
    <w:tbl>
      <w:tblPr>
        <w:tblStyle w:val="TableGrid"/>
        <w:tblW w:w="0" w:type="auto"/>
        <w:tblLook w:val="04A0"/>
      </w:tblPr>
      <w:tblGrid>
        <w:gridCol w:w="3227"/>
        <w:gridCol w:w="2636"/>
      </w:tblGrid>
      <w:tr w:rsidR="005B5D40" w:rsidTr="005B5D40">
        <w:tc>
          <w:tcPr>
            <w:tcW w:w="3227" w:type="dxa"/>
          </w:tcPr>
          <w:p w:rsidR="005B5D40" w:rsidRDefault="005B5D40" w:rsidP="005B5D40">
            <w:pPr>
              <w:pStyle w:val="normaltabel"/>
            </w:pPr>
          </w:p>
        </w:tc>
        <w:tc>
          <w:tcPr>
            <w:tcW w:w="2636" w:type="dxa"/>
            <w:vAlign w:val="center"/>
          </w:tcPr>
          <w:p w:rsidR="005B5D40" w:rsidRDefault="005B5D40" w:rsidP="005B5D40">
            <w:pPr>
              <w:pStyle w:val="normaltabel"/>
              <w:jc w:val="center"/>
            </w:pPr>
            <w:r>
              <w:t xml:space="preserve">Jaargemiddelde NOx-bijdrage </w:t>
            </w:r>
            <w:r>
              <w:br/>
              <w:t>(µg/m³)</w:t>
            </w:r>
          </w:p>
        </w:tc>
      </w:tr>
      <w:tr w:rsidR="005B5D40" w:rsidTr="005B5D40">
        <w:tc>
          <w:tcPr>
            <w:tcW w:w="3227" w:type="dxa"/>
          </w:tcPr>
          <w:p w:rsidR="005B5D40" w:rsidRDefault="005B5D40" w:rsidP="005B5D40">
            <w:pPr>
              <w:pStyle w:val="normaltabel"/>
            </w:pPr>
            <w:r>
              <w:t>Thv Antwerpen Linkeroever</w:t>
            </w:r>
          </w:p>
        </w:tc>
        <w:tc>
          <w:tcPr>
            <w:tcW w:w="2636" w:type="dxa"/>
            <w:vAlign w:val="center"/>
          </w:tcPr>
          <w:p w:rsidR="005B5D40" w:rsidRDefault="005B5D40" w:rsidP="005B5D40">
            <w:pPr>
              <w:pStyle w:val="normaltabel"/>
              <w:jc w:val="center"/>
            </w:pPr>
            <w:r>
              <w:t>0,006</w:t>
            </w:r>
          </w:p>
        </w:tc>
      </w:tr>
      <w:tr w:rsidR="005B5D40" w:rsidTr="005B5D40">
        <w:tc>
          <w:tcPr>
            <w:tcW w:w="3227" w:type="dxa"/>
          </w:tcPr>
          <w:p w:rsidR="005B5D40" w:rsidRDefault="005B5D40" w:rsidP="005B5D40">
            <w:pPr>
              <w:pStyle w:val="normaltabel"/>
            </w:pPr>
            <w:r>
              <w:t>Thv SBH ‘Schelde- en Durme-estuarium van de Nederlandse grens tot Gent’</w:t>
            </w:r>
          </w:p>
        </w:tc>
        <w:tc>
          <w:tcPr>
            <w:tcW w:w="2636" w:type="dxa"/>
            <w:vAlign w:val="center"/>
          </w:tcPr>
          <w:p w:rsidR="005B5D40" w:rsidRDefault="005B5D40" w:rsidP="005B5D40">
            <w:pPr>
              <w:pStyle w:val="normaltabel"/>
              <w:jc w:val="center"/>
            </w:pPr>
            <w:r>
              <w:t>0,03</w:t>
            </w:r>
          </w:p>
        </w:tc>
      </w:tr>
    </w:tbl>
    <w:p w:rsidR="005B5D40" w:rsidRDefault="005B5D40" w:rsidP="005B5D40">
      <w:pPr>
        <w:rPr>
          <w:lang w:val="nl-NL"/>
        </w:rPr>
      </w:pPr>
      <w:r>
        <w:rPr>
          <w:lang w:val="nl-NL"/>
        </w:rPr>
        <w:t>Uit bovenstaande blijkt dat de jaargemiddelde immissiebijdragen verwaarloosbaar zijn tov de luchtkwaliteits</w:t>
      </w:r>
      <w:r>
        <w:rPr>
          <w:lang w:val="nl-NL"/>
        </w:rPr>
        <w:softHyphen/>
        <w:t xml:space="preserve">doelstellingen, respectievelijk 40 µg/m³ (voor de NO2 fractie van NOx) ter bescherming van de gezondheid van de mens en 30 µg/m³ ter bescherming van de vegetatie (deze laatste grenswaarde is evenwel niet van toepassing in Vlaanderen). </w:t>
      </w:r>
    </w:p>
    <w:p w:rsidR="005B5D40" w:rsidRDefault="005B5D40" w:rsidP="005B5D40">
      <w:pPr>
        <w:rPr>
          <w:lang w:val="nl-NL"/>
        </w:rPr>
      </w:pPr>
      <w:r>
        <w:rPr>
          <w:lang w:val="nl-NL"/>
        </w:rPr>
        <w:t>Ook tov de huidige immissieconcentraties binnen het studiegebied (30 à 45 µg/m³) is de immissiebijdrage verwaarloosbaar. De jaargemiddelde immissiebijdrage bedraagt immers maximaal 0,3 µg/m³ in de nabije omgeving van VTE.</w:t>
      </w:r>
    </w:p>
    <w:p w:rsidR="005B5D40" w:rsidRDefault="005B5D40" w:rsidP="005B5D40">
      <w:pPr>
        <w:rPr>
          <w:lang w:val="nl-NL"/>
        </w:rPr>
      </w:pPr>
      <w:r>
        <w:rPr>
          <w:lang w:val="nl-NL"/>
        </w:rPr>
        <w:t>De emissies van de stoomketels hebben dan ook nauwelijks impact op de NO</w:t>
      </w:r>
      <w:r w:rsidRPr="005037DA">
        <w:rPr>
          <w:vertAlign w:val="subscript"/>
          <w:lang w:val="nl-NL"/>
        </w:rPr>
        <w:t>x</w:t>
      </w:r>
      <w:r>
        <w:rPr>
          <w:lang w:val="nl-NL"/>
        </w:rPr>
        <w:t>-immissieconcentraties binnen en in de omgeving van de Antwerpse haven.</w:t>
      </w:r>
    </w:p>
    <w:p w:rsidR="005B5D40" w:rsidRDefault="005B5D40" w:rsidP="005B5D40">
      <w:pPr>
        <w:rPr>
          <w:lang w:val="nl-NL"/>
        </w:rPr>
      </w:pPr>
      <w:r>
        <w:rPr>
          <w:lang w:val="nl-NL"/>
        </w:rPr>
        <w:lastRenderedPageBreak/>
        <w:t>Voor de beoordeling van de impact inzake NO2 dient bijkomend aangegeven dat de NOx impact een aanzienlijke overschatting betekent van de NO2 impact, die kan geschat worden op maximaal 60% van de NOx impact.</w:t>
      </w:r>
    </w:p>
    <w:p w:rsidR="005B5D40" w:rsidRDefault="005B5D40" w:rsidP="005B5D40">
      <w:pPr>
        <w:rPr>
          <w:lang w:val="nl-NL"/>
        </w:rPr>
      </w:pPr>
      <w:r>
        <w:rPr>
          <w:lang w:val="nl-NL"/>
        </w:rPr>
        <w:t>Gezien de lage NOx emissies en NOx impact kan gesteld worden dat ook de zure depositie als zeer beperkt kan ingeschat worden.</w:t>
      </w:r>
    </w:p>
    <w:p w:rsidR="005B5D40" w:rsidRDefault="005B5D40" w:rsidP="005B5D40">
      <w:pPr>
        <w:pStyle w:val="Heading5"/>
        <w:jc w:val="left"/>
      </w:pPr>
      <w:bookmarkStart w:id="860" w:name="_Ref311457229"/>
      <w:bookmarkStart w:id="861" w:name="_Toc312069294"/>
      <w:r>
        <w:t>Transportemissies</w:t>
      </w:r>
      <w:bookmarkEnd w:id="860"/>
      <w:bookmarkEnd w:id="861"/>
    </w:p>
    <w:p w:rsidR="005B5D40" w:rsidRDefault="005B5D40" w:rsidP="005B5D40">
      <w:r>
        <w:t>M.b.t. de impact van de emissies te wijten aan aan- en afvoer kan men stellen dat deze als beperkt kunnen aanzien worden t.o.v. de totale emissies te wijten aan scheepvaart en verkeer in het studiegebied.</w:t>
      </w:r>
    </w:p>
    <w:p w:rsidR="005B5D40" w:rsidRDefault="005B5D40" w:rsidP="005B5D40">
      <w:pPr>
        <w:rPr>
          <w:rFonts w:cs="Arial"/>
        </w:rPr>
      </w:pPr>
      <w:r>
        <w:rPr>
          <w:rFonts w:cs="Arial"/>
        </w:rPr>
        <w:t>Voor de referentiesituatie wordt het aantal transporten hieronder weergegeven:</w:t>
      </w:r>
    </w:p>
    <w:p w:rsidR="005B5D40" w:rsidRPr="00A10FAA" w:rsidRDefault="005B5D40" w:rsidP="005B5D40">
      <w:pPr>
        <w:numPr>
          <w:ilvl w:val="0"/>
          <w:numId w:val="69"/>
        </w:numPr>
        <w:tabs>
          <w:tab w:val="clear" w:pos="0"/>
          <w:tab w:val="num" w:pos="284"/>
          <w:tab w:val="left" w:pos="2127"/>
        </w:tabs>
        <w:spacing w:before="60" w:line="280" w:lineRule="atLeast"/>
        <w:ind w:left="284" w:hanging="284"/>
      </w:pPr>
      <w:r w:rsidRPr="00A10FAA">
        <w:t>Zeeschepen</w:t>
      </w:r>
      <w:r w:rsidRPr="00A10FAA">
        <w:tab/>
      </w:r>
      <w:r w:rsidRPr="00A10FAA">
        <w:tab/>
      </w:r>
      <w:r>
        <w:t>250</w:t>
      </w:r>
    </w:p>
    <w:p w:rsidR="005B5D40" w:rsidRPr="00A10FAA" w:rsidRDefault="005B5D40" w:rsidP="005B5D40">
      <w:pPr>
        <w:numPr>
          <w:ilvl w:val="0"/>
          <w:numId w:val="69"/>
        </w:numPr>
        <w:tabs>
          <w:tab w:val="clear" w:pos="0"/>
          <w:tab w:val="num" w:pos="284"/>
          <w:tab w:val="left" w:pos="2127"/>
        </w:tabs>
        <w:spacing w:before="60" w:line="280" w:lineRule="atLeast"/>
        <w:ind w:left="284" w:hanging="284"/>
      </w:pPr>
      <w:r w:rsidRPr="00A10FAA">
        <w:t>Binnenvaartschepen</w:t>
      </w:r>
      <w:r w:rsidRPr="00A10FAA">
        <w:tab/>
      </w:r>
      <w:r>
        <w:t>750</w:t>
      </w:r>
    </w:p>
    <w:p w:rsidR="005B5D40" w:rsidRPr="00A10FAA" w:rsidRDefault="005B5D40" w:rsidP="005B5D40">
      <w:pPr>
        <w:numPr>
          <w:ilvl w:val="0"/>
          <w:numId w:val="69"/>
        </w:numPr>
        <w:tabs>
          <w:tab w:val="clear" w:pos="0"/>
          <w:tab w:val="num" w:pos="284"/>
          <w:tab w:val="left" w:pos="2127"/>
        </w:tabs>
        <w:spacing w:before="60" w:line="280" w:lineRule="atLeast"/>
        <w:ind w:left="284" w:hanging="284"/>
      </w:pPr>
      <w:r w:rsidRPr="00A10FAA">
        <w:t>Vrachtwagens</w:t>
      </w:r>
      <w:r w:rsidRPr="00A10FAA">
        <w:tab/>
      </w:r>
      <w:r w:rsidRPr="00A10FAA">
        <w:tab/>
      </w:r>
      <w:r>
        <w:t>17</w:t>
      </w:r>
      <w:r w:rsidR="00B92D63">
        <w:t>.</w:t>
      </w:r>
      <w:r>
        <w:t>000</w:t>
      </w:r>
    </w:p>
    <w:p w:rsidR="00B92D63" w:rsidRPr="00A10FAA" w:rsidRDefault="005B5D40" w:rsidP="00B92D63">
      <w:pPr>
        <w:numPr>
          <w:ilvl w:val="0"/>
          <w:numId w:val="69"/>
        </w:numPr>
        <w:tabs>
          <w:tab w:val="clear" w:pos="0"/>
          <w:tab w:val="num" w:pos="284"/>
          <w:tab w:val="left" w:pos="2127"/>
        </w:tabs>
        <w:spacing w:before="60" w:line="280" w:lineRule="atLeast"/>
        <w:ind w:left="284" w:hanging="284"/>
      </w:pPr>
      <w:r w:rsidRPr="00A10FAA">
        <w:t>Railcar</w:t>
      </w:r>
      <w:r w:rsidRPr="00A10FAA">
        <w:tab/>
      </w:r>
      <w:r w:rsidRPr="00A10FAA">
        <w:tab/>
      </w:r>
      <w:r w:rsidR="00B92D63">
        <w:t>3.500</w:t>
      </w:r>
    </w:p>
    <w:p w:rsidR="005B5D40" w:rsidRDefault="005B5D40" w:rsidP="005B5D40">
      <w:pPr>
        <w:rPr>
          <w:rFonts w:cs="Arial"/>
        </w:rPr>
      </w:pPr>
      <w:r>
        <w:rPr>
          <w:rFonts w:cs="Arial"/>
        </w:rPr>
        <w:t xml:space="preserve">M.b.t. de aanvoer via zeeschepen bedraagt het aandeel van het aantal schepen bestemd voor VTE zowat 2 % van het totaal aantal zeeschepen met bestemming Antwerpen (op zowat 15.500/jaar voor de ganse haven van Antwerpen). </w:t>
      </w:r>
      <w:r>
        <w:t>Omwille van de aanscherping van verplichtingen ten aanzien van het gebruik van zwavel armere brandstoffen kan gesteld worden dat hierdoor niet alleen een zeer aanzienlijke reductie van de SOx emissies optreden, maar dat tegelijkertijd ook de fijn stof emissies in belangrijke mate afnemen. De NOx emissies blijven echter zeer belangrijk. M.b.t. de NOx emissie wordt evenwel in de toekomst ook een aanzienlijke aanscherping van de emissienormen voorzien, zodat de impact van de scheepvaart ook zal afnemen.</w:t>
      </w:r>
    </w:p>
    <w:p w:rsidR="005B5D40" w:rsidRDefault="005B5D40" w:rsidP="005B5D40">
      <w:pPr>
        <w:rPr>
          <w:rFonts w:cs="Arial"/>
        </w:rPr>
      </w:pPr>
      <w:r>
        <w:rPr>
          <w:rFonts w:cs="Arial"/>
        </w:rPr>
        <w:t>Ten aanzien van de binnenvaart betreft dit iets minder dan 1 % voor Vopak (op zowat 66</w:t>
      </w:r>
      <w:r w:rsidR="004924D2">
        <w:rPr>
          <w:rFonts w:cs="Arial"/>
        </w:rPr>
        <w:t>.</w:t>
      </w:r>
      <w:r>
        <w:rPr>
          <w:rFonts w:cs="Arial"/>
        </w:rPr>
        <w:t>650 voor de ganse haven van Antwerpen)</w:t>
      </w:r>
    </w:p>
    <w:p w:rsidR="005B5D40" w:rsidRPr="00441F75" w:rsidRDefault="005B5D40" w:rsidP="005B5D40">
      <w:pPr>
        <w:rPr>
          <w:rFonts w:cs="Arial"/>
        </w:rPr>
      </w:pPr>
      <w:r w:rsidRPr="00441F75">
        <w:rPr>
          <w:rFonts w:cs="Arial"/>
        </w:rPr>
        <w:t xml:space="preserve">Ook het vrachtverkeer (zijnde </w:t>
      </w:r>
      <w:r>
        <w:rPr>
          <w:rFonts w:cs="Arial"/>
        </w:rPr>
        <w:t>50</w:t>
      </w:r>
      <w:r w:rsidRPr="00441F75">
        <w:rPr>
          <w:rFonts w:cs="Arial"/>
        </w:rPr>
        <w:t xml:space="preserve"> transporten of 1</w:t>
      </w:r>
      <w:r>
        <w:rPr>
          <w:rFonts w:cs="Arial"/>
        </w:rPr>
        <w:t>00</w:t>
      </w:r>
      <w:r w:rsidRPr="00441F75">
        <w:rPr>
          <w:rFonts w:cs="Arial"/>
        </w:rPr>
        <w:t xml:space="preserve"> vrachtwagenbewegingen als daggemiddelde berekend over een volledig kalenderjaar) kan als beperkt aanzien worden t.o.v. het totaal verkeer aanwezig in het studiegebied. Bij een dergelijke verkeersstroom aan zware vrachtwagens wordt, wanneer deze zich gans het jaar zou voordoen en ze allemaal dezelfde route volgen</w:t>
      </w:r>
      <w:r>
        <w:rPr>
          <w:rFonts w:cs="Arial"/>
        </w:rPr>
        <w:t xml:space="preserve"> langsheen de Polderdijkweg,</w:t>
      </w:r>
      <w:r w:rsidRPr="00441F75">
        <w:rPr>
          <w:rFonts w:cs="Arial"/>
        </w:rPr>
        <w:t xml:space="preserve"> m.b.v. het model CAR-Vlaanderen leen actuele impact berekend van </w:t>
      </w:r>
      <w:r>
        <w:rPr>
          <w:rFonts w:cs="Arial"/>
        </w:rPr>
        <w:t>0,4</w:t>
      </w:r>
      <w:r w:rsidRPr="00441F75">
        <w:rPr>
          <w:rFonts w:cs="Arial"/>
        </w:rPr>
        <w:t xml:space="preserve"> µg/m³ NO</w:t>
      </w:r>
      <w:r w:rsidRPr="00A77C2D">
        <w:rPr>
          <w:rFonts w:cs="Arial"/>
          <w:vertAlign w:val="subscript"/>
        </w:rPr>
        <w:t>2</w:t>
      </w:r>
      <w:r w:rsidRPr="00441F75">
        <w:rPr>
          <w:rFonts w:cs="Arial"/>
        </w:rPr>
        <w:t xml:space="preserve"> op 15 m afstand van de weg. Voor fijn stof wordt evenmin een bijdrage berekend </w:t>
      </w:r>
      <w:r>
        <w:rPr>
          <w:rFonts w:cs="Arial"/>
        </w:rPr>
        <w:t>van 0,1 µg/m³. Deze bijdragen zijn als beperkt tot verwaarloosbaar te aanzien t.o.v. de actuele luchtkwaliteitsdoelstellingen.</w:t>
      </w:r>
    </w:p>
    <w:p w:rsidR="00F57E3D" w:rsidRPr="00F57E3D" w:rsidRDefault="00F57E3D" w:rsidP="00AF3F9E"/>
    <w:p w:rsidR="005B5D40" w:rsidRDefault="005B5D40" w:rsidP="005B5D40">
      <w:pPr>
        <w:pStyle w:val="Heading3"/>
        <w:jc w:val="left"/>
      </w:pPr>
      <w:bookmarkStart w:id="862" w:name="_Ref311457633"/>
      <w:bookmarkStart w:id="863" w:name="_Toc312069295"/>
      <w:bookmarkStart w:id="864" w:name="_Toc196645337"/>
      <w:r>
        <w:t>Geplande situatie</w:t>
      </w:r>
      <w:bookmarkEnd w:id="862"/>
      <w:bookmarkEnd w:id="863"/>
    </w:p>
    <w:p w:rsidR="005B5D40" w:rsidRDefault="005B5D40" w:rsidP="005B5D40">
      <w:pPr>
        <w:pStyle w:val="Heading4"/>
        <w:jc w:val="left"/>
      </w:pPr>
      <w:bookmarkStart w:id="865" w:name="_Toc312069296"/>
      <w:r>
        <w:t>Relevante emissiebronnen van het bedrijf</w:t>
      </w:r>
      <w:bookmarkEnd w:id="865"/>
    </w:p>
    <w:p w:rsidR="005B5D40" w:rsidRDefault="005B5D40" w:rsidP="005B5D40">
      <w:pPr>
        <w:rPr>
          <w:lang w:val="nl-NL"/>
        </w:rPr>
      </w:pPr>
      <w:r>
        <w:rPr>
          <w:lang w:val="nl-NL"/>
        </w:rPr>
        <w:t>De emissiebronnen in de geplande situatie zijn in</w:t>
      </w:r>
      <w:r w:rsidR="00347752">
        <w:rPr>
          <w:lang w:val="nl-NL"/>
        </w:rPr>
        <w:t xml:space="preserve"> </w:t>
      </w:r>
      <w:r>
        <w:rPr>
          <w:lang w:val="nl-NL"/>
        </w:rPr>
        <w:t xml:space="preserve">essentie de zelfde als diegene die voorkomen in de referentiesituatie.  </w:t>
      </w:r>
    </w:p>
    <w:p w:rsidR="005B5D40" w:rsidRDefault="005B5D40" w:rsidP="005B5D40">
      <w:pPr>
        <w:rPr>
          <w:lang w:val="nl-NL"/>
        </w:rPr>
      </w:pPr>
      <w:r>
        <w:rPr>
          <w:lang w:val="nl-NL"/>
        </w:rPr>
        <w:t>Wel is het zo dat vanaf medio 2011 een dampverbrandingsinstallatie zal in gebruikgenomen worden voor de behandeling van emissies afkomstig van de op- en overslag van stoffen met een dampspanning &gt; 13,3 kPa bij 35°C. Dit zal er toe leiden dat de VOS-emissies zullen afnemen, gezien het feit dat in de periode 2008 – 2010 de VOS-emissies in grote mate bepaald werden door stoffen met P</w:t>
      </w:r>
      <w:r w:rsidRPr="00B67426">
        <w:rPr>
          <w:vertAlign w:val="subscript"/>
          <w:lang w:val="nl-NL"/>
        </w:rPr>
        <w:t xml:space="preserve">damp@35°C </w:t>
      </w:r>
      <w:r>
        <w:rPr>
          <w:lang w:val="nl-NL"/>
        </w:rPr>
        <w:t>&gt; 13,3 kPa. In deze installatie zal ook aardgas als ondersteunende brandstof verbrand worden.</w:t>
      </w:r>
    </w:p>
    <w:p w:rsidR="005B5D40" w:rsidRDefault="005B5D40" w:rsidP="005B5D40">
      <w:pPr>
        <w:pStyle w:val="Heading5"/>
        <w:jc w:val="left"/>
      </w:pPr>
      <w:bookmarkStart w:id="866" w:name="_Toc312069297"/>
      <w:r>
        <w:lastRenderedPageBreak/>
        <w:t>Emissies te wijten aan de op- en overslag van vluchtige organische stoffen</w:t>
      </w:r>
      <w:bookmarkEnd w:id="866"/>
    </w:p>
    <w:p w:rsidR="005B5D40" w:rsidRPr="00A16F4F" w:rsidRDefault="005B5D40" w:rsidP="005B5D40">
      <w:pPr>
        <w:rPr>
          <w:lang w:val="nl-NL"/>
        </w:rPr>
      </w:pPr>
      <w:r w:rsidRPr="00A16F4F">
        <w:rPr>
          <w:lang w:val="nl-NL"/>
        </w:rPr>
        <w:t>Niettegenstaande het doel van het MER erin bestaat om een realistische inschatting te formuleren van de te verwachten impact op de luchtkwaliteit</w:t>
      </w:r>
      <w:r>
        <w:rPr>
          <w:lang w:val="nl-NL"/>
        </w:rPr>
        <w:t>,</w:t>
      </w:r>
      <w:r w:rsidRPr="00A16F4F">
        <w:rPr>
          <w:lang w:val="nl-NL"/>
        </w:rPr>
        <w:t xml:space="preserve"> wordt </w:t>
      </w:r>
      <w:r>
        <w:rPr>
          <w:lang w:val="nl-NL"/>
        </w:rPr>
        <w:t xml:space="preserve">aanvullend – conform </w:t>
      </w:r>
      <w:r>
        <w:t xml:space="preserve">het m.e.r.-richtlijnenboek voor de activiteitengroep Chemie – </w:t>
      </w:r>
      <w:r w:rsidRPr="00A16F4F">
        <w:rPr>
          <w:lang w:val="nl-NL"/>
        </w:rPr>
        <w:t>een inschatting geformuleerd m.b.t. de maximaal mogelijke emissies bij verschillende scenario’s</w:t>
      </w:r>
      <w:r>
        <w:rPr>
          <w:lang w:val="nl-NL"/>
        </w:rPr>
        <w:t xml:space="preserve">. </w:t>
      </w:r>
      <w:r>
        <w:rPr>
          <w:lang w:val="nl-NL"/>
        </w:rPr>
        <w:tab/>
      </w:r>
      <w:r>
        <w:rPr>
          <w:lang w:val="nl-NL"/>
        </w:rPr>
        <w:br/>
        <w:t xml:space="preserve">Bij het bepalen van de maximale scenario’s </w:t>
      </w:r>
      <w:r>
        <w:t>werd zowel rekening gehouden met de vluchtigheid van stoffen (welke stoffen hebben intrisiek het grootste emissiepotentieel) als met de gevaarseigenschappen van de stoffen (welke stoffen vormen het grootste risico voor het optreden van gezondheidseffecten).</w:t>
      </w:r>
      <w:r w:rsidRPr="00A16F4F">
        <w:rPr>
          <w:lang w:val="nl-NL"/>
        </w:rPr>
        <w:t xml:space="preserve"> </w:t>
      </w:r>
    </w:p>
    <w:p w:rsidR="005B5D40" w:rsidRDefault="005B5D40" w:rsidP="005B5D40">
      <w:pPr>
        <w:rPr>
          <w:lang w:val="nl-NL"/>
        </w:rPr>
      </w:pPr>
      <w:r>
        <w:rPr>
          <w:lang w:val="nl-NL"/>
        </w:rPr>
        <w:t>In concreto worden volgende scenario’s geëvalueerd:</w:t>
      </w:r>
    </w:p>
    <w:p w:rsidR="005B5D40" w:rsidRDefault="005B5D40" w:rsidP="005B5D40">
      <w:pPr>
        <w:keepLines w:val="0"/>
        <w:numPr>
          <w:ilvl w:val="0"/>
          <w:numId w:val="68"/>
        </w:numPr>
        <w:tabs>
          <w:tab w:val="clear" w:pos="0"/>
          <w:tab w:val="num" w:pos="284"/>
        </w:tabs>
        <w:ind w:left="284" w:hanging="284"/>
        <w:jc w:val="left"/>
      </w:pPr>
      <w:r w:rsidRPr="00BE06C4">
        <w:rPr>
          <w:b/>
        </w:rPr>
        <w:t>een realistisch scenario</w:t>
      </w:r>
      <w:r>
        <w:t>: wat tot doel heeft om de VOS-emissies zoals deze effectief zullen verwacht worden in de toekomst, te begroten en te evalueren;</w:t>
      </w:r>
    </w:p>
    <w:p w:rsidR="00F077DA" w:rsidRDefault="005B5D40" w:rsidP="00F077DA">
      <w:pPr>
        <w:keepLines w:val="0"/>
        <w:numPr>
          <w:ilvl w:val="0"/>
          <w:numId w:val="68"/>
        </w:numPr>
        <w:tabs>
          <w:tab w:val="clear" w:pos="0"/>
          <w:tab w:val="num" w:pos="284"/>
        </w:tabs>
        <w:ind w:left="284" w:hanging="284"/>
      </w:pPr>
      <w:r w:rsidRPr="00BE06C4">
        <w:rPr>
          <w:b/>
        </w:rPr>
        <w:t>een maximalistisch scenario VOS-totaal</w:t>
      </w:r>
      <w:r>
        <w:t>: wat tot doel heeft om de maximale VOS-emissie die in theorie (d.i. rekening houdend met de aard van de opgeslagen stoffen en de in de vergunning aangevraagde hoeveelheden) zou kunnen optreden te begroten en te evalueren;</w:t>
      </w:r>
    </w:p>
    <w:p w:rsidR="00F077DA" w:rsidRDefault="005B5D40" w:rsidP="00F077DA">
      <w:pPr>
        <w:keepLines w:val="0"/>
        <w:numPr>
          <w:ilvl w:val="0"/>
          <w:numId w:val="68"/>
        </w:numPr>
        <w:tabs>
          <w:tab w:val="clear" w:pos="0"/>
          <w:tab w:val="num" w:pos="284"/>
        </w:tabs>
        <w:ind w:left="284" w:hanging="284"/>
      </w:pPr>
      <w:r w:rsidRPr="00BE06C4">
        <w:rPr>
          <w:b/>
        </w:rPr>
        <w:t xml:space="preserve">maximalistisch scenario giftige en </w:t>
      </w:r>
      <w:r>
        <w:rPr>
          <w:b/>
        </w:rPr>
        <w:t>CMR-</w:t>
      </w:r>
      <w:r w:rsidRPr="00BE06C4">
        <w:rPr>
          <w:b/>
        </w:rPr>
        <w:t>stoffen</w:t>
      </w:r>
      <w:r>
        <w:rPr>
          <w:rStyle w:val="FootnoteReference"/>
          <w:b/>
        </w:rPr>
        <w:footnoteReference w:id="57"/>
      </w:r>
      <w:r>
        <w:t>: wat tot doel heeft om de maximale emissie aan giftige en CMR-stoffen die in theorie (d.i. rekening houdend met de aard van de opgeslagen stoffen en de in de vergunning aangevraagde hoeveelheden) zou kunnen optreden te begroten en te evalueren;</w:t>
      </w:r>
    </w:p>
    <w:p w:rsidR="00F077DA" w:rsidRDefault="005B5D40" w:rsidP="00F077DA">
      <w:pPr>
        <w:keepLines w:val="0"/>
        <w:numPr>
          <w:ilvl w:val="0"/>
          <w:numId w:val="68"/>
        </w:numPr>
        <w:tabs>
          <w:tab w:val="clear" w:pos="0"/>
          <w:tab w:val="num" w:pos="284"/>
        </w:tabs>
        <w:ind w:left="284" w:hanging="284"/>
      </w:pPr>
      <w:r w:rsidRPr="00BE06C4">
        <w:rPr>
          <w:b/>
        </w:rPr>
        <w:t>maximalistisch scenario geurstoffen</w:t>
      </w:r>
      <w:r>
        <w:t>: wat tot doel heeft om de maximale emissie aan geurcomponenten die in theorie (d.i. rekening houdend met de aard van de opgeslagen stoffen en de in de vergunning aangevraagde hoeveelheden) zou kunnen optreden te begroten en te evalueren.</w:t>
      </w:r>
    </w:p>
    <w:p w:rsidR="005B5D40" w:rsidRDefault="005B5D40" w:rsidP="005B5D40">
      <w:r>
        <w:rPr>
          <w:lang w:val="nl"/>
        </w:rPr>
        <w:t>Hieronder worden per scenario de resultaten van de selectiemethodiek toegepast voor het selecteren van referentiestoffen en de berekende emissies weergegeven.</w:t>
      </w:r>
      <w:r w:rsidRPr="002418C8">
        <w:rPr>
          <w:lang w:val="nl-NL"/>
        </w:rPr>
        <w:t xml:space="preserve"> </w:t>
      </w:r>
      <w:r>
        <w:rPr>
          <w:lang w:val="nl-NL"/>
        </w:rPr>
        <w:tab/>
      </w:r>
      <w:r>
        <w:rPr>
          <w:lang w:val="nl-NL"/>
        </w:rPr>
        <w:br/>
      </w:r>
      <w:r w:rsidRPr="00A16F4F">
        <w:rPr>
          <w:lang w:val="nl-NL"/>
        </w:rPr>
        <w:t xml:space="preserve">Voor een </w:t>
      </w:r>
      <w:r>
        <w:rPr>
          <w:lang w:val="nl-NL"/>
        </w:rPr>
        <w:t xml:space="preserve">gedetailleerde </w:t>
      </w:r>
      <w:r w:rsidRPr="00A16F4F">
        <w:rPr>
          <w:lang w:val="nl-NL"/>
        </w:rPr>
        <w:t>be</w:t>
      </w:r>
      <w:r>
        <w:rPr>
          <w:lang w:val="nl-NL"/>
        </w:rPr>
        <w:t>schrijving van de gehanteerde sc</w:t>
      </w:r>
      <w:r w:rsidRPr="00A16F4F">
        <w:rPr>
          <w:lang w:val="nl-NL"/>
        </w:rPr>
        <w:t xml:space="preserve">enario’s en </w:t>
      </w:r>
      <w:r>
        <w:rPr>
          <w:lang w:val="nl-NL"/>
        </w:rPr>
        <w:t>de</w:t>
      </w:r>
      <w:r w:rsidRPr="00A16F4F">
        <w:rPr>
          <w:lang w:val="nl-NL"/>
        </w:rPr>
        <w:t xml:space="preserve"> berekening van de emissies</w:t>
      </w:r>
      <w:r>
        <w:rPr>
          <w:lang w:val="nl-NL"/>
        </w:rPr>
        <w:t xml:space="preserve"> / scenario</w:t>
      </w:r>
      <w:r w:rsidRPr="00A16F4F">
        <w:rPr>
          <w:lang w:val="nl-NL"/>
        </w:rPr>
        <w:t xml:space="preserve"> wordt verwezen naar bijlage</w:t>
      </w:r>
      <w:r>
        <w:rPr>
          <w:lang w:val="nl-NL"/>
        </w:rPr>
        <w:t xml:space="preserve"> </w:t>
      </w:r>
      <w:r w:rsidR="00C325A0">
        <w:rPr>
          <w:lang w:val="nl-NL"/>
        </w:rPr>
        <w:fldChar w:fldCharType="begin"/>
      </w:r>
      <w:r>
        <w:rPr>
          <w:lang w:val="nl-NL"/>
        </w:rPr>
        <w:instrText xml:space="preserve"> REF b_opslagscenario \h </w:instrText>
      </w:r>
      <w:r w:rsidR="007A7DB5">
        <w:instrText>3</w:instrText>
      </w:r>
      <w:r w:rsidR="00C325A0">
        <w:rPr>
          <w:lang w:val="nl-NL"/>
        </w:rPr>
      </w:r>
      <w:r w:rsidR="00C325A0">
        <w:rPr>
          <w:lang w:val="nl-NL"/>
        </w:rPr>
        <w:fldChar w:fldCharType="separate"/>
      </w:r>
      <w:r w:rsidR="008102D8">
        <w:t>4</w:t>
      </w:r>
      <w:r w:rsidR="00C325A0">
        <w:rPr>
          <w:lang w:val="nl-NL"/>
        </w:rPr>
        <w:fldChar w:fldCharType="end"/>
      </w:r>
      <w:r w:rsidRPr="00A16F4F">
        <w:rPr>
          <w:lang w:val="nl-NL"/>
        </w:rPr>
        <w:t>.</w:t>
      </w:r>
    </w:p>
    <w:p w:rsidR="005B5D40" w:rsidRDefault="005B5D40" w:rsidP="005B5D40">
      <w:r>
        <w:t>Algemeen wordt opgemerkt dat de maximalistische scenario’s niet enkel zijn uitgewerkt voor de geplande situatie (met differentiatie tussen fase 1 en fase 2), maar ook voor de huidige, vergunde situatie. Het project omvat immers zowel een hervergunning van de huidige activiteiten als een uitbreiding hiervan. Het eveneens uitwerken van de maximalistische scenario’s voor de huidige vergunde situatie, laat dan ook toe om de impact van de uitbreiding als dusdanig duidelijk te kaderen t.o.v. de vergunde / te hervergunnen situatie.</w:t>
      </w:r>
    </w:p>
    <w:p w:rsidR="00F077DA" w:rsidRDefault="00A52EC4" w:rsidP="00F077DA">
      <w:pPr>
        <w:ind w:left="851" w:hanging="851"/>
      </w:pPr>
      <w:r>
        <w:t>Opm.</w:t>
      </w:r>
      <w:r>
        <w:tab/>
        <w:t xml:space="preserve">de </w:t>
      </w:r>
      <w:r w:rsidR="000113FA">
        <w:t xml:space="preserve">samenstelling van de productenopslag waarvan wordt uitgegaan in de maximalistische scenario’s (in het bijzonder het maximalistisch VOS scenario) zijn theoretische samenstellingen. Gebaseerd op ervaring van de afgelopen 10 jaar met de drie opslagterminals van Vopak in de Antwerpse haven (VTE, VTA en VTL) kan gesteld worden dat deze zich in realiteit niet voordoen. Dit wordt geïllustreerd door de lijst representatieve stoffen (zie tabel </w:t>
      </w:r>
      <w:r w:rsidR="00C325A0">
        <w:fldChar w:fldCharType="begin"/>
      </w:r>
      <w:r w:rsidR="000113FA">
        <w:instrText xml:space="preserve"> REF t_overzicht_gev_stoffen \h </w:instrText>
      </w:r>
      <w:r w:rsidR="00C325A0">
        <w:fldChar w:fldCharType="separate"/>
      </w:r>
      <w:r w:rsidR="008102D8">
        <w:t>IV.</w:t>
      </w:r>
      <w:r w:rsidR="008102D8">
        <w:rPr>
          <w:noProof/>
        </w:rPr>
        <w:t>1</w:t>
      </w:r>
      <w:r w:rsidR="00C325A0">
        <w:fldChar w:fldCharType="end"/>
      </w:r>
      <w:r w:rsidR="000113FA">
        <w:t xml:space="preserve">)  die op basis van bovenvermelde ervaring is samengesteld. </w:t>
      </w:r>
    </w:p>
    <w:p w:rsidR="005B5D40" w:rsidRDefault="005B5D40" w:rsidP="005B5D40">
      <w:r>
        <w:rPr>
          <w:rFonts w:cs="Arial"/>
        </w:rPr>
        <w:t>De gehanteerde berekeningswijze, waarbij voor de toekomstige situatie aangenomen wordt dat de relatieve emissies gelijkaardig zijn aan deze van de actuele situatie, houdt in dat er een overschatting van de emissies meegenomen wordt. Dit omwille van het feit dat de nieuwe tanks uitgerust worden met drukvalven die slechts bij een hogere overdruk aanleiding zullen geven tot emissies. Hierdoor zullen vnl. de ademhalingsverliezen van de nieuwe opslagtanks aanzienlijk lager zijn dan deze van de meeste actuele tanks. Gezien de ademhalingsverliezen zowat 33% uitmaken van de totale verliezen, kan de overschatting van de emissies verbonden aan de nieuwe tanks als aanzienlijk beschouwd worden.</w:t>
      </w:r>
    </w:p>
    <w:p w:rsidR="005B5D40" w:rsidRDefault="005B5D40" w:rsidP="00106E5B">
      <w:pPr>
        <w:pStyle w:val="tabel0"/>
      </w:pPr>
      <w:r>
        <w:lastRenderedPageBreak/>
        <w:t>Tabel</w:t>
      </w:r>
      <w:r w:rsidR="009C1E15">
        <w:t xml:space="preserve"> </w:t>
      </w:r>
      <w:r w:rsidR="00C325A0">
        <w:fldChar w:fldCharType="begin"/>
      </w:r>
      <w:r w:rsidR="009C1E15">
        <w:instrText xml:space="preserve"> REF t_lucht_VOS_extrapolatie \h </w:instrText>
      </w:r>
      <w:r w:rsidR="00C325A0">
        <w:fldChar w:fldCharType="separate"/>
      </w:r>
      <w:r w:rsidR="008102D8">
        <w:t>VIII.2.14</w:t>
      </w:r>
      <w:r w:rsidR="00C325A0">
        <w:fldChar w:fldCharType="end"/>
      </w:r>
      <w:r w:rsidR="009C1E15">
        <w:t>:</w:t>
      </w:r>
      <w:r>
        <w:tab/>
        <w:t xml:space="preserve">Berekende toekomstige emissies uitgaande van extrapolatie van  actuele emissies (realistisch scenario) </w:t>
      </w:r>
    </w:p>
    <w:tbl>
      <w:tblPr>
        <w:tblW w:w="9796" w:type="dxa"/>
        <w:tblInd w:w="55" w:type="dxa"/>
        <w:tblLayout w:type="fixed"/>
        <w:tblCellMar>
          <w:left w:w="70" w:type="dxa"/>
          <w:right w:w="70" w:type="dxa"/>
        </w:tblCellMar>
        <w:tblLook w:val="0000"/>
      </w:tblPr>
      <w:tblGrid>
        <w:gridCol w:w="1858"/>
        <w:gridCol w:w="709"/>
        <w:gridCol w:w="1032"/>
        <w:gridCol w:w="1033"/>
        <w:gridCol w:w="1033"/>
        <w:gridCol w:w="1032"/>
        <w:gridCol w:w="1033"/>
        <w:gridCol w:w="1033"/>
        <w:gridCol w:w="1033"/>
      </w:tblGrid>
      <w:tr w:rsidR="00144D5E" w:rsidRPr="00701710" w:rsidTr="00971F46">
        <w:trPr>
          <w:trHeight w:val="225"/>
        </w:trPr>
        <w:tc>
          <w:tcPr>
            <w:tcW w:w="1858"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b/>
                <w:sz w:val="16"/>
                <w:szCs w:val="16"/>
              </w:rPr>
              <w:t> </w:t>
            </w:r>
          </w:p>
        </w:tc>
        <w:tc>
          <w:tcPr>
            <w:tcW w:w="709" w:type="dxa"/>
            <w:tcBorders>
              <w:top w:val="single" w:sz="4" w:space="0" w:color="auto"/>
              <w:left w:val="nil"/>
              <w:bottom w:val="single" w:sz="4" w:space="0" w:color="auto"/>
              <w:right w:val="single" w:sz="4" w:space="0" w:color="auto"/>
            </w:tcBorders>
            <w:shd w:val="clear" w:color="auto" w:fill="CCCCCC"/>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b/>
                <w:sz w:val="16"/>
                <w:szCs w:val="16"/>
              </w:rPr>
              <w:t> </w:t>
            </w:r>
          </w:p>
        </w:tc>
        <w:tc>
          <w:tcPr>
            <w:tcW w:w="1032" w:type="dxa"/>
            <w:tcBorders>
              <w:top w:val="single" w:sz="4" w:space="0" w:color="auto"/>
              <w:left w:val="nil"/>
              <w:bottom w:val="single" w:sz="4" w:space="0" w:color="auto"/>
              <w:right w:val="single" w:sz="4" w:space="0" w:color="auto"/>
            </w:tcBorders>
            <w:shd w:val="clear" w:color="auto" w:fill="CCCCCC"/>
            <w:noWrap/>
            <w:vAlign w:val="center"/>
          </w:tcPr>
          <w:p w:rsidR="00F077DA" w:rsidRPr="00F077DA" w:rsidRDefault="00F077DA" w:rsidP="00F077DA">
            <w:pPr>
              <w:pStyle w:val="normaltabel"/>
              <w:keepNext/>
              <w:widowControl/>
              <w:jc w:val="center"/>
              <w:rPr>
                <w:rFonts w:cs="Calibri"/>
                <w:b/>
                <w:i/>
                <w:caps/>
                <w:color w:val="808080"/>
                <w:spacing w:val="26"/>
                <w:kern w:val="28"/>
                <w:sz w:val="16"/>
                <w:szCs w:val="16"/>
              </w:rPr>
            </w:pPr>
            <w:r w:rsidRPr="00F077DA">
              <w:rPr>
                <w:rFonts w:cs="Calibri"/>
                <w:b/>
                <w:i/>
                <w:sz w:val="16"/>
                <w:szCs w:val="16"/>
              </w:rPr>
              <w:t>2008</w:t>
            </w:r>
          </w:p>
        </w:tc>
        <w:tc>
          <w:tcPr>
            <w:tcW w:w="1033" w:type="dxa"/>
            <w:tcBorders>
              <w:top w:val="single" w:sz="4" w:space="0" w:color="auto"/>
              <w:left w:val="nil"/>
              <w:bottom w:val="single" w:sz="4" w:space="0" w:color="auto"/>
              <w:right w:val="single" w:sz="4" w:space="0" w:color="auto"/>
            </w:tcBorders>
            <w:shd w:val="clear" w:color="auto" w:fill="CCCCCC"/>
            <w:noWrap/>
            <w:vAlign w:val="center"/>
          </w:tcPr>
          <w:p w:rsidR="00F077DA" w:rsidRPr="00F077DA" w:rsidRDefault="00F077DA" w:rsidP="00F077DA">
            <w:pPr>
              <w:pStyle w:val="normaltabel"/>
              <w:keepNext/>
              <w:widowControl/>
              <w:jc w:val="center"/>
              <w:rPr>
                <w:rFonts w:cs="Calibri"/>
                <w:b/>
                <w:i/>
                <w:caps/>
                <w:color w:val="808080"/>
                <w:spacing w:val="26"/>
                <w:kern w:val="28"/>
                <w:sz w:val="16"/>
                <w:szCs w:val="16"/>
              </w:rPr>
            </w:pPr>
            <w:r w:rsidRPr="00F077DA">
              <w:rPr>
                <w:rFonts w:cs="Calibri"/>
                <w:b/>
                <w:i/>
                <w:sz w:val="16"/>
                <w:szCs w:val="16"/>
              </w:rPr>
              <w:t>2009</w:t>
            </w:r>
          </w:p>
        </w:tc>
        <w:tc>
          <w:tcPr>
            <w:tcW w:w="1033" w:type="dxa"/>
            <w:tcBorders>
              <w:top w:val="single" w:sz="4" w:space="0" w:color="auto"/>
              <w:left w:val="nil"/>
              <w:bottom w:val="single" w:sz="4" w:space="0" w:color="auto"/>
              <w:right w:val="single" w:sz="4" w:space="0" w:color="auto"/>
            </w:tcBorders>
            <w:shd w:val="clear" w:color="auto" w:fill="CCCCCC"/>
            <w:noWrap/>
            <w:vAlign w:val="center"/>
          </w:tcPr>
          <w:p w:rsidR="00F077DA" w:rsidRPr="00F077DA" w:rsidRDefault="00F077DA" w:rsidP="00F077DA">
            <w:pPr>
              <w:pStyle w:val="normaltabel"/>
              <w:keepNext/>
              <w:widowControl/>
              <w:jc w:val="center"/>
              <w:rPr>
                <w:rFonts w:cs="Calibri"/>
                <w:b/>
                <w:i/>
                <w:caps/>
                <w:color w:val="808080"/>
                <w:spacing w:val="26"/>
                <w:kern w:val="28"/>
                <w:sz w:val="16"/>
                <w:szCs w:val="16"/>
              </w:rPr>
            </w:pPr>
            <w:r w:rsidRPr="00F077DA">
              <w:rPr>
                <w:rFonts w:cs="Calibri"/>
                <w:b/>
                <w:i/>
                <w:sz w:val="16"/>
                <w:szCs w:val="16"/>
              </w:rPr>
              <w:t>2010</w:t>
            </w:r>
          </w:p>
        </w:tc>
        <w:tc>
          <w:tcPr>
            <w:tcW w:w="1032" w:type="dxa"/>
            <w:tcBorders>
              <w:top w:val="single" w:sz="4" w:space="0" w:color="auto"/>
              <w:left w:val="nil"/>
              <w:bottom w:val="single" w:sz="4" w:space="0" w:color="auto"/>
              <w:right w:val="single" w:sz="4" w:space="0" w:color="auto"/>
            </w:tcBorders>
            <w:shd w:val="clear" w:color="auto" w:fill="CCCCCC"/>
            <w:noWrap/>
            <w:vAlign w:val="center"/>
          </w:tcPr>
          <w:p w:rsidR="00F077DA" w:rsidRPr="00F077DA" w:rsidRDefault="00F077DA" w:rsidP="00F077DA">
            <w:pPr>
              <w:pStyle w:val="normaltabel"/>
              <w:keepNext/>
              <w:widowControl/>
              <w:jc w:val="center"/>
              <w:rPr>
                <w:rFonts w:cs="Calibri"/>
                <w:b/>
                <w:caps/>
                <w:color w:val="808080"/>
                <w:spacing w:val="26"/>
                <w:kern w:val="28"/>
                <w:sz w:val="16"/>
                <w:szCs w:val="16"/>
              </w:rPr>
            </w:pPr>
            <w:r w:rsidRPr="00F077DA">
              <w:rPr>
                <w:rFonts w:cs="Calibri"/>
                <w:b/>
                <w:sz w:val="16"/>
                <w:szCs w:val="16"/>
              </w:rPr>
              <w:t>Gemiddeld actueel</w:t>
            </w:r>
            <w:r w:rsidRPr="00F077DA">
              <w:rPr>
                <w:rFonts w:cs="Calibri"/>
                <w:b/>
                <w:sz w:val="16"/>
                <w:szCs w:val="16"/>
              </w:rPr>
              <w:br/>
              <w:t>(excl. DVI)</w:t>
            </w:r>
          </w:p>
        </w:tc>
        <w:tc>
          <w:tcPr>
            <w:tcW w:w="1033" w:type="dxa"/>
            <w:tcBorders>
              <w:top w:val="single" w:sz="4" w:space="0" w:color="auto"/>
              <w:left w:val="nil"/>
              <w:bottom w:val="single" w:sz="4" w:space="0" w:color="auto"/>
              <w:right w:val="single" w:sz="4" w:space="0" w:color="auto"/>
            </w:tcBorders>
            <w:shd w:val="clear" w:color="auto" w:fill="CCCCCC"/>
            <w:vAlign w:val="center"/>
          </w:tcPr>
          <w:p w:rsidR="00F077DA" w:rsidRPr="00F077DA" w:rsidRDefault="00F077DA" w:rsidP="00F077DA">
            <w:pPr>
              <w:pStyle w:val="normaltabel"/>
              <w:keepNext/>
              <w:widowControl/>
              <w:jc w:val="center"/>
              <w:rPr>
                <w:rFonts w:cs="Calibri"/>
                <w:b/>
                <w:caps/>
                <w:color w:val="808080"/>
                <w:spacing w:val="26"/>
                <w:kern w:val="28"/>
                <w:sz w:val="16"/>
                <w:szCs w:val="16"/>
              </w:rPr>
            </w:pPr>
            <w:r w:rsidRPr="00F077DA">
              <w:rPr>
                <w:rFonts w:cs="Calibri"/>
                <w:b/>
                <w:sz w:val="16"/>
                <w:szCs w:val="16"/>
              </w:rPr>
              <w:t>gemiddeld referentie situatie</w:t>
            </w:r>
            <w:r w:rsidRPr="00F077DA">
              <w:rPr>
                <w:rFonts w:cs="Calibri"/>
                <w:b/>
                <w:sz w:val="16"/>
                <w:szCs w:val="16"/>
              </w:rPr>
              <w:br/>
              <w:t>(incl. DVI)</w:t>
            </w:r>
          </w:p>
        </w:tc>
        <w:tc>
          <w:tcPr>
            <w:tcW w:w="1033" w:type="dxa"/>
            <w:tcBorders>
              <w:top w:val="single" w:sz="4" w:space="0" w:color="auto"/>
              <w:left w:val="nil"/>
              <w:bottom w:val="single" w:sz="4" w:space="0" w:color="auto"/>
              <w:right w:val="single" w:sz="4" w:space="0" w:color="auto"/>
            </w:tcBorders>
            <w:shd w:val="clear" w:color="auto" w:fill="CCCCCC"/>
            <w:vAlign w:val="center"/>
          </w:tcPr>
          <w:p w:rsidR="00F077DA" w:rsidRPr="00F077DA" w:rsidRDefault="00F077DA" w:rsidP="00F077DA">
            <w:pPr>
              <w:pStyle w:val="normaltabel"/>
              <w:keepNext/>
              <w:widowControl/>
              <w:jc w:val="center"/>
              <w:rPr>
                <w:rFonts w:cs="Calibri"/>
                <w:b/>
                <w:caps/>
                <w:color w:val="808080"/>
                <w:spacing w:val="26"/>
                <w:kern w:val="28"/>
                <w:sz w:val="16"/>
                <w:szCs w:val="16"/>
              </w:rPr>
            </w:pPr>
            <w:r w:rsidRPr="00F077DA">
              <w:rPr>
                <w:rFonts w:cs="Calibri"/>
                <w:b/>
                <w:sz w:val="16"/>
                <w:szCs w:val="16"/>
              </w:rPr>
              <w:t>gepland</w:t>
            </w:r>
          </w:p>
          <w:p w:rsidR="00F077DA" w:rsidRPr="00F077DA" w:rsidRDefault="00F077DA" w:rsidP="00F077DA">
            <w:pPr>
              <w:pStyle w:val="normaltabel"/>
              <w:keepNext/>
              <w:widowControl/>
              <w:jc w:val="center"/>
              <w:rPr>
                <w:rFonts w:cs="Calibri"/>
                <w:b/>
                <w:caps/>
                <w:color w:val="808080"/>
                <w:spacing w:val="26"/>
                <w:kern w:val="28"/>
                <w:sz w:val="16"/>
                <w:szCs w:val="16"/>
              </w:rPr>
            </w:pPr>
            <w:r w:rsidRPr="00F077DA">
              <w:rPr>
                <w:rFonts w:cs="Calibri"/>
                <w:b/>
                <w:sz w:val="16"/>
                <w:szCs w:val="16"/>
              </w:rPr>
              <w:t>(fase 1)</w:t>
            </w:r>
          </w:p>
        </w:tc>
        <w:tc>
          <w:tcPr>
            <w:tcW w:w="1033" w:type="dxa"/>
            <w:tcBorders>
              <w:top w:val="single" w:sz="4" w:space="0" w:color="auto"/>
              <w:left w:val="nil"/>
              <w:bottom w:val="single" w:sz="4" w:space="0" w:color="auto"/>
              <w:right w:val="single" w:sz="4" w:space="0" w:color="auto"/>
            </w:tcBorders>
            <w:shd w:val="clear" w:color="auto" w:fill="CCCCCC"/>
            <w:vAlign w:val="center"/>
          </w:tcPr>
          <w:p w:rsidR="00F077DA" w:rsidRPr="00F077DA" w:rsidRDefault="00F077DA" w:rsidP="00F077DA">
            <w:pPr>
              <w:pStyle w:val="normaltabel"/>
              <w:keepNext/>
              <w:widowControl/>
              <w:jc w:val="center"/>
              <w:rPr>
                <w:rFonts w:cs="Calibri"/>
                <w:b/>
                <w:caps/>
                <w:color w:val="808080"/>
                <w:spacing w:val="26"/>
                <w:kern w:val="28"/>
                <w:sz w:val="16"/>
                <w:szCs w:val="16"/>
              </w:rPr>
            </w:pPr>
            <w:r w:rsidRPr="00F077DA">
              <w:rPr>
                <w:rFonts w:cs="Calibri"/>
                <w:b/>
                <w:sz w:val="16"/>
                <w:szCs w:val="16"/>
              </w:rPr>
              <w:t>gepland</w:t>
            </w:r>
          </w:p>
          <w:p w:rsidR="00F077DA" w:rsidRPr="00F077DA" w:rsidRDefault="00F077DA" w:rsidP="00F077DA">
            <w:pPr>
              <w:pStyle w:val="normaltabel"/>
              <w:keepNext/>
              <w:widowControl/>
              <w:jc w:val="center"/>
              <w:rPr>
                <w:rFonts w:cs="Calibri"/>
                <w:b/>
                <w:caps/>
                <w:color w:val="808080"/>
                <w:spacing w:val="26"/>
                <w:kern w:val="28"/>
                <w:sz w:val="16"/>
                <w:szCs w:val="16"/>
              </w:rPr>
            </w:pPr>
            <w:r w:rsidRPr="00F077DA">
              <w:rPr>
                <w:rFonts w:cs="Calibri"/>
                <w:b/>
                <w:sz w:val="16"/>
                <w:szCs w:val="16"/>
              </w:rPr>
              <w:t>(fase 2)</w:t>
            </w:r>
          </w:p>
        </w:tc>
      </w:tr>
      <w:tr w:rsidR="00971F46" w:rsidRPr="00701710" w:rsidTr="00971F4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sz w:val="16"/>
                <w:szCs w:val="16"/>
              </w:rPr>
              <w:t>terminalcapaciteit</w:t>
            </w:r>
          </w:p>
        </w:tc>
        <w:tc>
          <w:tcPr>
            <w:tcW w:w="709"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sz w:val="16"/>
                <w:szCs w:val="16"/>
              </w:rPr>
              <w:t>ton</w:t>
            </w:r>
          </w:p>
        </w:tc>
        <w:tc>
          <w:tcPr>
            <w:tcW w:w="1032"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jc w:val="center"/>
              <w:rPr>
                <w:rFonts w:cs="Calibri"/>
                <w:b/>
                <w:caps/>
                <w:color w:val="808080"/>
                <w:spacing w:val="26"/>
                <w:kern w:val="28"/>
                <w:sz w:val="16"/>
                <w:szCs w:val="16"/>
              </w:rPr>
            </w:pPr>
            <w:r w:rsidRPr="00F077DA">
              <w:rPr>
                <w:rFonts w:cs="Calibri"/>
                <w:sz w:val="16"/>
                <w:szCs w:val="16"/>
              </w:rPr>
              <w:t>477.855</w:t>
            </w:r>
          </w:p>
        </w:tc>
        <w:tc>
          <w:tcPr>
            <w:tcW w:w="1033"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477.855</w:t>
            </w:r>
          </w:p>
        </w:tc>
        <w:tc>
          <w:tcPr>
            <w:tcW w:w="1033"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477.855</w:t>
            </w:r>
          </w:p>
        </w:tc>
        <w:tc>
          <w:tcPr>
            <w:tcW w:w="1032"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jc w:val="center"/>
              <w:rPr>
                <w:rFonts w:cs="Calibri"/>
                <w:b/>
                <w:caps/>
                <w:color w:val="808080"/>
                <w:spacing w:val="26"/>
                <w:kern w:val="28"/>
                <w:sz w:val="16"/>
                <w:szCs w:val="16"/>
              </w:rPr>
            </w:pPr>
            <w:r w:rsidRPr="00F077DA">
              <w:rPr>
                <w:rFonts w:cs="Calibri"/>
                <w:sz w:val="16"/>
                <w:szCs w:val="16"/>
              </w:rPr>
              <w:t>477.855</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pStyle w:val="normaltabel"/>
              <w:keepNext/>
              <w:widowControl/>
              <w:jc w:val="center"/>
              <w:rPr>
                <w:rFonts w:cs="Calibri"/>
                <w:b/>
                <w:caps/>
                <w:color w:val="808080"/>
                <w:spacing w:val="26"/>
                <w:kern w:val="28"/>
                <w:sz w:val="16"/>
                <w:szCs w:val="16"/>
              </w:rPr>
            </w:pPr>
            <w:r w:rsidRPr="00F077DA">
              <w:rPr>
                <w:rFonts w:cs="Calibri"/>
                <w:sz w:val="16"/>
                <w:szCs w:val="16"/>
              </w:rPr>
              <w:t>477.855</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pStyle w:val="normaltabel"/>
              <w:keepNext/>
              <w:widowControl/>
              <w:jc w:val="center"/>
              <w:rPr>
                <w:rFonts w:cs="Calibri"/>
                <w:b/>
                <w:caps/>
                <w:color w:val="808080"/>
                <w:spacing w:val="26"/>
                <w:kern w:val="28"/>
                <w:sz w:val="16"/>
                <w:szCs w:val="16"/>
              </w:rPr>
            </w:pPr>
            <w:r w:rsidRPr="00F077DA">
              <w:rPr>
                <w:rFonts w:cs="Calibri"/>
                <w:sz w:val="16"/>
                <w:szCs w:val="16"/>
              </w:rPr>
              <w:t>500.640</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pStyle w:val="normaltabel"/>
              <w:keepNext/>
              <w:widowControl/>
              <w:jc w:val="center"/>
              <w:rPr>
                <w:rFonts w:cs="Calibri"/>
                <w:b/>
                <w:caps/>
                <w:color w:val="808080"/>
                <w:spacing w:val="26"/>
                <w:kern w:val="28"/>
                <w:sz w:val="16"/>
                <w:szCs w:val="16"/>
              </w:rPr>
            </w:pPr>
            <w:r w:rsidRPr="00F077DA">
              <w:rPr>
                <w:rFonts w:cs="Calibri"/>
                <w:sz w:val="16"/>
                <w:szCs w:val="16"/>
              </w:rPr>
              <w:t>510.640</w:t>
            </w:r>
          </w:p>
        </w:tc>
      </w:tr>
      <w:tr w:rsidR="00971F46" w:rsidRPr="00701710" w:rsidTr="00971F4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sz w:val="16"/>
                <w:szCs w:val="16"/>
              </w:rPr>
              <w:t>adem- en uitdampingsverliezen</w:t>
            </w:r>
          </w:p>
        </w:tc>
        <w:tc>
          <w:tcPr>
            <w:tcW w:w="709"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sz w:val="16"/>
                <w:szCs w:val="16"/>
              </w:rPr>
              <w:t>ton/jaar</w:t>
            </w:r>
          </w:p>
        </w:tc>
        <w:tc>
          <w:tcPr>
            <w:tcW w:w="1032"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15,8</w:t>
            </w:r>
          </w:p>
        </w:tc>
        <w:tc>
          <w:tcPr>
            <w:tcW w:w="1033"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15,8</w:t>
            </w:r>
          </w:p>
        </w:tc>
        <w:tc>
          <w:tcPr>
            <w:tcW w:w="1033"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16</w:t>
            </w:r>
          </w:p>
        </w:tc>
        <w:tc>
          <w:tcPr>
            <w:tcW w:w="1032"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15,9</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6,4</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6,7</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6,9</w:t>
            </w:r>
          </w:p>
        </w:tc>
      </w:tr>
      <w:tr w:rsidR="00971F46" w:rsidRPr="00701710" w:rsidTr="00971F4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sz w:val="16"/>
                <w:szCs w:val="16"/>
              </w:rPr>
              <w:t>verdrijvings- en uitpompingsverliezen</w:t>
            </w:r>
          </w:p>
        </w:tc>
        <w:tc>
          <w:tcPr>
            <w:tcW w:w="709"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sz w:val="16"/>
                <w:szCs w:val="16"/>
              </w:rPr>
              <w:t>ton/jaar</w:t>
            </w:r>
          </w:p>
        </w:tc>
        <w:tc>
          <w:tcPr>
            <w:tcW w:w="1032"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21,4</w:t>
            </w:r>
          </w:p>
        </w:tc>
        <w:tc>
          <w:tcPr>
            <w:tcW w:w="1033"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12,2</w:t>
            </w:r>
          </w:p>
        </w:tc>
        <w:tc>
          <w:tcPr>
            <w:tcW w:w="1033"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25</w:t>
            </w:r>
          </w:p>
        </w:tc>
        <w:tc>
          <w:tcPr>
            <w:tcW w:w="1032"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19,5</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1,2</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1,2</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1,2</w:t>
            </w:r>
          </w:p>
        </w:tc>
      </w:tr>
      <w:tr w:rsidR="00971F46" w:rsidRPr="00701710" w:rsidTr="00971F4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sz w:val="16"/>
                <w:szCs w:val="16"/>
              </w:rPr>
              <w:t>beladingsverliezen</w:t>
            </w:r>
          </w:p>
        </w:tc>
        <w:tc>
          <w:tcPr>
            <w:tcW w:w="709"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sz w:val="16"/>
                <w:szCs w:val="16"/>
              </w:rPr>
              <w:t>ton/jaar</w:t>
            </w:r>
          </w:p>
        </w:tc>
        <w:tc>
          <w:tcPr>
            <w:tcW w:w="1032"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14,5</w:t>
            </w:r>
          </w:p>
        </w:tc>
        <w:tc>
          <w:tcPr>
            <w:tcW w:w="1033"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11,4</w:t>
            </w:r>
          </w:p>
        </w:tc>
        <w:tc>
          <w:tcPr>
            <w:tcW w:w="1033"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15</w:t>
            </w:r>
          </w:p>
        </w:tc>
        <w:tc>
          <w:tcPr>
            <w:tcW w:w="1032"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13,6</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2,8</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2,9</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3,0</w:t>
            </w:r>
          </w:p>
        </w:tc>
      </w:tr>
      <w:tr w:rsidR="00971F46" w:rsidRPr="00701710" w:rsidTr="00971F4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b/>
                <w:sz w:val="16"/>
                <w:szCs w:val="16"/>
              </w:rPr>
              <w:t>totaal</w:t>
            </w:r>
          </w:p>
        </w:tc>
        <w:tc>
          <w:tcPr>
            <w:tcW w:w="709"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sz w:val="16"/>
                <w:szCs w:val="16"/>
              </w:rPr>
              <w:t>ton/jaar</w:t>
            </w:r>
          </w:p>
        </w:tc>
        <w:tc>
          <w:tcPr>
            <w:tcW w:w="1032"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51,7</w:t>
            </w:r>
          </w:p>
        </w:tc>
        <w:tc>
          <w:tcPr>
            <w:tcW w:w="1033"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39,4</w:t>
            </w:r>
          </w:p>
        </w:tc>
        <w:tc>
          <w:tcPr>
            <w:tcW w:w="1033"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56</w:t>
            </w:r>
          </w:p>
        </w:tc>
        <w:tc>
          <w:tcPr>
            <w:tcW w:w="1032"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49,0</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10,4</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10,9</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11,1</w:t>
            </w:r>
          </w:p>
        </w:tc>
      </w:tr>
      <w:tr w:rsidR="00971F46" w:rsidRPr="00701710" w:rsidTr="00971F4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rPr>
                <w:rFonts w:cs="Calibri"/>
                <w:b/>
                <w:caps/>
                <w:color w:val="808080"/>
                <w:spacing w:val="26"/>
                <w:kern w:val="28"/>
                <w:sz w:val="16"/>
                <w:szCs w:val="16"/>
              </w:rPr>
            </w:pPr>
            <w:r w:rsidRPr="00F077DA">
              <w:rPr>
                <w:rFonts w:cs="Calibri"/>
                <w:sz w:val="16"/>
                <w:szCs w:val="16"/>
              </w:rPr>
              <w:t>verlies / terminalcapaciteit</w:t>
            </w:r>
          </w:p>
        </w:tc>
        <w:tc>
          <w:tcPr>
            <w:tcW w:w="709"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pStyle w:val="normaltabel"/>
              <w:keepNext/>
              <w:widowControl/>
              <w:rPr>
                <w:rFonts w:cs="Calibri"/>
                <w:b/>
                <w:caps/>
                <w:color w:val="808080"/>
                <w:spacing w:val="26"/>
                <w:kern w:val="28"/>
                <w:sz w:val="16"/>
                <w:szCs w:val="16"/>
              </w:rPr>
            </w:pPr>
          </w:p>
        </w:tc>
        <w:tc>
          <w:tcPr>
            <w:tcW w:w="1032"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0,11</w:t>
            </w:r>
          </w:p>
        </w:tc>
        <w:tc>
          <w:tcPr>
            <w:tcW w:w="1033"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0,08</w:t>
            </w:r>
          </w:p>
        </w:tc>
        <w:tc>
          <w:tcPr>
            <w:tcW w:w="1033"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0,12</w:t>
            </w:r>
          </w:p>
        </w:tc>
        <w:tc>
          <w:tcPr>
            <w:tcW w:w="1032" w:type="dxa"/>
            <w:tcBorders>
              <w:top w:val="nil"/>
              <w:left w:val="nil"/>
              <w:bottom w:val="single" w:sz="4" w:space="0" w:color="auto"/>
              <w:right w:val="single" w:sz="4" w:space="0" w:color="auto"/>
            </w:tcBorders>
            <w:shd w:val="clear" w:color="auto" w:fill="auto"/>
            <w:noWrap/>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0,10</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0,02</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0,02</w:t>
            </w:r>
          </w:p>
        </w:tc>
        <w:tc>
          <w:tcPr>
            <w:tcW w:w="1033" w:type="dxa"/>
            <w:tcBorders>
              <w:top w:val="nil"/>
              <w:left w:val="nil"/>
              <w:bottom w:val="single" w:sz="4" w:space="0" w:color="auto"/>
              <w:right w:val="single" w:sz="4" w:space="0" w:color="auto"/>
            </w:tcBorders>
            <w:vAlign w:val="center"/>
          </w:tcPr>
          <w:p w:rsidR="00F077DA" w:rsidRPr="00F077DA" w:rsidRDefault="00F077DA" w:rsidP="00F077DA">
            <w:pPr>
              <w:keepNext/>
              <w:spacing w:before="0" w:after="0"/>
              <w:jc w:val="center"/>
              <w:rPr>
                <w:rFonts w:cs="Calibri"/>
                <w:b/>
                <w:caps/>
                <w:color w:val="808080"/>
                <w:spacing w:val="26"/>
                <w:kern w:val="28"/>
                <w:sz w:val="16"/>
                <w:szCs w:val="16"/>
                <w:lang w:val="nl"/>
              </w:rPr>
            </w:pPr>
            <w:r w:rsidRPr="00F077DA">
              <w:rPr>
                <w:rFonts w:cs="Calibri"/>
                <w:sz w:val="16"/>
                <w:szCs w:val="16"/>
              </w:rPr>
              <w:t>0,02</w:t>
            </w:r>
          </w:p>
        </w:tc>
      </w:tr>
    </w:tbl>
    <w:p w:rsidR="005B5D40" w:rsidRDefault="005B5D40" w:rsidP="005B5D40">
      <w:pPr>
        <w:pStyle w:val="tit-5"/>
      </w:pPr>
      <w:r>
        <w:t>realistisch scenario</w:t>
      </w:r>
    </w:p>
    <w:p w:rsidR="005B5D40" w:rsidRDefault="005B5D40" w:rsidP="005B5D40">
      <w:pPr>
        <w:keepNext/>
      </w:pPr>
      <w:r>
        <w:t>De VOS-emissie voor het realistisch scenario wordt bepaald aan de hand van</w:t>
      </w:r>
    </w:p>
    <w:p w:rsidR="005B5D40" w:rsidRDefault="005B5D40" w:rsidP="005B5D40">
      <w:pPr>
        <w:pStyle w:val="ListParagraph"/>
        <w:numPr>
          <w:ilvl w:val="0"/>
          <w:numId w:val="16"/>
        </w:numPr>
        <w:tabs>
          <w:tab w:val="clear" w:pos="2007"/>
          <w:tab w:val="num" w:pos="284"/>
        </w:tabs>
        <w:ind w:left="284" w:hanging="284"/>
        <w:jc w:val="left"/>
      </w:pPr>
      <w:r>
        <w:t xml:space="preserve">de gerapporteerde VOS-emissies (2008, 2009, 2010), </w:t>
      </w:r>
    </w:p>
    <w:p w:rsidR="005B5D40" w:rsidRDefault="005B5D40" w:rsidP="005B5D40">
      <w:pPr>
        <w:pStyle w:val="ListParagraph"/>
        <w:numPr>
          <w:ilvl w:val="0"/>
          <w:numId w:val="16"/>
        </w:numPr>
        <w:tabs>
          <w:tab w:val="clear" w:pos="2007"/>
          <w:tab w:val="num" w:pos="284"/>
        </w:tabs>
        <w:ind w:left="284" w:hanging="284"/>
        <w:jc w:val="left"/>
      </w:pPr>
      <w:r>
        <w:t>de beschikbare opslagcapaciteit in de terminal (in ton),</w:t>
      </w:r>
    </w:p>
    <w:p w:rsidR="005B5D40" w:rsidRDefault="005B5D40" w:rsidP="005B5D40">
      <w:pPr>
        <w:pStyle w:val="ListParagraph"/>
        <w:numPr>
          <w:ilvl w:val="0"/>
          <w:numId w:val="16"/>
        </w:numPr>
        <w:tabs>
          <w:tab w:val="clear" w:pos="2007"/>
          <w:tab w:val="num" w:pos="284"/>
        </w:tabs>
        <w:ind w:left="284" w:hanging="284"/>
        <w:jc w:val="left"/>
      </w:pPr>
      <w:r>
        <w:t>en rekening houdend met het feit dat vanaf medio 2011 een dampbehandelingsinstallatie zal ingezet worden voor de behandeling van VOS-emissies afkomstig van de op- en overslag van stoffen met een P</w:t>
      </w:r>
      <w:r w:rsidRPr="009B5DC0">
        <w:rPr>
          <w:vertAlign w:val="subscript"/>
        </w:rPr>
        <w:t>damp</w:t>
      </w:r>
      <w:r>
        <w:t xml:space="preserve"> &gt; 13,3 kPa@35 °C</w:t>
      </w:r>
      <w:r>
        <w:rPr>
          <w:rStyle w:val="FootnoteReference"/>
        </w:rPr>
        <w:footnoteReference w:id="58"/>
      </w:r>
      <w:r>
        <w:t>.</w:t>
      </w:r>
    </w:p>
    <w:p w:rsidR="005B5D40" w:rsidRDefault="005B5D40" w:rsidP="005B5D40">
      <w:pPr>
        <w:rPr>
          <w:rFonts w:cs="Arial"/>
        </w:rPr>
      </w:pPr>
      <w:r>
        <w:rPr>
          <w:rFonts w:cs="Arial"/>
        </w:rPr>
        <w:t>Dit impliceert dan ook dat voor de toekomstige situatie gerekend wordt met éénzelfde productmatrix en een vergelijkbare relatieve doorzet zoals gebruikt bij de actuele situatie.</w:t>
      </w:r>
    </w:p>
    <w:p w:rsidR="004924D2" w:rsidRDefault="005B5D40" w:rsidP="005B5D40">
      <w:r>
        <w:t xml:space="preserve">Uit bovenstaande blijkt dat het in gebruik nemen van de DVI een zeer grote impact zal hebben op de totale </w:t>
      </w:r>
      <w:r w:rsidR="004924D2">
        <w:t xml:space="preserve"> VOS-emissies van de terminal. </w:t>
      </w:r>
    </w:p>
    <w:p w:rsidR="005B5D40" w:rsidRDefault="005B5D40" w:rsidP="005B5D40">
      <w:r>
        <w:t>Het is nl. zo dat in de periode 2008 – 2010 de VOS-emissies voor 70 à 85% bepaald worden door de op- en overslag van stoffen met een dampspanning P</w:t>
      </w:r>
      <w:r w:rsidRPr="00B344DA">
        <w:rPr>
          <w:vertAlign w:val="subscript"/>
        </w:rPr>
        <w:t>damp</w:t>
      </w:r>
      <w:r>
        <w:t xml:space="preserve"> &gt; 13,3 kPa@35 °C (i.c. hexeen en isopreen). Het feit dat deze emissies in de toekomst zullen afgeleid worden naar een centrale dampbehandelingseenheid heeft dan ook een zeer grote impact op de totale VOS-emissies van de terminal.</w:t>
      </w:r>
    </w:p>
    <w:p w:rsidR="005B5D40" w:rsidRDefault="005B5D40" w:rsidP="005B5D40">
      <w:r>
        <w:t>Na uitbreiding van de opslagcapaciteit zullen de VOS-emissies in een realistisch scenario dan ook de totale VOS-emissies nog steeds lager zijn diegene die voorkwamen in de periode 2008 – 2010.</w:t>
      </w:r>
    </w:p>
    <w:p w:rsidR="005B5D40" w:rsidRDefault="005B5D40" w:rsidP="005B5D40"/>
    <w:p w:rsidR="005B5D40" w:rsidRPr="00D80412" w:rsidRDefault="005B5D40" w:rsidP="005B5D40">
      <w:pPr>
        <w:pStyle w:val="tsstekst"/>
        <w:keepNext/>
        <w:pBdr>
          <w:top w:val="single" w:sz="4" w:space="1" w:color="auto"/>
          <w:left w:val="single" w:sz="4" w:space="1" w:color="auto"/>
          <w:bottom w:val="single" w:sz="4" w:space="1" w:color="auto"/>
          <w:right w:val="single" w:sz="4" w:space="1" w:color="auto"/>
        </w:pBdr>
        <w:shd w:val="clear" w:color="auto" w:fill="DBE5F1" w:themeFill="accent1" w:themeFillTint="33"/>
        <w:rPr>
          <w:b/>
        </w:rPr>
      </w:pPr>
      <w:r w:rsidRPr="00D80412">
        <w:rPr>
          <w:b/>
        </w:rPr>
        <w:t>toetsing aan de wettelijke voorwaarden van Vlarem II</w:t>
      </w:r>
    </w:p>
    <w:p w:rsidR="005B5D40" w:rsidRDefault="005B5D40" w:rsidP="005B5D40">
      <w:pPr>
        <w:pStyle w:val="tsstekst"/>
        <w:keepNext/>
        <w:pBdr>
          <w:top w:val="single" w:sz="4" w:space="1" w:color="auto"/>
          <w:left w:val="single" w:sz="4" w:space="1" w:color="auto"/>
          <w:bottom w:val="single" w:sz="4" w:space="1" w:color="auto"/>
          <w:right w:val="single" w:sz="4" w:space="1" w:color="auto"/>
        </w:pBdr>
        <w:shd w:val="clear" w:color="auto" w:fill="DBE5F1" w:themeFill="accent1" w:themeFillTint="33"/>
      </w:pPr>
      <w:r>
        <w:t>In art. 5.17.4.4.3 van Vlarem II is bepaald dat wanneer de VOS-emissie meer dan 20 ton/jaar bedraagt, vanaf 1/1/2012 de nodige dampbeheersvoorzieningen dienen geïmplementeerd te worden zodanig dat de VOS-emissies met 85% gereduceerd te worden ten opzichte van de situatie zonder dampbeheersvoorzieningen.</w:t>
      </w:r>
    </w:p>
    <w:p w:rsidR="005B5D40" w:rsidRDefault="005B5D40" w:rsidP="005B5D40">
      <w:pPr>
        <w:pStyle w:val="tsstekst"/>
        <w:keepNext/>
        <w:pBdr>
          <w:top w:val="single" w:sz="4" w:space="1" w:color="auto"/>
          <w:left w:val="single" w:sz="4" w:space="1" w:color="auto"/>
          <w:bottom w:val="single" w:sz="4" w:space="1" w:color="auto"/>
          <w:right w:val="single" w:sz="4" w:space="1" w:color="auto"/>
        </w:pBdr>
        <w:shd w:val="clear" w:color="auto" w:fill="DBE5F1" w:themeFill="accent1" w:themeFillTint="33"/>
      </w:pPr>
      <w:r>
        <w:t>De VOS-emissies zonder enige vorm van dambeheersvoorzieningen kunnen als volgt ingeschat worden:</w:t>
      </w:r>
    </w:p>
    <w:p w:rsidR="005B5D40" w:rsidRDefault="005B5D40" w:rsidP="005B5D40">
      <w:pPr>
        <w:pStyle w:val="tsstekst"/>
        <w:numPr>
          <w:ilvl w:val="0"/>
          <w:numId w:val="16"/>
        </w:numPr>
        <w:pBdr>
          <w:top w:val="single" w:sz="4" w:space="1" w:color="auto"/>
          <w:left w:val="single" w:sz="4" w:space="1" w:color="auto"/>
          <w:bottom w:val="single" w:sz="4" w:space="1" w:color="auto"/>
          <w:right w:val="single" w:sz="4" w:space="1" w:color="auto"/>
        </w:pBdr>
        <w:shd w:val="clear" w:color="auto" w:fill="DBE5F1" w:themeFill="accent1" w:themeFillTint="33"/>
        <w:tabs>
          <w:tab w:val="clear" w:pos="2007"/>
          <w:tab w:val="num" w:pos="567"/>
        </w:tabs>
        <w:spacing w:before="0"/>
        <w:ind w:left="567" w:hanging="283"/>
        <w:jc w:val="left"/>
      </w:pPr>
      <w:r>
        <w:t>2010: 146 ton/j*</w:t>
      </w:r>
    </w:p>
    <w:p w:rsidR="005B5D40" w:rsidRDefault="005B5D40" w:rsidP="005B5D40">
      <w:pPr>
        <w:pStyle w:val="tsstekst"/>
        <w:numPr>
          <w:ilvl w:val="0"/>
          <w:numId w:val="16"/>
        </w:numPr>
        <w:pBdr>
          <w:top w:val="single" w:sz="4" w:space="1" w:color="auto"/>
          <w:left w:val="single" w:sz="4" w:space="1" w:color="auto"/>
          <w:bottom w:val="single" w:sz="4" w:space="1" w:color="auto"/>
          <w:right w:val="single" w:sz="4" w:space="1" w:color="auto"/>
        </w:pBdr>
        <w:shd w:val="clear" w:color="auto" w:fill="DBE5F1" w:themeFill="accent1" w:themeFillTint="33"/>
        <w:tabs>
          <w:tab w:val="clear" w:pos="2007"/>
          <w:tab w:val="num" w:pos="567"/>
        </w:tabs>
        <w:spacing w:before="0"/>
        <w:ind w:left="567" w:hanging="283"/>
        <w:jc w:val="left"/>
      </w:pPr>
      <w:r>
        <w:t>geplande situatie fase 1: 152 ton/j</w:t>
      </w:r>
    </w:p>
    <w:p w:rsidR="005B5D40" w:rsidRDefault="005B5D40" w:rsidP="005B5D40">
      <w:pPr>
        <w:pStyle w:val="tsstekst"/>
        <w:numPr>
          <w:ilvl w:val="0"/>
          <w:numId w:val="16"/>
        </w:numPr>
        <w:pBdr>
          <w:top w:val="single" w:sz="4" w:space="1" w:color="auto"/>
          <w:left w:val="single" w:sz="4" w:space="1" w:color="auto"/>
          <w:bottom w:val="single" w:sz="4" w:space="1" w:color="auto"/>
          <w:right w:val="single" w:sz="4" w:space="1" w:color="auto"/>
        </w:pBdr>
        <w:shd w:val="clear" w:color="auto" w:fill="DBE5F1" w:themeFill="accent1" w:themeFillTint="33"/>
        <w:tabs>
          <w:tab w:val="clear" w:pos="2007"/>
          <w:tab w:val="num" w:pos="567"/>
        </w:tabs>
        <w:spacing w:before="0"/>
        <w:ind w:left="567" w:hanging="283"/>
        <w:jc w:val="left"/>
      </w:pPr>
      <w:r>
        <w:lastRenderedPageBreak/>
        <w:t>geplande situatie fase 2: 155 ton/j</w:t>
      </w:r>
    </w:p>
    <w:p w:rsidR="005B5D40" w:rsidRDefault="005B5D40" w:rsidP="005B5D40">
      <w:pPr>
        <w:pStyle w:val="tsstekst"/>
        <w:pBdr>
          <w:top w:val="single" w:sz="4" w:space="1" w:color="auto"/>
          <w:left w:val="single" w:sz="4" w:space="1" w:color="auto"/>
          <w:bottom w:val="single" w:sz="4" w:space="1" w:color="auto"/>
          <w:right w:val="single" w:sz="4" w:space="1" w:color="auto"/>
        </w:pBdr>
        <w:shd w:val="clear" w:color="auto" w:fill="DBE5F1" w:themeFill="accent1" w:themeFillTint="33"/>
      </w:pPr>
      <w:r>
        <w:t>De VOS-emissies incl. dampbeheersvoorzieningen (dampbalans + DVI) bedragen:</w:t>
      </w:r>
    </w:p>
    <w:p w:rsidR="005B5D40" w:rsidRDefault="005B5D40" w:rsidP="005B5D40">
      <w:pPr>
        <w:pStyle w:val="tsstekst"/>
        <w:numPr>
          <w:ilvl w:val="0"/>
          <w:numId w:val="16"/>
        </w:numPr>
        <w:pBdr>
          <w:top w:val="single" w:sz="4" w:space="1" w:color="auto"/>
          <w:left w:val="single" w:sz="4" w:space="1" w:color="auto"/>
          <w:bottom w:val="single" w:sz="4" w:space="1" w:color="auto"/>
          <w:right w:val="single" w:sz="4" w:space="1" w:color="auto"/>
        </w:pBdr>
        <w:shd w:val="clear" w:color="auto" w:fill="DBE5F1" w:themeFill="accent1" w:themeFillTint="33"/>
        <w:tabs>
          <w:tab w:val="clear" w:pos="2007"/>
          <w:tab w:val="num" w:pos="567"/>
        </w:tabs>
        <w:spacing w:before="0"/>
        <w:ind w:left="567" w:hanging="283"/>
        <w:jc w:val="left"/>
      </w:pPr>
      <w:r>
        <w:t>2010: 9,6 ton/j</w:t>
      </w:r>
    </w:p>
    <w:p w:rsidR="005B5D40" w:rsidRDefault="005B5D40" w:rsidP="005B5D40">
      <w:pPr>
        <w:pStyle w:val="tsstekst"/>
        <w:numPr>
          <w:ilvl w:val="0"/>
          <w:numId w:val="16"/>
        </w:numPr>
        <w:pBdr>
          <w:top w:val="single" w:sz="4" w:space="1" w:color="auto"/>
          <w:left w:val="single" w:sz="4" w:space="1" w:color="auto"/>
          <w:bottom w:val="single" w:sz="4" w:space="1" w:color="auto"/>
          <w:right w:val="single" w:sz="4" w:space="1" w:color="auto"/>
        </w:pBdr>
        <w:shd w:val="clear" w:color="auto" w:fill="DBE5F1" w:themeFill="accent1" w:themeFillTint="33"/>
        <w:tabs>
          <w:tab w:val="clear" w:pos="2007"/>
          <w:tab w:val="num" w:pos="567"/>
        </w:tabs>
        <w:spacing w:before="0"/>
        <w:ind w:left="567" w:hanging="283"/>
        <w:jc w:val="left"/>
      </w:pPr>
      <w:r>
        <w:t>geplande situatie fase 1: 10,9 ton/j</w:t>
      </w:r>
    </w:p>
    <w:p w:rsidR="005B5D40" w:rsidRDefault="005B5D40" w:rsidP="005B5D40">
      <w:pPr>
        <w:pStyle w:val="tsstekst"/>
        <w:numPr>
          <w:ilvl w:val="0"/>
          <w:numId w:val="16"/>
        </w:numPr>
        <w:pBdr>
          <w:top w:val="single" w:sz="4" w:space="1" w:color="auto"/>
          <w:left w:val="single" w:sz="4" w:space="1" w:color="auto"/>
          <w:bottom w:val="single" w:sz="4" w:space="1" w:color="auto"/>
          <w:right w:val="single" w:sz="4" w:space="1" w:color="auto"/>
        </w:pBdr>
        <w:shd w:val="clear" w:color="auto" w:fill="DBE5F1" w:themeFill="accent1" w:themeFillTint="33"/>
        <w:tabs>
          <w:tab w:val="clear" w:pos="2007"/>
          <w:tab w:val="num" w:pos="567"/>
        </w:tabs>
        <w:spacing w:before="0"/>
        <w:ind w:left="567" w:hanging="283"/>
        <w:jc w:val="left"/>
      </w:pPr>
      <w:r>
        <w:t>geplande situatie fase 2: 11,1 ton/j</w:t>
      </w:r>
    </w:p>
    <w:p w:rsidR="005B5D40" w:rsidRDefault="005B5D40" w:rsidP="005B5D40">
      <w:pPr>
        <w:pStyle w:val="tsstekst"/>
        <w:pBdr>
          <w:top w:val="single" w:sz="4" w:space="1" w:color="auto"/>
          <w:left w:val="single" w:sz="4" w:space="1" w:color="auto"/>
          <w:bottom w:val="single" w:sz="4" w:space="1" w:color="auto"/>
          <w:right w:val="single" w:sz="4" w:space="1" w:color="auto"/>
        </w:pBdr>
        <w:shd w:val="clear" w:color="auto" w:fill="DBE5F1" w:themeFill="accent1" w:themeFillTint="33"/>
      </w:pPr>
      <w:r>
        <w:t>Het rendement van de voorziene dampbeheersvoorzieningen bedraagt dan ook ca. 93% en bijgevolg is er dan ook voldaan aan de wettelijke voorwaarden van Vlarem II.</w:t>
      </w:r>
    </w:p>
    <w:p w:rsidR="005B5D40" w:rsidRPr="00D80412" w:rsidRDefault="005B5D40" w:rsidP="005B5D40">
      <w:pPr>
        <w:pStyle w:val="tsstekst"/>
        <w:pBdr>
          <w:top w:val="single" w:sz="4" w:space="1" w:color="auto"/>
          <w:left w:val="single" w:sz="4" w:space="1" w:color="auto"/>
          <w:bottom w:val="single" w:sz="4" w:space="1" w:color="auto"/>
          <w:right w:val="single" w:sz="4" w:space="1" w:color="auto"/>
        </w:pBdr>
        <w:shd w:val="clear" w:color="auto" w:fill="DBE5F1" w:themeFill="accent1" w:themeFillTint="33"/>
        <w:ind w:left="426" w:hanging="142"/>
        <w:rPr>
          <w:sz w:val="16"/>
          <w:szCs w:val="16"/>
        </w:rPr>
      </w:pPr>
      <w:r w:rsidRPr="00D80412">
        <w:rPr>
          <w:sz w:val="16"/>
          <w:szCs w:val="16"/>
        </w:rPr>
        <w:t xml:space="preserve">* </w:t>
      </w:r>
      <w:r>
        <w:rPr>
          <w:sz w:val="16"/>
          <w:szCs w:val="16"/>
        </w:rPr>
        <w:t xml:space="preserve">Deze waarde wijkt af van </w:t>
      </w:r>
      <w:r w:rsidRPr="00D80412">
        <w:rPr>
          <w:sz w:val="16"/>
          <w:szCs w:val="16"/>
        </w:rPr>
        <w:t xml:space="preserve">de VOS-emissie voor 2010 vermeld in </w:t>
      </w:r>
      <w:r w:rsidR="00CB3B91" w:rsidRPr="00CB3B91">
        <w:rPr>
          <w:sz w:val="16"/>
          <w:szCs w:val="16"/>
        </w:rPr>
        <w:t xml:space="preserve">tabel </w:t>
      </w:r>
      <w:fldSimple w:instr=" REF t_lucht_VOS_actueel \h  \* MERGEFORMAT ">
        <w:r w:rsidR="008102D8">
          <w:t>VIII</w:t>
        </w:r>
        <w:r w:rsidR="008102D8" w:rsidRPr="00CB3B91">
          <w:t>.2.11</w:t>
        </w:r>
      </w:fldSimple>
      <w:r w:rsidR="00CB3B91" w:rsidRPr="00CB3B91">
        <w:rPr>
          <w:sz w:val="16"/>
          <w:szCs w:val="16"/>
        </w:rPr>
        <w:t xml:space="preserve"> daar</w:t>
      </w:r>
      <w:r>
        <w:rPr>
          <w:sz w:val="16"/>
          <w:szCs w:val="16"/>
        </w:rPr>
        <w:t xml:space="preserve"> in 2010 al wel dampbalans wordt toegepast</w:t>
      </w:r>
      <w:r w:rsidRPr="00D80412">
        <w:rPr>
          <w:sz w:val="16"/>
          <w:szCs w:val="16"/>
        </w:rPr>
        <w:t xml:space="preserve">. </w:t>
      </w:r>
    </w:p>
    <w:p w:rsidR="005B5D40" w:rsidRDefault="005B5D40" w:rsidP="005B5D40">
      <w:pPr>
        <w:pStyle w:val="tit-5"/>
      </w:pPr>
    </w:p>
    <w:p w:rsidR="005B5D40" w:rsidRDefault="005B5D40" w:rsidP="005B5D40">
      <w:pPr>
        <w:pStyle w:val="tit-5"/>
      </w:pPr>
      <w:r>
        <w:t>Maximalistisch scenario VOS-totaal</w:t>
      </w:r>
    </w:p>
    <w:p w:rsidR="005B5D40" w:rsidRDefault="005B5D40" w:rsidP="005B5D40">
      <w:pPr>
        <w:keepNext/>
      </w:pPr>
      <w:r>
        <w:t>Op basis van de evaluatie van de vluchtigheid en de maatregelen genomen bij opslag, worden volgende stoffen geselecteerd als referentieproduct voor de bepaling van het maximalistisch scenario VOS-totaal:</w:t>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10"/>
        <w:gridCol w:w="5953"/>
      </w:tblGrid>
      <w:tr w:rsidR="005B5D40" w:rsidTr="005B5D40">
        <w:tc>
          <w:tcPr>
            <w:tcW w:w="3510" w:type="dxa"/>
          </w:tcPr>
          <w:p w:rsidR="005B5D40" w:rsidRDefault="005B5D40" w:rsidP="005B5D40">
            <w:pPr>
              <w:keepNext/>
            </w:pPr>
            <w:r>
              <w:t>Zeer licht ontvlambare stoffen (P1 / F+):</w:t>
            </w:r>
          </w:p>
        </w:tc>
        <w:tc>
          <w:tcPr>
            <w:tcW w:w="5953" w:type="dxa"/>
          </w:tcPr>
          <w:p w:rsidR="005B5D40" w:rsidRDefault="005B5D40" w:rsidP="005B5D40">
            <w:pPr>
              <w:keepNext/>
            </w:pPr>
            <w:r>
              <w:t xml:space="preserve">- </w:t>
            </w:r>
            <w:r w:rsidRPr="00422DC3">
              <w:rPr>
                <w:i/>
              </w:rPr>
              <w:t>(1)</w:t>
            </w:r>
          </w:p>
        </w:tc>
      </w:tr>
      <w:tr w:rsidR="005B5D40" w:rsidTr="005B5D40">
        <w:tc>
          <w:tcPr>
            <w:tcW w:w="3510" w:type="dxa"/>
          </w:tcPr>
          <w:p w:rsidR="005B5D40" w:rsidRDefault="005B5D40" w:rsidP="005B5D40">
            <w:pPr>
              <w:keepNext/>
            </w:pPr>
            <w:r>
              <w:t>Licht ontvlambare stoffen (P1 / F):</w:t>
            </w:r>
          </w:p>
        </w:tc>
        <w:tc>
          <w:tcPr>
            <w:tcW w:w="5953" w:type="dxa"/>
          </w:tcPr>
          <w:p w:rsidR="005B5D40" w:rsidRDefault="005B5D40" w:rsidP="005B5D40">
            <w:pPr>
              <w:keepNext/>
            </w:pPr>
            <w:r>
              <w:t>isopropylacetaat, ethanol, heptaan en methylcyclohexaan</w:t>
            </w:r>
            <w:r w:rsidRPr="00422DC3">
              <w:rPr>
                <w:i/>
              </w:rPr>
              <w:t xml:space="preserve"> (2)</w:t>
            </w:r>
          </w:p>
        </w:tc>
      </w:tr>
      <w:tr w:rsidR="005B5D40" w:rsidTr="005B5D40">
        <w:tc>
          <w:tcPr>
            <w:tcW w:w="3510" w:type="dxa"/>
          </w:tcPr>
          <w:p w:rsidR="005B5D40" w:rsidRDefault="005B5D40" w:rsidP="005B5D40">
            <w:pPr>
              <w:keepNext/>
            </w:pPr>
            <w:r>
              <w:t xml:space="preserve">Gechloreerde verbindingen met </w:t>
            </w:r>
            <w:r w:rsidRPr="00AA016E">
              <w:t>P</w:t>
            </w:r>
            <w:r w:rsidRPr="00AA016E">
              <w:rPr>
                <w:vertAlign w:val="subscript"/>
              </w:rPr>
              <w:t>damp</w:t>
            </w:r>
            <w:r w:rsidRPr="00AA016E">
              <w:t xml:space="preserve"> </w:t>
            </w:r>
            <w:r>
              <w:t>&gt;</w:t>
            </w:r>
            <w:r w:rsidRPr="00AA016E">
              <w:t xml:space="preserve"> 13,3 kPa@35°C</w:t>
            </w:r>
          </w:p>
        </w:tc>
        <w:tc>
          <w:tcPr>
            <w:tcW w:w="5953" w:type="dxa"/>
          </w:tcPr>
          <w:p w:rsidR="005B5D40" w:rsidRDefault="005B5D40" w:rsidP="005B5D40">
            <w:pPr>
              <w:keepNext/>
            </w:pPr>
            <w:r>
              <w:t xml:space="preserve">Methyleenchloride </w:t>
            </w:r>
            <w:r>
              <w:br/>
            </w:r>
            <w:r w:rsidRPr="00B425F8">
              <w:rPr>
                <w:sz w:val="16"/>
                <w:szCs w:val="16"/>
              </w:rPr>
              <w:t>(</w:t>
            </w:r>
            <w:r>
              <w:rPr>
                <w:sz w:val="16"/>
                <w:szCs w:val="16"/>
              </w:rPr>
              <w:t>methyleenchloride heeft een hoge dampspanning, maar is niet ingedeeld als P1 of P2)</w:t>
            </w:r>
          </w:p>
        </w:tc>
      </w:tr>
      <w:tr w:rsidR="005B5D40" w:rsidTr="005B5D40">
        <w:tc>
          <w:tcPr>
            <w:tcW w:w="3510" w:type="dxa"/>
          </w:tcPr>
          <w:p w:rsidR="005B5D40" w:rsidRPr="00F412B4" w:rsidRDefault="005B5D40" w:rsidP="005B5D40">
            <w:r>
              <w:t>Ontvlambare vloeistoffen (P2) :</w:t>
            </w:r>
            <w:r w:rsidRPr="00163627">
              <w:tab/>
            </w:r>
          </w:p>
        </w:tc>
        <w:tc>
          <w:tcPr>
            <w:tcW w:w="5953" w:type="dxa"/>
          </w:tcPr>
          <w:p w:rsidR="005B5D40" w:rsidRPr="00C172B7" w:rsidRDefault="005B5D40" w:rsidP="005B5D40">
            <w:r>
              <w:t>m</w:t>
            </w:r>
            <w:r w:rsidRPr="00163627">
              <w:t>ierenzuur</w:t>
            </w:r>
            <w:r>
              <w:t>, propanol, butylacetaat en ethyleendiamine</w:t>
            </w:r>
            <w:r w:rsidR="00347752">
              <w:rPr>
                <w:rStyle w:val="FootnoteReference"/>
              </w:rPr>
              <w:footnoteReference w:id="59"/>
            </w:r>
            <w:r>
              <w:t xml:space="preserve"> </w:t>
            </w:r>
            <w:r w:rsidRPr="009B5DC0">
              <w:rPr>
                <w:i/>
              </w:rPr>
              <w:t>(2)</w:t>
            </w:r>
          </w:p>
        </w:tc>
      </w:tr>
    </w:tbl>
    <w:p w:rsidR="005B5D40" w:rsidRPr="00422DC3" w:rsidRDefault="005B5D40" w:rsidP="005B5D40">
      <w:pPr>
        <w:pStyle w:val="voetnoottabel"/>
        <w:keepNext/>
      </w:pPr>
      <w:r>
        <w:t>(1)</w:t>
      </w:r>
      <w:r>
        <w:tab/>
      </w:r>
      <w:r w:rsidRPr="00422DC3">
        <w:t>Omwille van het feit dat b</w:t>
      </w:r>
      <w:r>
        <w:t>ij de standaard opslagomstandig</w:t>
      </w:r>
      <w:r w:rsidRPr="00422DC3">
        <w:t>heden voor zeer licht onvlambare stoffen verregaande emissiebeperkende maatregelen genomen worden, zijn de emissies ervan beperkt. Dit betekent dan ook dat, ondanks de zeer hoge dampspanningen van deze stoffen, deze stoffen niet representatief zijn voor de bepaling van maximale VOS-emissies.</w:t>
      </w:r>
    </w:p>
    <w:p w:rsidR="005B5D40" w:rsidRDefault="005B5D40" w:rsidP="005B5D40">
      <w:pPr>
        <w:pStyle w:val="voetnoottabel"/>
      </w:pPr>
      <w:r>
        <w:t>(2)</w:t>
      </w:r>
      <w:r>
        <w:tab/>
      </w:r>
      <w:r w:rsidRPr="009B5DC0">
        <w:t>Er wordt met meerdere referentieproducten gewerkt omdat in de praktijk nooit de volledige beschikbare opslagcapaciteit (zie verder) zal ingevuld worden door 1 stof.</w:t>
      </w:r>
    </w:p>
    <w:p w:rsidR="005B5D40" w:rsidRDefault="005B5D40" w:rsidP="005B5D40">
      <w:r>
        <w:t>Hieronder worden de resultaten weergegeven van de berekeningen voor een maximalistisch opslagscenario.</w:t>
      </w:r>
    </w:p>
    <w:p w:rsidR="005B5D40" w:rsidRDefault="005B5D40" w:rsidP="005B5D40">
      <w:pPr>
        <w:pStyle w:val="tabel0"/>
      </w:pPr>
      <w:r>
        <w:lastRenderedPageBreak/>
        <w:t>Tabel</w:t>
      </w:r>
      <w:r w:rsidR="009C1E15">
        <w:t xml:space="preserve"> </w:t>
      </w:r>
      <w:r w:rsidR="00C325A0">
        <w:fldChar w:fldCharType="begin"/>
      </w:r>
      <w:r w:rsidR="009C1E15">
        <w:instrText xml:space="preserve"> REF t_lucht_VOS_max_berekend \h </w:instrText>
      </w:r>
      <w:r w:rsidR="00C325A0">
        <w:fldChar w:fldCharType="separate"/>
      </w:r>
      <w:r w:rsidR="008102D8">
        <w:t>VIII.2.15</w:t>
      </w:r>
      <w:r w:rsidR="00C325A0">
        <w:fldChar w:fldCharType="end"/>
      </w:r>
      <w:r w:rsidR="009C1E15">
        <w:t>:</w:t>
      </w:r>
      <w:r>
        <w:tab/>
        <w:t>Berekende maximale emissie inzake VOS-totaal</w:t>
      </w:r>
    </w:p>
    <w:tbl>
      <w:tblPr>
        <w:tblW w:w="4744" w:type="pct"/>
        <w:tblCellMar>
          <w:left w:w="70" w:type="dxa"/>
          <w:right w:w="70" w:type="dxa"/>
        </w:tblCellMar>
        <w:tblLook w:val="04A0"/>
      </w:tblPr>
      <w:tblGrid>
        <w:gridCol w:w="921"/>
        <w:gridCol w:w="1550"/>
        <w:gridCol w:w="646"/>
        <w:gridCol w:w="686"/>
        <w:gridCol w:w="646"/>
        <w:gridCol w:w="760"/>
        <w:gridCol w:w="452"/>
        <w:gridCol w:w="760"/>
        <w:gridCol w:w="760"/>
        <w:gridCol w:w="760"/>
        <w:gridCol w:w="759"/>
      </w:tblGrid>
      <w:tr w:rsidR="005B5D40" w:rsidRPr="00B07894" w:rsidTr="007314E2">
        <w:trPr>
          <w:trHeight w:val="225"/>
        </w:trPr>
        <w:tc>
          <w:tcPr>
            <w:tcW w:w="52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B5D40" w:rsidRPr="00B07894" w:rsidRDefault="005B5D40" w:rsidP="005B5D40">
            <w:pPr>
              <w:keepNext/>
              <w:spacing w:before="0" w:after="0" w:line="200" w:lineRule="atLeast"/>
              <w:ind w:left="113" w:right="113"/>
              <w:jc w:val="center"/>
              <w:rPr>
                <w:rFonts w:cs="Calibri"/>
                <w:b/>
                <w:sz w:val="16"/>
                <w:szCs w:val="16"/>
              </w:rPr>
            </w:pPr>
            <w:r w:rsidRPr="00B07894">
              <w:rPr>
                <w:rFonts w:cs="Calibri"/>
                <w:b/>
                <w:sz w:val="16"/>
                <w:szCs w:val="16"/>
              </w:rPr>
              <w:t>vergunde situatie</w:t>
            </w:r>
          </w:p>
        </w:tc>
        <w:tc>
          <w:tcPr>
            <w:tcW w:w="891" w:type="pct"/>
            <w:vMerge w:val="restart"/>
            <w:tcBorders>
              <w:top w:val="single" w:sz="4" w:space="0" w:color="auto"/>
              <w:left w:val="single" w:sz="4" w:space="0" w:color="auto"/>
              <w:right w:val="single" w:sz="4" w:space="0" w:color="auto"/>
            </w:tcBorders>
            <w:shd w:val="clear" w:color="auto" w:fill="DAEEF3"/>
            <w:noWrap/>
            <w:vAlign w:val="center"/>
            <w:hideMark/>
          </w:tcPr>
          <w:p w:rsidR="005B5D40" w:rsidRPr="00B07894" w:rsidRDefault="005B5D40" w:rsidP="005B5D40">
            <w:pPr>
              <w:keepNext/>
              <w:spacing w:before="0" w:after="0" w:line="200" w:lineRule="atLeast"/>
              <w:rPr>
                <w:rFonts w:cs="Calibri"/>
                <w:b/>
                <w:sz w:val="16"/>
                <w:szCs w:val="16"/>
              </w:rPr>
            </w:pPr>
            <w:r w:rsidRPr="00B07894">
              <w:rPr>
                <w:rFonts w:cs="Calibri"/>
                <w:b/>
                <w:sz w:val="16"/>
                <w:szCs w:val="16"/>
              </w:rPr>
              <w:t>stof</w:t>
            </w:r>
          </w:p>
        </w:tc>
        <w:tc>
          <w:tcPr>
            <w:tcW w:w="371"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Ra</w:t>
            </w:r>
          </w:p>
        </w:tc>
        <w:tc>
          <w:tcPr>
            <w:tcW w:w="394"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Rv</w:t>
            </w:r>
          </w:p>
        </w:tc>
        <w:tc>
          <w:tcPr>
            <w:tcW w:w="371"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Rb</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O</w:t>
            </w:r>
          </w:p>
        </w:tc>
        <w:tc>
          <w:tcPr>
            <w:tcW w:w="260"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Etpa</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Etpv</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Etpb</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Etp</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vMerge/>
            <w:tcBorders>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rPr>
                <w:rFonts w:cs="Calibri"/>
                <w:b/>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kg/ton</w:t>
            </w:r>
          </w:p>
        </w:tc>
        <w:tc>
          <w:tcPr>
            <w:tcW w:w="394"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kg/ton</w:t>
            </w:r>
          </w:p>
        </w:tc>
        <w:tc>
          <w:tcPr>
            <w:tcW w:w="371"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kg/ton</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w:t>
            </w:r>
          </w:p>
        </w:tc>
        <w:tc>
          <w:tcPr>
            <w:tcW w:w="260"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ton/jaar</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ton/jaar</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ton/jaar</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ton/jaar</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isopropylacetaat</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0,23</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30</w:t>
            </w:r>
            <w:r w:rsidR="00D56331">
              <w:rPr>
                <w:rFonts w:cs="Calibri"/>
                <w:sz w:val="16"/>
                <w:szCs w:val="16"/>
              </w:rPr>
              <w:t>.</w:t>
            </w:r>
            <w:r w:rsidRPr="00B07894">
              <w:rPr>
                <w:rFonts w:cs="Calibri"/>
                <w:sz w:val="16"/>
                <w:szCs w:val="16"/>
              </w:rPr>
              <w:t>600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6,9</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2,3</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13,7</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22,9</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ethanol</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0,05</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30</w:t>
            </w:r>
            <w:r w:rsidR="00D56331">
              <w:rPr>
                <w:rFonts w:cs="Calibri"/>
                <w:sz w:val="16"/>
                <w:szCs w:val="16"/>
              </w:rPr>
              <w:t>.</w:t>
            </w:r>
            <w:r w:rsidRPr="00B07894">
              <w:rPr>
                <w:rFonts w:cs="Calibri"/>
                <w:sz w:val="16"/>
                <w:szCs w:val="16"/>
              </w:rPr>
              <w:t>600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3,1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0,98</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5,8</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9,8</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heptaan</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0,21</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30</w:t>
            </w:r>
            <w:r w:rsidR="00D56331">
              <w:rPr>
                <w:rFonts w:cs="Calibri"/>
                <w:sz w:val="16"/>
                <w:szCs w:val="16"/>
              </w:rPr>
              <w:t>.</w:t>
            </w:r>
            <w:r w:rsidRPr="00B07894">
              <w:rPr>
                <w:rFonts w:cs="Calibri"/>
                <w:sz w:val="16"/>
                <w:szCs w:val="16"/>
              </w:rPr>
              <w:t>600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6,5</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2,09</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12,4</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20,9</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methylcyclohexaan</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0,19</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0,09</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30</w:t>
            </w:r>
            <w:r w:rsidR="00D56331">
              <w:rPr>
                <w:rFonts w:cs="Calibri"/>
                <w:sz w:val="16"/>
                <w:szCs w:val="16"/>
              </w:rPr>
              <w:t>.</w:t>
            </w:r>
            <w:r w:rsidRPr="00B07894">
              <w:rPr>
                <w:rFonts w:cs="Calibri"/>
                <w:sz w:val="16"/>
                <w:szCs w:val="16"/>
              </w:rPr>
              <w:t>600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5,7</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1,84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11,0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18,5</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mierenzuur</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0,12</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0,004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22</w:t>
            </w:r>
            <w:r w:rsidR="00D56331">
              <w:rPr>
                <w:rFonts w:cs="Calibri"/>
                <w:sz w:val="16"/>
                <w:szCs w:val="16"/>
              </w:rPr>
              <w:t>.</w:t>
            </w:r>
            <w:r>
              <w:rPr>
                <w:rFonts w:cs="Calibri"/>
                <w:sz w:val="16"/>
                <w:szCs w:val="16"/>
              </w:rPr>
              <w:t>125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2,7</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0,35</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2,1</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5,2</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propanol</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0,13</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0,003</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22</w:t>
            </w:r>
            <w:r w:rsidR="00D56331">
              <w:rPr>
                <w:rFonts w:cs="Calibri"/>
                <w:sz w:val="16"/>
                <w:szCs w:val="16"/>
              </w:rPr>
              <w:t>.</w:t>
            </w:r>
            <w:r>
              <w:rPr>
                <w:rFonts w:cs="Calibri"/>
                <w:sz w:val="16"/>
                <w:szCs w:val="16"/>
              </w:rPr>
              <w:t>125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2,9</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0,28</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1,7</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4,8</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butylacetaat</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0,18</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0,004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22</w:t>
            </w:r>
            <w:r w:rsidR="00D56331">
              <w:rPr>
                <w:rFonts w:cs="Calibri"/>
                <w:sz w:val="16"/>
                <w:szCs w:val="16"/>
              </w:rPr>
              <w:t>.</w:t>
            </w:r>
            <w:r>
              <w:rPr>
                <w:rFonts w:cs="Calibri"/>
                <w:sz w:val="16"/>
                <w:szCs w:val="16"/>
              </w:rPr>
              <w:t>125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0,37</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2,2</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6,5</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ethyleendiamine</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0,09</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0,002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22</w:t>
            </w:r>
            <w:r w:rsidR="00D56331">
              <w:rPr>
                <w:rFonts w:cs="Calibri"/>
                <w:sz w:val="16"/>
                <w:szCs w:val="16"/>
              </w:rPr>
              <w:t>.</w:t>
            </w:r>
            <w:r>
              <w:rPr>
                <w:rFonts w:cs="Calibri"/>
                <w:sz w:val="16"/>
                <w:szCs w:val="16"/>
              </w:rPr>
              <w:t>125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0,18</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1,1</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3,2</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Pr>
                <w:rFonts w:cs="Calibri"/>
                <w:sz w:val="16"/>
                <w:szCs w:val="16"/>
              </w:rPr>
              <w:t>Methyleenchloride</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w:t>
            </w:r>
            <w:r>
              <w:rPr>
                <w:rFonts w:cs="Calibri"/>
                <w:sz w:val="16"/>
                <w:szCs w:val="16"/>
              </w:rPr>
              <w:t>88</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10</w:t>
            </w:r>
            <w:r w:rsidR="00D56331">
              <w:rPr>
                <w:rFonts w:cs="Calibri"/>
                <w:sz w:val="16"/>
                <w:szCs w:val="16"/>
              </w:rPr>
              <w:t>.</w:t>
            </w:r>
            <w:r>
              <w:rPr>
                <w:rFonts w:cs="Calibri"/>
                <w:sz w:val="16"/>
                <w:szCs w:val="16"/>
              </w:rPr>
              <w:t>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8,8</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1,66</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1</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Pr>
                <w:rFonts w:cs="Calibri"/>
                <w:sz w:val="16"/>
                <w:szCs w:val="16"/>
              </w:rPr>
              <w:t>11,4</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2724"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D56331" w:rsidP="005B5D40">
            <w:pPr>
              <w:keepNext/>
              <w:spacing w:before="0" w:after="0" w:line="200" w:lineRule="atLeast"/>
              <w:rPr>
                <w:rFonts w:cs="Calibri"/>
                <w:b/>
                <w:sz w:val="16"/>
                <w:szCs w:val="16"/>
              </w:rPr>
            </w:pPr>
            <w:r w:rsidRPr="00B07894">
              <w:rPr>
                <w:rFonts w:cs="Calibri"/>
                <w:b/>
                <w:sz w:val="16"/>
                <w:szCs w:val="16"/>
              </w:rPr>
              <w:t>T</w:t>
            </w:r>
            <w:r w:rsidR="005B5D40" w:rsidRPr="00B07894">
              <w:rPr>
                <w:rFonts w:cs="Calibri"/>
                <w:b/>
                <w:sz w:val="16"/>
                <w:szCs w:val="16"/>
              </w:rPr>
              <w:t>otaal</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b/>
                <w:bCs/>
                <w:sz w:val="16"/>
                <w:szCs w:val="16"/>
              </w:rPr>
            </w:pPr>
            <w:r>
              <w:rPr>
                <w:rFonts w:cs="Calibri"/>
                <w:b/>
                <w:bCs/>
                <w:sz w:val="16"/>
                <w:szCs w:val="16"/>
              </w:rPr>
              <w:t>42,4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b/>
                <w:bCs/>
                <w:sz w:val="16"/>
                <w:szCs w:val="16"/>
              </w:rPr>
            </w:pPr>
            <w:r>
              <w:rPr>
                <w:rFonts w:cs="Calibri"/>
                <w:b/>
                <w:bCs/>
                <w:sz w:val="16"/>
                <w:szCs w:val="16"/>
              </w:rPr>
              <w:t>10,1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b/>
                <w:bCs/>
                <w:sz w:val="16"/>
                <w:szCs w:val="16"/>
              </w:rPr>
            </w:pPr>
            <w:r>
              <w:rPr>
                <w:rFonts w:cs="Calibri"/>
                <w:b/>
                <w:bCs/>
                <w:sz w:val="16"/>
                <w:szCs w:val="16"/>
              </w:rPr>
              <w:t>50,9</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b/>
                <w:bCs/>
                <w:sz w:val="16"/>
                <w:szCs w:val="16"/>
              </w:rPr>
            </w:pPr>
            <w:r>
              <w:rPr>
                <w:rFonts w:cs="Calibri"/>
                <w:b/>
                <w:bCs/>
                <w:sz w:val="16"/>
                <w:szCs w:val="16"/>
              </w:rPr>
              <w:t>103,4</w:t>
            </w:r>
          </w:p>
        </w:tc>
      </w:tr>
      <w:tr w:rsidR="005B5D40" w:rsidRPr="00B07894" w:rsidTr="007314E2">
        <w:trPr>
          <w:trHeight w:val="225"/>
        </w:trPr>
        <w:tc>
          <w:tcPr>
            <w:tcW w:w="52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B5D40" w:rsidRPr="00B07894" w:rsidRDefault="005B5D40" w:rsidP="005B5D40">
            <w:pPr>
              <w:keepNext/>
              <w:spacing w:before="0" w:after="0" w:line="200" w:lineRule="atLeast"/>
              <w:ind w:left="113" w:right="113"/>
              <w:jc w:val="center"/>
              <w:rPr>
                <w:rFonts w:cs="Calibri"/>
                <w:b/>
                <w:sz w:val="16"/>
                <w:szCs w:val="16"/>
              </w:rPr>
            </w:pPr>
            <w:r w:rsidRPr="00B07894">
              <w:rPr>
                <w:rFonts w:cs="Calibri"/>
                <w:b/>
                <w:sz w:val="16"/>
                <w:szCs w:val="16"/>
              </w:rPr>
              <w:t xml:space="preserve">geplande situatie </w:t>
            </w:r>
          </w:p>
          <w:p w:rsidR="005B5D40" w:rsidRPr="00B07894" w:rsidRDefault="005B5D40" w:rsidP="005B5D40">
            <w:pPr>
              <w:keepNext/>
              <w:spacing w:before="0" w:after="0" w:line="200" w:lineRule="atLeast"/>
              <w:ind w:left="113" w:right="113"/>
              <w:jc w:val="center"/>
              <w:rPr>
                <w:rFonts w:cs="Calibri"/>
                <w:b/>
                <w:sz w:val="16"/>
                <w:szCs w:val="16"/>
              </w:rPr>
            </w:pPr>
            <w:r w:rsidRPr="00B07894">
              <w:rPr>
                <w:rFonts w:cs="Calibri"/>
                <w:b/>
                <w:sz w:val="16"/>
                <w:szCs w:val="16"/>
              </w:rPr>
              <w:t>fase 1</w:t>
            </w:r>
          </w:p>
        </w:tc>
        <w:tc>
          <w:tcPr>
            <w:tcW w:w="891" w:type="pct"/>
            <w:vMerge w:val="restart"/>
            <w:tcBorders>
              <w:top w:val="single" w:sz="4" w:space="0" w:color="auto"/>
              <w:left w:val="single" w:sz="4" w:space="0" w:color="auto"/>
              <w:right w:val="single" w:sz="4" w:space="0" w:color="auto"/>
            </w:tcBorders>
            <w:shd w:val="clear" w:color="auto" w:fill="DAEEF3"/>
            <w:noWrap/>
            <w:vAlign w:val="center"/>
            <w:hideMark/>
          </w:tcPr>
          <w:p w:rsidR="005B5D40" w:rsidRPr="00B07894" w:rsidRDefault="005B5D40" w:rsidP="005B5D40">
            <w:pPr>
              <w:keepNext/>
              <w:spacing w:before="0" w:after="0" w:line="200" w:lineRule="atLeast"/>
              <w:rPr>
                <w:rFonts w:cs="Calibri"/>
                <w:b/>
                <w:sz w:val="16"/>
                <w:szCs w:val="16"/>
              </w:rPr>
            </w:pPr>
            <w:r w:rsidRPr="00B07894">
              <w:rPr>
                <w:rFonts w:cs="Calibri"/>
                <w:b/>
                <w:sz w:val="16"/>
                <w:szCs w:val="16"/>
              </w:rPr>
              <w:t>stof</w:t>
            </w:r>
          </w:p>
        </w:tc>
        <w:tc>
          <w:tcPr>
            <w:tcW w:w="371"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Ra</w:t>
            </w:r>
          </w:p>
        </w:tc>
        <w:tc>
          <w:tcPr>
            <w:tcW w:w="394"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Rv</w:t>
            </w:r>
          </w:p>
        </w:tc>
        <w:tc>
          <w:tcPr>
            <w:tcW w:w="371"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Rb</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O</w:t>
            </w:r>
          </w:p>
        </w:tc>
        <w:tc>
          <w:tcPr>
            <w:tcW w:w="260"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Etpa</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Etpv</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Etpb</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Etp</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vMerge/>
            <w:tcBorders>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rPr>
                <w:rFonts w:cs="Calibri"/>
                <w:b/>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kg/ton</w:t>
            </w:r>
          </w:p>
        </w:tc>
        <w:tc>
          <w:tcPr>
            <w:tcW w:w="394"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kg/ton</w:t>
            </w:r>
          </w:p>
        </w:tc>
        <w:tc>
          <w:tcPr>
            <w:tcW w:w="371"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kg/ton</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w:t>
            </w:r>
          </w:p>
        </w:tc>
        <w:tc>
          <w:tcPr>
            <w:tcW w:w="260"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ton/jaar</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ton/jaar</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ton/jaar</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ton/jaar</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isopropylacetaat</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0,16</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40</w:t>
            </w:r>
            <w:r w:rsidR="00D56331">
              <w:rPr>
                <w:rFonts w:cs="Calibri"/>
                <w:sz w:val="16"/>
                <w:szCs w:val="16"/>
              </w:rPr>
              <w:t>.</w:t>
            </w:r>
            <w:r w:rsidRPr="00B07894">
              <w:rPr>
                <w:rFonts w:cs="Calibri"/>
                <w:sz w:val="16"/>
                <w:szCs w:val="16"/>
              </w:rPr>
              <w:t>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6,5</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3,0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17,9</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27,4</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ethanol</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0,08</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0,05</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40</w:t>
            </w:r>
            <w:r w:rsidR="00D56331">
              <w:rPr>
                <w:rFonts w:cs="Calibri"/>
                <w:sz w:val="16"/>
                <w:szCs w:val="16"/>
              </w:rPr>
              <w:t>.</w:t>
            </w:r>
            <w:r w:rsidRPr="00B07894">
              <w:rPr>
                <w:rFonts w:cs="Calibri"/>
                <w:sz w:val="16"/>
                <w:szCs w:val="16"/>
              </w:rPr>
              <w:t>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3,0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1,3</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7,6</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11,9</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heptaan</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0,16</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40</w:t>
            </w:r>
            <w:r w:rsidR="00D56331">
              <w:rPr>
                <w:rFonts w:cs="Calibri"/>
                <w:sz w:val="16"/>
                <w:szCs w:val="16"/>
              </w:rPr>
              <w:t>.</w:t>
            </w:r>
            <w:r w:rsidRPr="00B07894">
              <w:rPr>
                <w:rFonts w:cs="Calibri"/>
                <w:sz w:val="16"/>
                <w:szCs w:val="16"/>
              </w:rPr>
              <w:t>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6,3</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2,7</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16,2</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25,3</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methylcyclohexaan</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0,14</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0,09</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40</w:t>
            </w:r>
            <w:r w:rsidR="00D56331">
              <w:rPr>
                <w:rFonts w:cs="Calibri"/>
                <w:sz w:val="16"/>
                <w:szCs w:val="16"/>
              </w:rPr>
              <w:t>.</w:t>
            </w:r>
            <w:r w:rsidRPr="00B07894">
              <w:rPr>
                <w:rFonts w:cs="Calibri"/>
                <w:sz w:val="16"/>
                <w:szCs w:val="16"/>
              </w:rPr>
              <w:t>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5,5</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14,3</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22,3</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mierenzuur</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0,05</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0,004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47</w:t>
            </w:r>
            <w:r w:rsidR="00D56331">
              <w:rPr>
                <w:rFonts w:cs="Calibri"/>
                <w:sz w:val="16"/>
                <w:szCs w:val="16"/>
              </w:rPr>
              <w:t>.</w:t>
            </w:r>
            <w:r w:rsidRPr="00B07894">
              <w:rPr>
                <w:rFonts w:cs="Calibri"/>
                <w:sz w:val="16"/>
                <w:szCs w:val="16"/>
              </w:rPr>
              <w:t>600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0,8</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4,5</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7,5</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propanol</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0,05</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0,003</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47</w:t>
            </w:r>
            <w:r w:rsidR="00D56331">
              <w:rPr>
                <w:rFonts w:cs="Calibri"/>
                <w:sz w:val="16"/>
                <w:szCs w:val="16"/>
              </w:rPr>
              <w:t>.</w:t>
            </w:r>
            <w:r w:rsidRPr="00B07894">
              <w:rPr>
                <w:rFonts w:cs="Calibri"/>
                <w:sz w:val="16"/>
                <w:szCs w:val="16"/>
              </w:rPr>
              <w:t>600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2,3</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0,6</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3,6</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6,5</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butylacetaat</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0,07</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0,004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47</w:t>
            </w:r>
            <w:r w:rsidR="00D56331">
              <w:rPr>
                <w:rFonts w:cs="Calibri"/>
                <w:sz w:val="16"/>
                <w:szCs w:val="16"/>
              </w:rPr>
              <w:t>.</w:t>
            </w:r>
            <w:r w:rsidRPr="00B07894">
              <w:rPr>
                <w:rFonts w:cs="Calibri"/>
                <w:sz w:val="16"/>
                <w:szCs w:val="16"/>
              </w:rPr>
              <w:t>600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3,2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0,8</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4,7</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8,7</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ethyleendiamine</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0,03</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0,002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47</w:t>
            </w:r>
            <w:r w:rsidR="00D56331">
              <w:rPr>
                <w:rFonts w:cs="Calibri"/>
                <w:sz w:val="16"/>
                <w:szCs w:val="16"/>
              </w:rPr>
              <w:t>.</w:t>
            </w:r>
            <w:r w:rsidRPr="00B07894">
              <w:rPr>
                <w:rFonts w:cs="Calibri"/>
                <w:sz w:val="16"/>
                <w:szCs w:val="16"/>
              </w:rPr>
              <w:t>600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1,6</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2,3</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4,3</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methyleenchloride</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0,67</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10</w:t>
            </w:r>
            <w:r w:rsidR="00D56331">
              <w:rPr>
                <w:rFonts w:cs="Calibri"/>
                <w:sz w:val="16"/>
                <w:szCs w:val="16"/>
              </w:rPr>
              <w:t>.</w:t>
            </w:r>
            <w:r w:rsidRPr="00B07894">
              <w:rPr>
                <w:rFonts w:cs="Calibri"/>
                <w:sz w:val="16"/>
                <w:szCs w:val="16"/>
              </w:rPr>
              <w:t>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6,7</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1,7</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9,3</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2724"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D56331" w:rsidP="005B5D40">
            <w:pPr>
              <w:keepNext/>
              <w:spacing w:before="0" w:after="0" w:line="200" w:lineRule="atLeast"/>
              <w:rPr>
                <w:rFonts w:cs="Calibri"/>
                <w:b/>
                <w:sz w:val="16"/>
                <w:szCs w:val="16"/>
              </w:rPr>
            </w:pPr>
            <w:r w:rsidRPr="00B07894">
              <w:rPr>
                <w:rFonts w:cs="Calibri"/>
                <w:b/>
                <w:sz w:val="16"/>
                <w:szCs w:val="16"/>
              </w:rPr>
              <w:t>T</w:t>
            </w:r>
            <w:r w:rsidR="005B5D40" w:rsidRPr="00B07894">
              <w:rPr>
                <w:rFonts w:cs="Calibri"/>
                <w:b/>
                <w:sz w:val="16"/>
                <w:szCs w:val="16"/>
              </w:rPr>
              <w:t>otaal</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b/>
                <w:bCs/>
                <w:sz w:val="16"/>
                <w:szCs w:val="16"/>
              </w:rPr>
            </w:pPr>
            <w:r w:rsidRPr="00B07894">
              <w:rPr>
                <w:rFonts w:cs="Calibri"/>
                <w:b/>
                <w:bCs/>
                <w:sz w:val="16"/>
                <w:szCs w:val="16"/>
              </w:rPr>
              <w:t>37,4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b/>
                <w:bCs/>
                <w:sz w:val="16"/>
                <w:szCs w:val="16"/>
              </w:rPr>
            </w:pPr>
            <w:r w:rsidRPr="00B07894">
              <w:rPr>
                <w:rFonts w:cs="Calibri"/>
                <w:b/>
                <w:bCs/>
                <w:sz w:val="16"/>
                <w:szCs w:val="16"/>
              </w:rPr>
              <w:t>13,6</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b/>
                <w:bCs/>
                <w:sz w:val="16"/>
                <w:szCs w:val="16"/>
              </w:rPr>
            </w:pPr>
            <w:r w:rsidRPr="00B07894">
              <w:rPr>
                <w:rFonts w:cs="Calibri"/>
                <w:b/>
                <w:bCs/>
                <w:sz w:val="16"/>
                <w:szCs w:val="16"/>
              </w:rPr>
              <w:t>72,2</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b/>
                <w:bCs/>
                <w:sz w:val="16"/>
                <w:szCs w:val="16"/>
              </w:rPr>
            </w:pPr>
            <w:r w:rsidRPr="00B07894">
              <w:rPr>
                <w:rFonts w:cs="Calibri"/>
                <w:b/>
                <w:bCs/>
                <w:sz w:val="16"/>
                <w:szCs w:val="16"/>
              </w:rPr>
              <w:t>123,2</w:t>
            </w:r>
          </w:p>
        </w:tc>
      </w:tr>
      <w:tr w:rsidR="005B5D40" w:rsidRPr="00B07894" w:rsidTr="007314E2">
        <w:trPr>
          <w:trHeight w:val="225"/>
        </w:trPr>
        <w:tc>
          <w:tcPr>
            <w:tcW w:w="52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B5D40" w:rsidRPr="00B07894" w:rsidRDefault="005B5D40" w:rsidP="005B5D40">
            <w:pPr>
              <w:keepNext/>
              <w:spacing w:before="0" w:after="0" w:line="200" w:lineRule="atLeast"/>
              <w:ind w:left="113" w:right="113"/>
              <w:jc w:val="center"/>
              <w:rPr>
                <w:rFonts w:cs="Calibri"/>
                <w:b/>
                <w:sz w:val="16"/>
                <w:szCs w:val="16"/>
              </w:rPr>
            </w:pPr>
            <w:r w:rsidRPr="00B07894">
              <w:rPr>
                <w:rFonts w:cs="Calibri"/>
                <w:b/>
                <w:sz w:val="16"/>
                <w:szCs w:val="16"/>
              </w:rPr>
              <w:t xml:space="preserve">geplande situatie </w:t>
            </w:r>
          </w:p>
          <w:p w:rsidR="005B5D40" w:rsidRPr="00B07894" w:rsidRDefault="005B5D40" w:rsidP="005B5D40">
            <w:pPr>
              <w:keepNext/>
              <w:spacing w:before="0" w:after="0" w:line="200" w:lineRule="atLeast"/>
              <w:ind w:left="113" w:right="113"/>
              <w:jc w:val="center"/>
              <w:rPr>
                <w:rFonts w:cs="Calibri"/>
                <w:b/>
                <w:sz w:val="16"/>
                <w:szCs w:val="16"/>
              </w:rPr>
            </w:pPr>
            <w:r w:rsidRPr="00B07894">
              <w:rPr>
                <w:rFonts w:cs="Calibri"/>
                <w:b/>
                <w:sz w:val="16"/>
                <w:szCs w:val="16"/>
              </w:rPr>
              <w:t>fase 2</w:t>
            </w:r>
          </w:p>
        </w:tc>
        <w:tc>
          <w:tcPr>
            <w:tcW w:w="891" w:type="pct"/>
            <w:vMerge w:val="restart"/>
            <w:tcBorders>
              <w:top w:val="single" w:sz="4" w:space="0" w:color="auto"/>
              <w:left w:val="single" w:sz="4" w:space="0" w:color="auto"/>
              <w:right w:val="single" w:sz="4" w:space="0" w:color="auto"/>
            </w:tcBorders>
            <w:shd w:val="clear" w:color="auto" w:fill="DAEEF3"/>
            <w:noWrap/>
            <w:vAlign w:val="center"/>
            <w:hideMark/>
          </w:tcPr>
          <w:p w:rsidR="005B5D40" w:rsidRPr="00B07894" w:rsidRDefault="005B5D40" w:rsidP="005B5D40">
            <w:pPr>
              <w:keepNext/>
              <w:spacing w:before="0" w:after="0" w:line="200" w:lineRule="atLeast"/>
              <w:rPr>
                <w:rFonts w:cs="Calibri"/>
                <w:b/>
                <w:sz w:val="16"/>
                <w:szCs w:val="16"/>
              </w:rPr>
            </w:pPr>
            <w:r w:rsidRPr="00B07894">
              <w:rPr>
                <w:rFonts w:cs="Calibri"/>
                <w:b/>
                <w:sz w:val="16"/>
                <w:szCs w:val="16"/>
              </w:rPr>
              <w:t>stof</w:t>
            </w:r>
          </w:p>
        </w:tc>
        <w:tc>
          <w:tcPr>
            <w:tcW w:w="371"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Ra</w:t>
            </w:r>
          </w:p>
        </w:tc>
        <w:tc>
          <w:tcPr>
            <w:tcW w:w="394"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Rv</w:t>
            </w:r>
          </w:p>
        </w:tc>
        <w:tc>
          <w:tcPr>
            <w:tcW w:w="371"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Rb</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O</w:t>
            </w:r>
          </w:p>
        </w:tc>
        <w:tc>
          <w:tcPr>
            <w:tcW w:w="260"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Etpa</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Etpv</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Etpb</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Etp</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vMerge/>
            <w:tcBorders>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rPr>
                <w:rFonts w:cs="Calibri"/>
                <w:b/>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kg/ton</w:t>
            </w:r>
          </w:p>
        </w:tc>
        <w:tc>
          <w:tcPr>
            <w:tcW w:w="394"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kg/ton</w:t>
            </w:r>
          </w:p>
        </w:tc>
        <w:tc>
          <w:tcPr>
            <w:tcW w:w="371"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kg/ton</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w:t>
            </w:r>
          </w:p>
        </w:tc>
        <w:tc>
          <w:tcPr>
            <w:tcW w:w="260"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ton/jaar</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ton/jaar</w:t>
            </w:r>
          </w:p>
        </w:tc>
        <w:tc>
          <w:tcPr>
            <w:tcW w:w="43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ton/jaar</w:t>
            </w:r>
          </w:p>
        </w:tc>
        <w:tc>
          <w:tcPr>
            <w:tcW w:w="436"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B07894" w:rsidRDefault="005B5D40" w:rsidP="005B5D40">
            <w:pPr>
              <w:keepNext/>
              <w:spacing w:before="0" w:after="0" w:line="200" w:lineRule="atLeast"/>
              <w:jc w:val="center"/>
              <w:rPr>
                <w:rFonts w:cs="Calibri"/>
                <w:b/>
                <w:sz w:val="16"/>
                <w:szCs w:val="16"/>
              </w:rPr>
            </w:pPr>
            <w:r w:rsidRPr="00B07894">
              <w:rPr>
                <w:rFonts w:cs="Calibri"/>
                <w:b/>
                <w:sz w:val="16"/>
                <w:szCs w:val="16"/>
              </w:rPr>
              <w:t>ton/jaar</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isopropylacetaat</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0,16</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42</w:t>
            </w:r>
            <w:r w:rsidR="00D56331">
              <w:rPr>
                <w:rFonts w:cs="Calibri"/>
                <w:sz w:val="16"/>
                <w:szCs w:val="16"/>
              </w:rPr>
              <w:t>.</w:t>
            </w:r>
            <w:r w:rsidRPr="00B07894">
              <w:rPr>
                <w:rFonts w:cs="Calibri"/>
                <w:sz w:val="16"/>
                <w:szCs w:val="16"/>
              </w:rPr>
              <w:t>500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6,8</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3,20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19,0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29,00</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ethanol</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0,07</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0,05</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42</w:t>
            </w:r>
            <w:r w:rsidR="00D56331">
              <w:rPr>
                <w:rFonts w:cs="Calibri"/>
                <w:sz w:val="16"/>
                <w:szCs w:val="16"/>
              </w:rPr>
              <w:t>.</w:t>
            </w:r>
            <w:r w:rsidRPr="00B07894">
              <w:rPr>
                <w:rFonts w:cs="Calibri"/>
                <w:sz w:val="16"/>
                <w:szCs w:val="16"/>
              </w:rPr>
              <w:t>500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3,1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1,36</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8,1</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12,57</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heptaan</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0,16</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42</w:t>
            </w:r>
            <w:r w:rsidR="00D56331">
              <w:rPr>
                <w:rFonts w:cs="Calibri"/>
                <w:sz w:val="16"/>
                <w:szCs w:val="16"/>
              </w:rPr>
              <w:t>.</w:t>
            </w:r>
            <w:r w:rsidRPr="00B07894">
              <w:rPr>
                <w:rFonts w:cs="Calibri"/>
                <w:sz w:val="16"/>
                <w:szCs w:val="16"/>
              </w:rPr>
              <w:t>500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6,6</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2,90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17,2</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26,72</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methylcyclohexaan</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0,14</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0,09</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42</w:t>
            </w:r>
            <w:r w:rsidR="00D56331">
              <w:rPr>
                <w:rFonts w:cs="Calibri"/>
                <w:sz w:val="16"/>
                <w:szCs w:val="16"/>
              </w:rPr>
              <w:t>.</w:t>
            </w:r>
            <w:r w:rsidRPr="00B07894">
              <w:rPr>
                <w:rFonts w:cs="Calibri"/>
                <w:sz w:val="16"/>
                <w:szCs w:val="16"/>
              </w:rPr>
              <w:t>500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5,8</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2,56</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15,2</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23,55</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mierenzuur</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0,05</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0,004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47</w:t>
            </w:r>
            <w:r w:rsidR="00D56331">
              <w:rPr>
                <w:rFonts w:cs="Calibri"/>
                <w:sz w:val="16"/>
                <w:szCs w:val="16"/>
              </w:rPr>
              <w:t>.</w:t>
            </w:r>
            <w:r w:rsidRPr="00B07894">
              <w:rPr>
                <w:rFonts w:cs="Calibri"/>
                <w:sz w:val="16"/>
                <w:szCs w:val="16"/>
              </w:rPr>
              <w:t>500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0,76</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4,5</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7,50</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keepNext/>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rPr>
                <w:rFonts w:cs="Calibri"/>
                <w:sz w:val="16"/>
                <w:szCs w:val="16"/>
              </w:rPr>
            </w:pPr>
            <w:r w:rsidRPr="00B07894">
              <w:rPr>
                <w:rFonts w:cs="Calibri"/>
                <w:sz w:val="16"/>
                <w:szCs w:val="16"/>
              </w:rPr>
              <w:t>propanol</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0,05</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0,003</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0,02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47</w:t>
            </w:r>
            <w:r w:rsidR="00D56331">
              <w:rPr>
                <w:rFonts w:cs="Calibri"/>
                <w:sz w:val="16"/>
                <w:szCs w:val="16"/>
              </w:rPr>
              <w:t>.</w:t>
            </w:r>
            <w:r w:rsidRPr="00B07894">
              <w:rPr>
                <w:rFonts w:cs="Calibri"/>
                <w:sz w:val="16"/>
                <w:szCs w:val="16"/>
              </w:rPr>
              <w:t>500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2,2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0,61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3,6</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keepNext/>
              <w:spacing w:before="0" w:after="0" w:line="200" w:lineRule="atLeast"/>
              <w:jc w:val="center"/>
              <w:rPr>
                <w:rFonts w:cs="Calibri"/>
                <w:sz w:val="16"/>
                <w:szCs w:val="16"/>
              </w:rPr>
            </w:pPr>
            <w:r w:rsidRPr="00B07894">
              <w:rPr>
                <w:rFonts w:cs="Calibri"/>
                <w:sz w:val="16"/>
                <w:szCs w:val="16"/>
              </w:rPr>
              <w:t>6,40</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rPr>
                <w:rFonts w:cs="Calibri"/>
                <w:sz w:val="16"/>
                <w:szCs w:val="16"/>
              </w:rPr>
            </w:pPr>
            <w:r w:rsidRPr="00B07894">
              <w:rPr>
                <w:rFonts w:cs="Calibri"/>
                <w:sz w:val="16"/>
                <w:szCs w:val="16"/>
              </w:rPr>
              <w:t>butylacetaat</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0,06</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0,004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0,02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47</w:t>
            </w:r>
            <w:r w:rsidR="00D56331">
              <w:rPr>
                <w:rFonts w:cs="Calibri"/>
                <w:sz w:val="16"/>
                <w:szCs w:val="16"/>
              </w:rPr>
              <w:t>.</w:t>
            </w:r>
            <w:r w:rsidRPr="00B07894">
              <w:rPr>
                <w:rFonts w:cs="Calibri"/>
                <w:sz w:val="16"/>
                <w:szCs w:val="16"/>
              </w:rPr>
              <w:t>500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3,0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0,80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4,7</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8,54</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rPr>
                <w:rFonts w:cs="Calibri"/>
                <w:sz w:val="16"/>
                <w:szCs w:val="16"/>
              </w:rPr>
            </w:pPr>
            <w:r w:rsidRPr="00B07894">
              <w:rPr>
                <w:rFonts w:cs="Calibri"/>
                <w:sz w:val="16"/>
                <w:szCs w:val="16"/>
              </w:rPr>
              <w:t>ethyleendiamine</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0,03</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0,002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0,01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47</w:t>
            </w:r>
            <w:r w:rsidR="00D56331">
              <w:rPr>
                <w:rFonts w:cs="Calibri"/>
                <w:sz w:val="16"/>
                <w:szCs w:val="16"/>
              </w:rPr>
              <w:t>.</w:t>
            </w:r>
            <w:r w:rsidRPr="00B07894">
              <w:rPr>
                <w:rFonts w:cs="Calibri"/>
                <w:sz w:val="16"/>
                <w:szCs w:val="16"/>
              </w:rPr>
              <w:t>500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1,5</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0,39</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2,3</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4,20</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spacing w:before="0" w:after="0" w:line="200" w:lineRule="atLeast"/>
              <w:rPr>
                <w:rFonts w:cs="Calibri"/>
                <w:sz w:val="16"/>
                <w:szCs w:val="16"/>
              </w:rPr>
            </w:pP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rPr>
                <w:rFonts w:cs="Calibri"/>
                <w:sz w:val="16"/>
                <w:szCs w:val="16"/>
              </w:rPr>
            </w:pPr>
            <w:r w:rsidRPr="00B07894">
              <w:rPr>
                <w:rFonts w:cs="Calibri"/>
                <w:sz w:val="16"/>
                <w:szCs w:val="16"/>
              </w:rPr>
              <w:t>methyleenchloride</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0,67</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0,04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0,02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10</w:t>
            </w:r>
            <w:r w:rsidR="00D56331">
              <w:rPr>
                <w:rFonts w:cs="Calibri"/>
                <w:sz w:val="16"/>
                <w:szCs w:val="16"/>
              </w:rPr>
              <w:t>.</w:t>
            </w:r>
            <w:r w:rsidRPr="00B07894">
              <w:rPr>
                <w:rFonts w:cs="Calibri"/>
                <w:sz w:val="16"/>
                <w:szCs w:val="16"/>
              </w:rPr>
              <w:t>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4</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6,7</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1,66</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1,0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sz w:val="16"/>
                <w:szCs w:val="16"/>
              </w:rPr>
            </w:pPr>
            <w:r w:rsidRPr="00B07894">
              <w:rPr>
                <w:rFonts w:cs="Calibri"/>
                <w:sz w:val="16"/>
                <w:szCs w:val="16"/>
              </w:rPr>
              <w:t>9,32</w:t>
            </w:r>
          </w:p>
        </w:tc>
      </w:tr>
      <w:tr w:rsidR="005B5D40" w:rsidRPr="00B07894" w:rsidTr="007314E2">
        <w:trPr>
          <w:trHeight w:val="225"/>
        </w:trPr>
        <w:tc>
          <w:tcPr>
            <w:tcW w:w="529" w:type="pct"/>
            <w:vMerge/>
            <w:tcBorders>
              <w:top w:val="single" w:sz="4" w:space="0" w:color="auto"/>
              <w:left w:val="single" w:sz="4" w:space="0" w:color="auto"/>
              <w:bottom w:val="single" w:sz="4" w:space="0" w:color="auto"/>
              <w:right w:val="single" w:sz="4" w:space="0" w:color="auto"/>
            </w:tcBorders>
          </w:tcPr>
          <w:p w:rsidR="005B5D40" w:rsidRPr="00B07894" w:rsidRDefault="005B5D40" w:rsidP="005B5D40">
            <w:pPr>
              <w:spacing w:before="0" w:after="0" w:line="200" w:lineRule="atLeast"/>
              <w:rPr>
                <w:rFonts w:cs="Calibri"/>
                <w:sz w:val="16"/>
                <w:szCs w:val="16"/>
              </w:rPr>
            </w:pPr>
          </w:p>
        </w:tc>
        <w:tc>
          <w:tcPr>
            <w:tcW w:w="2724"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rPr>
                <w:rFonts w:cs="Calibri"/>
                <w:b/>
                <w:sz w:val="16"/>
                <w:szCs w:val="16"/>
              </w:rPr>
            </w:pPr>
            <w:r w:rsidRPr="00B07894">
              <w:rPr>
                <w:rFonts w:cs="Calibri"/>
                <w:b/>
                <w:sz w:val="16"/>
                <w:szCs w:val="16"/>
              </w:rPr>
              <w:t>totaal</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b/>
                <w:bCs/>
                <w:sz w:val="16"/>
                <w:szCs w:val="16"/>
              </w:rPr>
            </w:pPr>
            <w:r w:rsidRPr="00B07894">
              <w:rPr>
                <w:rFonts w:cs="Calibri"/>
                <w:b/>
                <w:bCs/>
                <w:sz w:val="16"/>
                <w:szCs w:val="16"/>
              </w:rPr>
              <w:t>37,9</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b/>
                <w:bCs/>
                <w:sz w:val="16"/>
                <w:szCs w:val="16"/>
              </w:rPr>
            </w:pPr>
            <w:r w:rsidRPr="00B07894">
              <w:rPr>
                <w:rFonts w:cs="Calibri"/>
                <w:b/>
                <w:bCs/>
                <w:sz w:val="16"/>
                <w:szCs w:val="16"/>
              </w:rPr>
              <w:t>14,2</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b/>
                <w:bCs/>
                <w:sz w:val="16"/>
                <w:szCs w:val="16"/>
              </w:rPr>
            </w:pPr>
            <w:r w:rsidRPr="00B07894">
              <w:rPr>
                <w:rFonts w:cs="Calibri"/>
                <w:b/>
                <w:bCs/>
                <w:sz w:val="16"/>
                <w:szCs w:val="16"/>
              </w:rPr>
              <w:t>75,7</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B07894" w:rsidRDefault="005B5D40" w:rsidP="005B5D40">
            <w:pPr>
              <w:spacing w:before="0" w:after="0" w:line="200" w:lineRule="atLeast"/>
              <w:jc w:val="center"/>
              <w:rPr>
                <w:rFonts w:cs="Calibri"/>
                <w:b/>
                <w:bCs/>
                <w:sz w:val="16"/>
                <w:szCs w:val="16"/>
              </w:rPr>
            </w:pPr>
            <w:r w:rsidRPr="00B07894">
              <w:rPr>
                <w:rFonts w:cs="Calibri"/>
                <w:b/>
                <w:bCs/>
                <w:sz w:val="16"/>
                <w:szCs w:val="16"/>
              </w:rPr>
              <w:t>127,8</w:t>
            </w:r>
          </w:p>
        </w:tc>
      </w:tr>
    </w:tbl>
    <w:p w:rsidR="007314E2" w:rsidRPr="007314E2" w:rsidRDefault="007314E2" w:rsidP="007314E2">
      <w:pPr>
        <w:spacing w:line="120" w:lineRule="auto"/>
        <w:rPr>
          <w:sz w:val="16"/>
          <w:szCs w:val="16"/>
        </w:rPr>
      </w:pPr>
      <w:r w:rsidRPr="007314E2">
        <w:rPr>
          <w:sz w:val="16"/>
          <w:szCs w:val="16"/>
        </w:rPr>
        <w:t xml:space="preserve">Ra : </w:t>
      </w:r>
      <w:r>
        <w:rPr>
          <w:sz w:val="16"/>
          <w:szCs w:val="16"/>
        </w:rPr>
        <w:tab/>
      </w:r>
      <w:r w:rsidRPr="007314E2">
        <w:rPr>
          <w:sz w:val="16"/>
          <w:szCs w:val="16"/>
        </w:rPr>
        <w:t>relatief ademverlies</w:t>
      </w:r>
    </w:p>
    <w:p w:rsidR="007314E2" w:rsidRPr="007314E2" w:rsidRDefault="007314E2" w:rsidP="007314E2">
      <w:pPr>
        <w:spacing w:line="120" w:lineRule="auto"/>
        <w:rPr>
          <w:sz w:val="16"/>
          <w:szCs w:val="16"/>
        </w:rPr>
      </w:pPr>
      <w:r w:rsidRPr="007314E2">
        <w:rPr>
          <w:sz w:val="16"/>
          <w:szCs w:val="16"/>
        </w:rPr>
        <w:t xml:space="preserve">Rv : </w:t>
      </w:r>
      <w:r>
        <w:rPr>
          <w:sz w:val="16"/>
          <w:szCs w:val="16"/>
        </w:rPr>
        <w:tab/>
      </w:r>
      <w:r w:rsidRPr="007314E2">
        <w:rPr>
          <w:sz w:val="16"/>
          <w:szCs w:val="16"/>
        </w:rPr>
        <w:t>relatief verdrijvingsverlies</w:t>
      </w:r>
    </w:p>
    <w:p w:rsidR="007314E2" w:rsidRPr="007314E2" w:rsidRDefault="007314E2" w:rsidP="007314E2">
      <w:pPr>
        <w:spacing w:line="120" w:lineRule="auto"/>
        <w:rPr>
          <w:sz w:val="16"/>
          <w:szCs w:val="16"/>
        </w:rPr>
      </w:pPr>
      <w:r w:rsidRPr="007314E2">
        <w:rPr>
          <w:sz w:val="16"/>
          <w:szCs w:val="16"/>
        </w:rPr>
        <w:t xml:space="preserve">Rn : </w:t>
      </w:r>
      <w:r>
        <w:rPr>
          <w:sz w:val="16"/>
          <w:szCs w:val="16"/>
        </w:rPr>
        <w:tab/>
      </w:r>
      <w:r w:rsidRPr="007314E2">
        <w:rPr>
          <w:sz w:val="16"/>
          <w:szCs w:val="16"/>
        </w:rPr>
        <w:t>relatief beladingsverlies</w:t>
      </w:r>
    </w:p>
    <w:p w:rsidR="007314E2" w:rsidRPr="007314E2" w:rsidRDefault="007314E2" w:rsidP="007314E2">
      <w:pPr>
        <w:spacing w:line="120" w:lineRule="auto"/>
        <w:rPr>
          <w:sz w:val="16"/>
          <w:szCs w:val="16"/>
        </w:rPr>
      </w:pPr>
      <w:r w:rsidRPr="007314E2">
        <w:rPr>
          <w:sz w:val="16"/>
          <w:szCs w:val="16"/>
        </w:rPr>
        <w:t xml:space="preserve">O : </w:t>
      </w:r>
      <w:r>
        <w:rPr>
          <w:sz w:val="16"/>
          <w:szCs w:val="16"/>
        </w:rPr>
        <w:tab/>
      </w:r>
      <w:r w:rsidRPr="007314E2">
        <w:rPr>
          <w:sz w:val="16"/>
          <w:szCs w:val="16"/>
        </w:rPr>
        <w:t>opslaghoeveelheid</w:t>
      </w:r>
    </w:p>
    <w:p w:rsidR="007314E2" w:rsidRPr="007314E2" w:rsidRDefault="007314E2" w:rsidP="007314E2">
      <w:pPr>
        <w:spacing w:line="120" w:lineRule="auto"/>
        <w:rPr>
          <w:sz w:val="16"/>
          <w:szCs w:val="16"/>
        </w:rPr>
      </w:pPr>
      <w:r w:rsidRPr="007314E2">
        <w:rPr>
          <w:sz w:val="16"/>
          <w:szCs w:val="16"/>
        </w:rPr>
        <w:t xml:space="preserve">TO : </w:t>
      </w:r>
      <w:r>
        <w:rPr>
          <w:sz w:val="16"/>
          <w:szCs w:val="16"/>
        </w:rPr>
        <w:tab/>
      </w:r>
      <w:r w:rsidRPr="007314E2">
        <w:rPr>
          <w:sz w:val="16"/>
          <w:szCs w:val="16"/>
        </w:rPr>
        <w:t>doorzetfactor</w:t>
      </w:r>
    </w:p>
    <w:p w:rsidR="007314E2" w:rsidRPr="007314E2" w:rsidRDefault="007314E2" w:rsidP="007314E2">
      <w:pPr>
        <w:spacing w:line="120" w:lineRule="auto"/>
        <w:rPr>
          <w:sz w:val="16"/>
          <w:szCs w:val="16"/>
        </w:rPr>
      </w:pPr>
      <w:r w:rsidRPr="007314E2">
        <w:rPr>
          <w:sz w:val="16"/>
          <w:szCs w:val="16"/>
        </w:rPr>
        <w:t xml:space="preserve">ETPA : </w:t>
      </w:r>
      <w:r>
        <w:rPr>
          <w:sz w:val="16"/>
          <w:szCs w:val="16"/>
        </w:rPr>
        <w:tab/>
      </w:r>
      <w:r w:rsidRPr="007314E2">
        <w:rPr>
          <w:sz w:val="16"/>
          <w:szCs w:val="16"/>
        </w:rPr>
        <w:t>ademverlies</w:t>
      </w:r>
    </w:p>
    <w:p w:rsidR="007314E2" w:rsidRPr="007314E2" w:rsidRDefault="007314E2" w:rsidP="007314E2">
      <w:pPr>
        <w:spacing w:line="120" w:lineRule="auto"/>
        <w:rPr>
          <w:sz w:val="16"/>
          <w:szCs w:val="16"/>
        </w:rPr>
      </w:pPr>
      <w:r w:rsidRPr="007314E2">
        <w:rPr>
          <w:sz w:val="16"/>
          <w:szCs w:val="16"/>
        </w:rPr>
        <w:t xml:space="preserve">ETPV : </w:t>
      </w:r>
      <w:r>
        <w:rPr>
          <w:sz w:val="16"/>
          <w:szCs w:val="16"/>
        </w:rPr>
        <w:tab/>
      </w:r>
      <w:r w:rsidRPr="007314E2">
        <w:rPr>
          <w:sz w:val="16"/>
          <w:szCs w:val="16"/>
        </w:rPr>
        <w:t>verdrijvingsverlies</w:t>
      </w:r>
    </w:p>
    <w:p w:rsidR="007314E2" w:rsidRPr="007314E2" w:rsidRDefault="007314E2" w:rsidP="007314E2">
      <w:pPr>
        <w:spacing w:line="120" w:lineRule="auto"/>
        <w:rPr>
          <w:sz w:val="16"/>
          <w:szCs w:val="16"/>
        </w:rPr>
      </w:pPr>
      <w:r w:rsidRPr="007314E2">
        <w:rPr>
          <w:sz w:val="16"/>
          <w:szCs w:val="16"/>
        </w:rPr>
        <w:t xml:space="preserve">ETPB : </w:t>
      </w:r>
      <w:r>
        <w:rPr>
          <w:sz w:val="16"/>
          <w:szCs w:val="16"/>
        </w:rPr>
        <w:tab/>
      </w:r>
      <w:r w:rsidRPr="007314E2">
        <w:rPr>
          <w:sz w:val="16"/>
          <w:szCs w:val="16"/>
        </w:rPr>
        <w:t>beladingsverlies</w:t>
      </w:r>
    </w:p>
    <w:p w:rsidR="007314E2" w:rsidRPr="007314E2" w:rsidRDefault="007314E2" w:rsidP="007314E2">
      <w:pPr>
        <w:spacing w:line="120" w:lineRule="auto"/>
        <w:rPr>
          <w:sz w:val="16"/>
          <w:szCs w:val="16"/>
        </w:rPr>
      </w:pPr>
      <w:r w:rsidRPr="007314E2">
        <w:rPr>
          <w:sz w:val="16"/>
          <w:szCs w:val="16"/>
        </w:rPr>
        <w:t xml:space="preserve">ETP : </w:t>
      </w:r>
      <w:r>
        <w:rPr>
          <w:sz w:val="16"/>
          <w:szCs w:val="16"/>
        </w:rPr>
        <w:tab/>
      </w:r>
      <w:r w:rsidRPr="007314E2">
        <w:rPr>
          <w:sz w:val="16"/>
          <w:szCs w:val="16"/>
        </w:rPr>
        <w:t>totale emissies</w:t>
      </w:r>
    </w:p>
    <w:p w:rsidR="007314E2" w:rsidRDefault="007314E2" w:rsidP="005B5D40"/>
    <w:p w:rsidR="005B5D40" w:rsidRDefault="005B5D40" w:rsidP="005B5D40">
      <w:r>
        <w:t>Uit voorgaande blijkt dat voor het maximalistisch scenario de relatieve adememissies in de toekomst  afnemen. Reden hiervoor is dat de capaciteitsuitbreiding gerealiseerd zal worden met tanks met ademventielen van 100 mbar en dat tegelijkertijd bestaande tanks met ademventielen van 18 mbar uit dienst genomen worden. De ademverliezen als dusdanig zullen in de toekomst dan ook lager zijn dan de in de huidige (vergunde) situatie.</w:t>
      </w:r>
    </w:p>
    <w:p w:rsidR="005B5D40" w:rsidRDefault="005B5D40" w:rsidP="005B5D40">
      <w:r>
        <w:lastRenderedPageBreak/>
        <w:t>De afname van de ademverliezen wordt echter gecompenseerd door een toename van de verdrijvings- en beladingsverliezen (bij het berekenen van de emissies is immers van uitgegaan dat een vergroting van de opslagcapaciteit eveneens leidt tot een verhoging van de doorgezette hoeveelheden per stof).</w:t>
      </w:r>
    </w:p>
    <w:p w:rsidR="005B5D40" w:rsidRDefault="005B5D40" w:rsidP="009C1E15">
      <w:pPr>
        <w:pStyle w:val="tit-5"/>
      </w:pPr>
      <w:r w:rsidRPr="003601F6">
        <w:t xml:space="preserve">Maximalistisch scenario </w:t>
      </w:r>
      <w:r>
        <w:t xml:space="preserve">(zeer) </w:t>
      </w:r>
      <w:r w:rsidRPr="003601F6">
        <w:t xml:space="preserve">giftige en </w:t>
      </w:r>
      <w:r>
        <w:t>CMR-stoffen</w:t>
      </w:r>
    </w:p>
    <w:p w:rsidR="005B5D40" w:rsidRDefault="005B5D40" w:rsidP="009C1E15">
      <w:pPr>
        <w:keepNext/>
      </w:pPr>
      <w:r>
        <w:t xml:space="preserve">Als referentieproducten voor (zeer) giftige en CMR-stoffen worden de stoffen crotonaldehyde, benzeen, chloroform en tetrachloorkoolstof weerhouden. </w:t>
      </w:r>
    </w:p>
    <w:p w:rsidR="005B5D40" w:rsidRDefault="005B5D40" w:rsidP="009C1E15">
      <w:pPr>
        <w:keepNext/>
      </w:pPr>
      <w:r>
        <w:t>Onderstaande tabel geeft een overzicht van de berekende emissies.</w:t>
      </w:r>
    </w:p>
    <w:p w:rsidR="005B5D40" w:rsidRDefault="005B5D40" w:rsidP="009C1E15">
      <w:pPr>
        <w:pStyle w:val="tabel0"/>
      </w:pPr>
      <w:r>
        <w:t>Tabel</w:t>
      </w:r>
      <w:r w:rsidR="009C1E15">
        <w:t xml:space="preserve"> </w:t>
      </w:r>
      <w:r w:rsidR="00C325A0">
        <w:fldChar w:fldCharType="begin"/>
      </w:r>
      <w:r w:rsidR="009C1E15">
        <w:instrText xml:space="preserve"> REF t_lucht_TCMR_max_berekend \h </w:instrText>
      </w:r>
      <w:r w:rsidR="00C325A0">
        <w:fldChar w:fldCharType="separate"/>
      </w:r>
      <w:r w:rsidR="008102D8">
        <w:t>VIII.2.16</w:t>
      </w:r>
      <w:r w:rsidR="00C325A0">
        <w:fldChar w:fldCharType="end"/>
      </w:r>
      <w:r w:rsidR="009C1E15">
        <w:t>:</w:t>
      </w:r>
      <w:r>
        <w:tab/>
        <w:t>Berekende maximale emissie inzake giftige en carcinogene producten</w:t>
      </w:r>
    </w:p>
    <w:tbl>
      <w:tblPr>
        <w:tblW w:w="3858" w:type="pct"/>
        <w:tblCellMar>
          <w:left w:w="70" w:type="dxa"/>
          <w:right w:w="70" w:type="dxa"/>
        </w:tblCellMar>
        <w:tblLook w:val="04A0"/>
      </w:tblPr>
      <w:tblGrid>
        <w:gridCol w:w="548"/>
        <w:gridCol w:w="1400"/>
        <w:gridCol w:w="1136"/>
        <w:gridCol w:w="1538"/>
        <w:gridCol w:w="1382"/>
        <w:gridCol w:w="1071"/>
      </w:tblGrid>
      <w:tr w:rsidR="005B5D40" w:rsidRPr="008D7253" w:rsidTr="005B5D40">
        <w:trPr>
          <w:trHeight w:val="225"/>
        </w:trPr>
        <w:tc>
          <w:tcPr>
            <w:tcW w:w="38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B5D40" w:rsidRPr="008D7253" w:rsidRDefault="005B5D40" w:rsidP="009C1E15">
            <w:pPr>
              <w:keepNext/>
              <w:spacing w:before="0" w:after="0" w:line="200" w:lineRule="atLeast"/>
              <w:ind w:left="113" w:right="113"/>
              <w:jc w:val="center"/>
              <w:rPr>
                <w:rFonts w:cs="Calibri"/>
                <w:b/>
                <w:sz w:val="16"/>
                <w:szCs w:val="16"/>
              </w:rPr>
            </w:pPr>
            <w:r w:rsidRPr="008D7253">
              <w:rPr>
                <w:rFonts w:cs="Calibri"/>
                <w:b/>
                <w:sz w:val="16"/>
                <w:szCs w:val="16"/>
              </w:rPr>
              <w:t>vergunde situatie</w:t>
            </w:r>
          </w:p>
        </w:tc>
        <w:tc>
          <w:tcPr>
            <w:tcW w:w="989" w:type="pct"/>
            <w:vMerge w:val="restart"/>
            <w:tcBorders>
              <w:top w:val="single" w:sz="4" w:space="0" w:color="auto"/>
              <w:left w:val="single" w:sz="4" w:space="0" w:color="auto"/>
              <w:right w:val="single" w:sz="4" w:space="0" w:color="auto"/>
            </w:tcBorders>
            <w:shd w:val="clear" w:color="auto" w:fill="DAEEF3"/>
            <w:noWrap/>
            <w:vAlign w:val="center"/>
            <w:hideMark/>
          </w:tcPr>
          <w:p w:rsidR="005B5D40" w:rsidRPr="008D7253" w:rsidRDefault="005B5D40" w:rsidP="009C1E15">
            <w:pPr>
              <w:keepNext/>
              <w:spacing w:before="0" w:after="0" w:line="200" w:lineRule="atLeast"/>
              <w:rPr>
                <w:rFonts w:cs="Calibri"/>
                <w:b/>
                <w:sz w:val="16"/>
                <w:szCs w:val="16"/>
              </w:rPr>
            </w:pPr>
            <w:r w:rsidRPr="008D7253">
              <w:rPr>
                <w:rFonts w:cs="Calibri"/>
                <w:b/>
                <w:sz w:val="16"/>
                <w:szCs w:val="16"/>
              </w:rPr>
              <w:t>stof</w:t>
            </w:r>
          </w:p>
        </w:tc>
        <w:tc>
          <w:tcPr>
            <w:tcW w:w="803"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Pr>
                <w:rFonts w:cs="Calibri"/>
                <w:b/>
                <w:sz w:val="16"/>
                <w:szCs w:val="16"/>
              </w:rPr>
              <w:t>Ademverliezen</w:t>
            </w:r>
          </w:p>
        </w:tc>
        <w:tc>
          <w:tcPr>
            <w:tcW w:w="108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Pr>
                <w:rFonts w:cs="Calibri"/>
                <w:b/>
                <w:sz w:val="16"/>
                <w:szCs w:val="16"/>
              </w:rPr>
              <w:t>Verdrijvingsverliezen</w:t>
            </w:r>
          </w:p>
        </w:tc>
        <w:tc>
          <w:tcPr>
            <w:tcW w:w="97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Pr>
                <w:rFonts w:cs="Calibri"/>
                <w:b/>
                <w:sz w:val="16"/>
                <w:szCs w:val="16"/>
              </w:rPr>
              <w:t>Beladingsverliezen</w:t>
            </w:r>
          </w:p>
        </w:tc>
        <w:tc>
          <w:tcPr>
            <w:tcW w:w="75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Pr>
                <w:rFonts w:cs="Calibri"/>
                <w:b/>
                <w:sz w:val="16"/>
                <w:szCs w:val="16"/>
              </w:rPr>
              <w:t>Som verliezen</w:t>
            </w:r>
          </w:p>
        </w:tc>
      </w:tr>
      <w:tr w:rsidR="005B5D40" w:rsidRPr="008D7253" w:rsidTr="005B5D40">
        <w:trPr>
          <w:trHeight w:val="225"/>
        </w:trPr>
        <w:tc>
          <w:tcPr>
            <w:tcW w:w="387" w:type="pct"/>
            <w:vMerge/>
            <w:tcBorders>
              <w:top w:val="single" w:sz="4" w:space="0" w:color="auto"/>
              <w:left w:val="single" w:sz="4" w:space="0" w:color="auto"/>
              <w:bottom w:val="single" w:sz="4" w:space="0" w:color="auto"/>
              <w:right w:val="single" w:sz="4" w:space="0" w:color="auto"/>
            </w:tcBorders>
          </w:tcPr>
          <w:p w:rsidR="005B5D40" w:rsidRPr="008D7253" w:rsidRDefault="005B5D40" w:rsidP="009C1E15">
            <w:pPr>
              <w:keepNext/>
              <w:spacing w:before="0" w:after="0" w:line="200" w:lineRule="atLeast"/>
              <w:rPr>
                <w:rFonts w:cs="Calibri"/>
                <w:sz w:val="16"/>
                <w:szCs w:val="16"/>
              </w:rPr>
            </w:pPr>
          </w:p>
        </w:tc>
        <w:tc>
          <w:tcPr>
            <w:tcW w:w="989" w:type="pct"/>
            <w:vMerge/>
            <w:tcBorders>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rPr>
                <w:rFonts w:cs="Calibri"/>
                <w:b/>
                <w:sz w:val="16"/>
                <w:szCs w:val="16"/>
              </w:rPr>
            </w:pPr>
          </w:p>
        </w:tc>
        <w:tc>
          <w:tcPr>
            <w:tcW w:w="803"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sidRPr="008D7253">
              <w:rPr>
                <w:rFonts w:cs="Calibri"/>
                <w:b/>
                <w:sz w:val="16"/>
                <w:szCs w:val="16"/>
              </w:rPr>
              <w:t>ton/jaar</w:t>
            </w:r>
          </w:p>
        </w:tc>
        <w:tc>
          <w:tcPr>
            <w:tcW w:w="108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sidRPr="008D7253">
              <w:rPr>
                <w:rFonts w:cs="Calibri"/>
                <w:b/>
                <w:sz w:val="16"/>
                <w:szCs w:val="16"/>
              </w:rPr>
              <w:t>ton/jaar</w:t>
            </w:r>
          </w:p>
        </w:tc>
        <w:tc>
          <w:tcPr>
            <w:tcW w:w="97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sidRPr="008D7253">
              <w:rPr>
                <w:rFonts w:cs="Calibri"/>
                <w:b/>
                <w:sz w:val="16"/>
                <w:szCs w:val="16"/>
              </w:rPr>
              <w:t>ton/jaar</w:t>
            </w:r>
          </w:p>
        </w:tc>
        <w:tc>
          <w:tcPr>
            <w:tcW w:w="75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sidRPr="008D7253">
              <w:rPr>
                <w:rFonts w:cs="Calibri"/>
                <w:b/>
                <w:sz w:val="16"/>
                <w:szCs w:val="16"/>
              </w:rPr>
              <w:t>ton/jaar</w:t>
            </w:r>
          </w:p>
        </w:tc>
      </w:tr>
      <w:tr w:rsidR="005B5D40" w:rsidRPr="008D7253" w:rsidTr="005B5D40">
        <w:trPr>
          <w:trHeight w:val="225"/>
        </w:trPr>
        <w:tc>
          <w:tcPr>
            <w:tcW w:w="387" w:type="pct"/>
            <w:vMerge/>
            <w:tcBorders>
              <w:top w:val="single" w:sz="4" w:space="0" w:color="auto"/>
              <w:left w:val="single" w:sz="4" w:space="0" w:color="auto"/>
              <w:bottom w:val="single" w:sz="4" w:space="0" w:color="auto"/>
              <w:right w:val="single" w:sz="4" w:space="0" w:color="auto"/>
            </w:tcBorders>
          </w:tcPr>
          <w:p w:rsidR="005B5D40" w:rsidRPr="008D7253" w:rsidRDefault="005B5D40" w:rsidP="009C1E15">
            <w:pPr>
              <w:keepNext/>
              <w:spacing w:before="0" w:after="0" w:line="200" w:lineRule="atLeast"/>
              <w:rPr>
                <w:rFonts w:cs="Calibri"/>
                <w:sz w:val="16"/>
                <w:szCs w:val="16"/>
              </w:rPr>
            </w:pP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rPr>
                <w:rFonts w:cs="Calibri"/>
                <w:sz w:val="16"/>
                <w:szCs w:val="16"/>
              </w:rPr>
            </w:pPr>
            <w:r w:rsidRPr="008D7253">
              <w:rPr>
                <w:rFonts w:cs="Calibri"/>
                <w:sz w:val="16"/>
                <w:szCs w:val="16"/>
              </w:rPr>
              <w:t>crotonaldehyde</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0,8</w:t>
            </w:r>
            <w:r>
              <w:rPr>
                <w:rFonts w:cs="Calibri"/>
                <w:sz w:val="16"/>
                <w:szCs w:val="16"/>
              </w:rPr>
              <w:t>0</w:t>
            </w:r>
          </w:p>
        </w:tc>
        <w:tc>
          <w:tcPr>
            <w:tcW w:w="10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Pr>
                <w:rFonts w:cs="Calibri"/>
                <w:sz w:val="16"/>
                <w:szCs w:val="16"/>
              </w:rPr>
              <w:t>0,01</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0,1</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0,87</w:t>
            </w:r>
          </w:p>
        </w:tc>
      </w:tr>
      <w:tr w:rsidR="005B5D40" w:rsidRPr="008D7253" w:rsidTr="005B5D40">
        <w:trPr>
          <w:trHeight w:val="225"/>
        </w:trPr>
        <w:tc>
          <w:tcPr>
            <w:tcW w:w="387" w:type="pct"/>
            <w:vMerge/>
            <w:tcBorders>
              <w:top w:val="single" w:sz="4" w:space="0" w:color="auto"/>
              <w:left w:val="single" w:sz="4" w:space="0" w:color="auto"/>
              <w:bottom w:val="single" w:sz="4" w:space="0" w:color="auto"/>
              <w:right w:val="single" w:sz="4" w:space="0" w:color="auto"/>
            </w:tcBorders>
          </w:tcPr>
          <w:p w:rsidR="005B5D40" w:rsidRPr="008D7253" w:rsidRDefault="005B5D40" w:rsidP="009C1E15">
            <w:pPr>
              <w:keepNext/>
              <w:spacing w:before="0" w:after="0" w:line="200" w:lineRule="atLeast"/>
              <w:rPr>
                <w:rFonts w:cs="Calibri"/>
                <w:sz w:val="16"/>
                <w:szCs w:val="16"/>
              </w:rPr>
            </w:pP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rPr>
                <w:rFonts w:cs="Calibri"/>
                <w:sz w:val="16"/>
                <w:szCs w:val="16"/>
              </w:rPr>
            </w:pPr>
            <w:r w:rsidRPr="008D7253">
              <w:rPr>
                <w:rFonts w:cs="Calibri"/>
                <w:sz w:val="16"/>
                <w:szCs w:val="16"/>
              </w:rPr>
              <w:t>benzeen</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Pr>
                <w:rFonts w:cs="Calibri"/>
                <w:sz w:val="16"/>
                <w:szCs w:val="16"/>
              </w:rPr>
              <w:t>0</w:t>
            </w:r>
          </w:p>
        </w:tc>
        <w:tc>
          <w:tcPr>
            <w:tcW w:w="10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Pr>
                <w:rFonts w:cs="Calibri"/>
                <w:sz w:val="16"/>
                <w:szCs w:val="16"/>
              </w:rPr>
              <w:t>0</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Pr>
                <w:rFonts w:cs="Calibri"/>
                <w:sz w:val="16"/>
                <w:szCs w:val="16"/>
              </w:rPr>
              <w:t>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Pr>
                <w:rFonts w:cs="Calibri"/>
                <w:sz w:val="16"/>
                <w:szCs w:val="16"/>
              </w:rPr>
              <w:t>0</w:t>
            </w:r>
          </w:p>
        </w:tc>
      </w:tr>
      <w:tr w:rsidR="005B5D40" w:rsidRPr="008D7253" w:rsidTr="005B5D40">
        <w:trPr>
          <w:trHeight w:val="225"/>
        </w:trPr>
        <w:tc>
          <w:tcPr>
            <w:tcW w:w="387" w:type="pct"/>
            <w:vMerge/>
            <w:tcBorders>
              <w:top w:val="single" w:sz="4" w:space="0" w:color="auto"/>
              <w:left w:val="single" w:sz="4" w:space="0" w:color="auto"/>
              <w:bottom w:val="single" w:sz="4" w:space="0" w:color="auto"/>
              <w:right w:val="single" w:sz="4" w:space="0" w:color="auto"/>
            </w:tcBorders>
          </w:tcPr>
          <w:p w:rsidR="005B5D40" w:rsidRPr="008D7253" w:rsidRDefault="005B5D40" w:rsidP="009C1E15">
            <w:pPr>
              <w:keepNext/>
              <w:spacing w:before="0" w:after="0" w:line="200" w:lineRule="atLeast"/>
              <w:rPr>
                <w:rFonts w:cs="Calibri"/>
                <w:sz w:val="16"/>
                <w:szCs w:val="16"/>
              </w:rPr>
            </w:pP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rPr>
                <w:rFonts w:cs="Calibri"/>
                <w:sz w:val="16"/>
                <w:szCs w:val="16"/>
              </w:rPr>
            </w:pPr>
            <w:r w:rsidRPr="008D7253">
              <w:rPr>
                <w:rFonts w:cs="Calibri"/>
                <w:sz w:val="16"/>
                <w:szCs w:val="16"/>
              </w:rPr>
              <w:t>chloroform</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4,0</w:t>
            </w:r>
          </w:p>
        </w:tc>
        <w:tc>
          <w:tcPr>
            <w:tcW w:w="10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Pr>
                <w:rFonts w:cs="Calibri"/>
                <w:sz w:val="16"/>
                <w:szCs w:val="16"/>
              </w:rPr>
              <w:t>0,7</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0,4</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5,20</w:t>
            </w:r>
          </w:p>
        </w:tc>
      </w:tr>
      <w:tr w:rsidR="005B5D40" w:rsidRPr="008D7253" w:rsidTr="005B5D40">
        <w:trPr>
          <w:trHeight w:val="225"/>
        </w:trPr>
        <w:tc>
          <w:tcPr>
            <w:tcW w:w="387" w:type="pct"/>
            <w:vMerge/>
            <w:tcBorders>
              <w:top w:val="single" w:sz="4" w:space="0" w:color="auto"/>
              <w:left w:val="single" w:sz="4" w:space="0" w:color="auto"/>
              <w:bottom w:val="single" w:sz="4" w:space="0" w:color="auto"/>
              <w:right w:val="single" w:sz="4" w:space="0" w:color="auto"/>
            </w:tcBorders>
          </w:tcPr>
          <w:p w:rsidR="005B5D40" w:rsidRPr="008D7253" w:rsidRDefault="005B5D40" w:rsidP="009C1E15">
            <w:pPr>
              <w:keepNext/>
              <w:spacing w:before="0" w:after="0" w:line="200" w:lineRule="atLeast"/>
              <w:rPr>
                <w:rFonts w:cs="Calibri"/>
                <w:sz w:val="16"/>
                <w:szCs w:val="16"/>
              </w:rPr>
            </w:pP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rPr>
                <w:rFonts w:cs="Calibri"/>
                <w:sz w:val="16"/>
                <w:szCs w:val="16"/>
              </w:rPr>
            </w:pPr>
            <w:r w:rsidRPr="008D7253">
              <w:rPr>
                <w:rFonts w:cs="Calibri"/>
                <w:sz w:val="16"/>
                <w:szCs w:val="16"/>
              </w:rPr>
              <w:t>tetrachloorkoolstof</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2,6</w:t>
            </w:r>
          </w:p>
        </w:tc>
        <w:tc>
          <w:tcPr>
            <w:tcW w:w="10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0,05</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0,3</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2,9</w:t>
            </w:r>
            <w:r>
              <w:rPr>
                <w:rFonts w:cs="Calibri"/>
                <w:sz w:val="16"/>
                <w:szCs w:val="16"/>
              </w:rPr>
              <w:t>5</w:t>
            </w:r>
          </w:p>
        </w:tc>
      </w:tr>
      <w:tr w:rsidR="005B5D40" w:rsidRPr="008D7253" w:rsidTr="005B5D40">
        <w:trPr>
          <w:trHeight w:val="225"/>
        </w:trPr>
        <w:tc>
          <w:tcPr>
            <w:tcW w:w="38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B5D40" w:rsidRPr="008D7253" w:rsidRDefault="005B5D40" w:rsidP="009C1E15">
            <w:pPr>
              <w:keepNext/>
              <w:spacing w:before="0" w:after="0" w:line="200" w:lineRule="atLeast"/>
              <w:ind w:left="113" w:right="113"/>
              <w:jc w:val="center"/>
              <w:rPr>
                <w:rFonts w:cs="Calibri"/>
                <w:b/>
                <w:sz w:val="16"/>
                <w:szCs w:val="16"/>
              </w:rPr>
            </w:pPr>
            <w:r w:rsidRPr="008D7253">
              <w:rPr>
                <w:rFonts w:cs="Calibri"/>
                <w:b/>
                <w:sz w:val="16"/>
                <w:szCs w:val="16"/>
              </w:rPr>
              <w:t xml:space="preserve">geplande situatie </w:t>
            </w:r>
          </w:p>
          <w:p w:rsidR="005B5D40" w:rsidRPr="008D7253" w:rsidRDefault="005B5D40" w:rsidP="009C1E15">
            <w:pPr>
              <w:keepNext/>
              <w:spacing w:before="0" w:after="0" w:line="200" w:lineRule="atLeast"/>
              <w:ind w:left="113" w:right="113"/>
              <w:jc w:val="center"/>
              <w:rPr>
                <w:rFonts w:cs="Calibri"/>
                <w:b/>
                <w:sz w:val="16"/>
                <w:szCs w:val="16"/>
              </w:rPr>
            </w:pPr>
            <w:r w:rsidRPr="008D7253">
              <w:rPr>
                <w:rFonts w:cs="Calibri"/>
                <w:b/>
                <w:sz w:val="16"/>
                <w:szCs w:val="16"/>
              </w:rPr>
              <w:t>fase 1 en 2</w:t>
            </w:r>
          </w:p>
        </w:tc>
        <w:tc>
          <w:tcPr>
            <w:tcW w:w="989" w:type="pct"/>
            <w:vMerge w:val="restart"/>
            <w:tcBorders>
              <w:top w:val="single" w:sz="4" w:space="0" w:color="auto"/>
              <w:left w:val="single" w:sz="4" w:space="0" w:color="auto"/>
              <w:right w:val="single" w:sz="4" w:space="0" w:color="auto"/>
            </w:tcBorders>
            <w:shd w:val="clear" w:color="auto" w:fill="DAEEF3"/>
            <w:noWrap/>
            <w:vAlign w:val="center"/>
            <w:hideMark/>
          </w:tcPr>
          <w:p w:rsidR="005B5D40" w:rsidRPr="008D7253" w:rsidRDefault="005B5D40" w:rsidP="009C1E15">
            <w:pPr>
              <w:keepNext/>
              <w:spacing w:before="0" w:after="0" w:line="200" w:lineRule="atLeast"/>
              <w:rPr>
                <w:rFonts w:cs="Calibri"/>
                <w:b/>
                <w:sz w:val="16"/>
                <w:szCs w:val="16"/>
              </w:rPr>
            </w:pPr>
            <w:r w:rsidRPr="008D7253">
              <w:rPr>
                <w:rFonts w:cs="Calibri"/>
                <w:b/>
                <w:sz w:val="16"/>
                <w:szCs w:val="16"/>
              </w:rPr>
              <w:t>stof</w:t>
            </w:r>
          </w:p>
        </w:tc>
        <w:tc>
          <w:tcPr>
            <w:tcW w:w="803"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Pr>
                <w:rFonts w:cs="Calibri"/>
                <w:b/>
                <w:sz w:val="16"/>
                <w:szCs w:val="16"/>
              </w:rPr>
              <w:t>Ademverliezen</w:t>
            </w:r>
          </w:p>
        </w:tc>
        <w:tc>
          <w:tcPr>
            <w:tcW w:w="108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Pr>
                <w:rFonts w:cs="Calibri"/>
                <w:b/>
                <w:sz w:val="16"/>
                <w:szCs w:val="16"/>
              </w:rPr>
              <w:t>Verdrijvingsverliezen</w:t>
            </w:r>
          </w:p>
        </w:tc>
        <w:tc>
          <w:tcPr>
            <w:tcW w:w="97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Pr>
                <w:rFonts w:cs="Calibri"/>
                <w:b/>
                <w:sz w:val="16"/>
                <w:szCs w:val="16"/>
              </w:rPr>
              <w:t>Beladingsverliezen</w:t>
            </w:r>
          </w:p>
        </w:tc>
        <w:tc>
          <w:tcPr>
            <w:tcW w:w="75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Pr>
                <w:rFonts w:cs="Calibri"/>
                <w:b/>
                <w:sz w:val="16"/>
                <w:szCs w:val="16"/>
              </w:rPr>
              <w:t>Som verliezen</w:t>
            </w:r>
          </w:p>
        </w:tc>
      </w:tr>
      <w:tr w:rsidR="005B5D40" w:rsidRPr="008D7253" w:rsidTr="005B5D40">
        <w:trPr>
          <w:trHeight w:val="225"/>
        </w:trPr>
        <w:tc>
          <w:tcPr>
            <w:tcW w:w="387" w:type="pct"/>
            <w:vMerge/>
            <w:tcBorders>
              <w:top w:val="single" w:sz="4" w:space="0" w:color="auto"/>
              <w:left w:val="single" w:sz="4" w:space="0" w:color="auto"/>
              <w:bottom w:val="single" w:sz="4" w:space="0" w:color="auto"/>
              <w:right w:val="single" w:sz="4" w:space="0" w:color="auto"/>
            </w:tcBorders>
          </w:tcPr>
          <w:p w:rsidR="005B5D40" w:rsidRPr="008D7253" w:rsidRDefault="005B5D40" w:rsidP="009C1E15">
            <w:pPr>
              <w:keepNext/>
              <w:spacing w:before="0" w:after="0" w:line="200" w:lineRule="atLeast"/>
              <w:rPr>
                <w:rFonts w:cs="Calibri"/>
                <w:sz w:val="16"/>
                <w:szCs w:val="16"/>
              </w:rPr>
            </w:pPr>
          </w:p>
        </w:tc>
        <w:tc>
          <w:tcPr>
            <w:tcW w:w="989" w:type="pct"/>
            <w:vMerge/>
            <w:tcBorders>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rPr>
                <w:rFonts w:cs="Calibri"/>
                <w:b/>
                <w:sz w:val="16"/>
                <w:szCs w:val="16"/>
              </w:rPr>
            </w:pPr>
          </w:p>
        </w:tc>
        <w:tc>
          <w:tcPr>
            <w:tcW w:w="803"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sidRPr="008D7253">
              <w:rPr>
                <w:rFonts w:cs="Calibri"/>
                <w:b/>
                <w:sz w:val="16"/>
                <w:szCs w:val="16"/>
              </w:rPr>
              <w:t>ton/jaar</w:t>
            </w:r>
          </w:p>
        </w:tc>
        <w:tc>
          <w:tcPr>
            <w:tcW w:w="108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sidRPr="008D7253">
              <w:rPr>
                <w:rFonts w:cs="Calibri"/>
                <w:b/>
                <w:sz w:val="16"/>
                <w:szCs w:val="16"/>
              </w:rPr>
              <w:t>ton/jaar</w:t>
            </w:r>
          </w:p>
        </w:tc>
        <w:tc>
          <w:tcPr>
            <w:tcW w:w="97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sidRPr="008D7253">
              <w:rPr>
                <w:rFonts w:cs="Calibri"/>
                <w:b/>
                <w:sz w:val="16"/>
                <w:szCs w:val="16"/>
              </w:rPr>
              <w:t>ton/jaar</w:t>
            </w:r>
          </w:p>
        </w:tc>
        <w:tc>
          <w:tcPr>
            <w:tcW w:w="757" w:type="pct"/>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5B5D40" w:rsidRPr="008D7253" w:rsidRDefault="005B5D40" w:rsidP="009C1E15">
            <w:pPr>
              <w:keepNext/>
              <w:spacing w:before="0" w:after="0" w:line="200" w:lineRule="atLeast"/>
              <w:jc w:val="center"/>
              <w:rPr>
                <w:rFonts w:cs="Calibri"/>
                <w:b/>
                <w:sz w:val="16"/>
                <w:szCs w:val="16"/>
              </w:rPr>
            </w:pPr>
            <w:r w:rsidRPr="008D7253">
              <w:rPr>
                <w:rFonts w:cs="Calibri"/>
                <w:b/>
                <w:sz w:val="16"/>
                <w:szCs w:val="16"/>
              </w:rPr>
              <w:t>ton/jaar</w:t>
            </w:r>
          </w:p>
        </w:tc>
      </w:tr>
      <w:tr w:rsidR="005B5D40" w:rsidRPr="008D7253" w:rsidTr="005B5D40">
        <w:trPr>
          <w:trHeight w:val="225"/>
        </w:trPr>
        <w:tc>
          <w:tcPr>
            <w:tcW w:w="387" w:type="pct"/>
            <w:vMerge/>
            <w:tcBorders>
              <w:top w:val="single" w:sz="4" w:space="0" w:color="auto"/>
              <w:left w:val="single" w:sz="4" w:space="0" w:color="auto"/>
              <w:bottom w:val="single" w:sz="4" w:space="0" w:color="auto"/>
              <w:right w:val="single" w:sz="4" w:space="0" w:color="auto"/>
            </w:tcBorders>
          </w:tcPr>
          <w:p w:rsidR="005B5D40" w:rsidRPr="008D7253" w:rsidRDefault="005B5D40" w:rsidP="009C1E15">
            <w:pPr>
              <w:keepNext/>
              <w:spacing w:before="0" w:after="0" w:line="200" w:lineRule="atLeast"/>
              <w:rPr>
                <w:rFonts w:cs="Calibri"/>
                <w:sz w:val="16"/>
                <w:szCs w:val="16"/>
              </w:rPr>
            </w:pP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rPr>
                <w:rFonts w:cs="Calibri"/>
                <w:sz w:val="16"/>
                <w:szCs w:val="16"/>
              </w:rPr>
            </w:pPr>
            <w:r w:rsidRPr="008D7253">
              <w:rPr>
                <w:rFonts w:cs="Calibri"/>
                <w:sz w:val="16"/>
                <w:szCs w:val="16"/>
              </w:rPr>
              <w:t>crotonaldehyde</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w:t>
            </w:r>
            <w:r>
              <w:rPr>
                <w:rFonts w:cs="Calibri"/>
                <w:sz w:val="16"/>
                <w:szCs w:val="16"/>
              </w:rPr>
              <w:t>76</w:t>
            </w:r>
          </w:p>
        </w:tc>
        <w:tc>
          <w:tcPr>
            <w:tcW w:w="10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0,01</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w:t>
            </w:r>
            <w:r>
              <w:rPr>
                <w:rFonts w:cs="Calibri"/>
                <w:sz w:val="16"/>
                <w:szCs w:val="16"/>
              </w:rPr>
              <w:t>1</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0,84</w:t>
            </w:r>
          </w:p>
        </w:tc>
      </w:tr>
      <w:tr w:rsidR="005B5D40" w:rsidRPr="008D7253" w:rsidTr="005B5D40">
        <w:trPr>
          <w:trHeight w:val="225"/>
        </w:trPr>
        <w:tc>
          <w:tcPr>
            <w:tcW w:w="387" w:type="pct"/>
            <w:vMerge/>
            <w:tcBorders>
              <w:top w:val="single" w:sz="4" w:space="0" w:color="auto"/>
              <w:left w:val="single" w:sz="4" w:space="0" w:color="auto"/>
              <w:bottom w:val="single" w:sz="4" w:space="0" w:color="auto"/>
              <w:right w:val="single" w:sz="4" w:space="0" w:color="auto"/>
            </w:tcBorders>
          </w:tcPr>
          <w:p w:rsidR="005B5D40" w:rsidRPr="008D7253" w:rsidRDefault="005B5D40" w:rsidP="009C1E15">
            <w:pPr>
              <w:keepNext/>
              <w:spacing w:before="0" w:after="0" w:line="200" w:lineRule="atLeast"/>
              <w:rPr>
                <w:rFonts w:cs="Calibri"/>
                <w:sz w:val="16"/>
                <w:szCs w:val="16"/>
              </w:rPr>
            </w:pP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rPr>
                <w:rFonts w:cs="Calibri"/>
                <w:sz w:val="16"/>
                <w:szCs w:val="16"/>
              </w:rPr>
            </w:pPr>
            <w:r w:rsidRPr="008D7253">
              <w:rPr>
                <w:rFonts w:cs="Calibri"/>
                <w:sz w:val="16"/>
                <w:szCs w:val="16"/>
              </w:rPr>
              <w:t>benzeen</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0,003</w:t>
            </w:r>
          </w:p>
        </w:tc>
        <w:tc>
          <w:tcPr>
            <w:tcW w:w="10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0,000</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0,003</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0,01</w:t>
            </w:r>
          </w:p>
        </w:tc>
      </w:tr>
      <w:tr w:rsidR="005B5D40" w:rsidRPr="008D7253" w:rsidTr="005B5D40">
        <w:trPr>
          <w:trHeight w:val="225"/>
        </w:trPr>
        <w:tc>
          <w:tcPr>
            <w:tcW w:w="387" w:type="pct"/>
            <w:vMerge/>
            <w:tcBorders>
              <w:top w:val="single" w:sz="4" w:space="0" w:color="auto"/>
              <w:left w:val="single" w:sz="4" w:space="0" w:color="auto"/>
              <w:bottom w:val="single" w:sz="4" w:space="0" w:color="auto"/>
              <w:right w:val="single" w:sz="4" w:space="0" w:color="auto"/>
            </w:tcBorders>
          </w:tcPr>
          <w:p w:rsidR="005B5D40" w:rsidRPr="008D7253" w:rsidRDefault="005B5D40" w:rsidP="009C1E15">
            <w:pPr>
              <w:keepNext/>
              <w:spacing w:before="0" w:after="0" w:line="200" w:lineRule="atLeast"/>
              <w:rPr>
                <w:rFonts w:cs="Calibri"/>
                <w:sz w:val="16"/>
                <w:szCs w:val="16"/>
              </w:rPr>
            </w:pP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rPr>
                <w:rFonts w:cs="Calibri"/>
                <w:sz w:val="16"/>
                <w:szCs w:val="16"/>
              </w:rPr>
            </w:pPr>
            <w:r w:rsidRPr="008D7253">
              <w:rPr>
                <w:rFonts w:cs="Calibri"/>
                <w:sz w:val="16"/>
                <w:szCs w:val="16"/>
              </w:rPr>
              <w:t>chloroform</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3,8</w:t>
            </w:r>
          </w:p>
        </w:tc>
        <w:tc>
          <w:tcPr>
            <w:tcW w:w="10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0,9</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0,5</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5,30</w:t>
            </w:r>
          </w:p>
        </w:tc>
      </w:tr>
      <w:tr w:rsidR="005B5D40" w:rsidRPr="008D7253" w:rsidTr="005B5D40">
        <w:trPr>
          <w:trHeight w:val="225"/>
        </w:trPr>
        <w:tc>
          <w:tcPr>
            <w:tcW w:w="387" w:type="pct"/>
            <w:vMerge/>
            <w:tcBorders>
              <w:top w:val="single" w:sz="4" w:space="0" w:color="auto"/>
              <w:left w:val="single" w:sz="4" w:space="0" w:color="auto"/>
              <w:bottom w:val="single" w:sz="4" w:space="0" w:color="auto"/>
              <w:right w:val="single" w:sz="4" w:space="0" w:color="auto"/>
            </w:tcBorders>
          </w:tcPr>
          <w:p w:rsidR="005B5D40" w:rsidRPr="008D7253" w:rsidRDefault="005B5D40" w:rsidP="009C1E15">
            <w:pPr>
              <w:keepNext/>
              <w:spacing w:before="0" w:after="0" w:line="200" w:lineRule="atLeast"/>
              <w:rPr>
                <w:rFonts w:cs="Calibri"/>
                <w:sz w:val="16"/>
                <w:szCs w:val="16"/>
              </w:rPr>
            </w:pP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rPr>
                <w:rFonts w:cs="Calibri"/>
                <w:sz w:val="16"/>
                <w:szCs w:val="16"/>
              </w:rPr>
            </w:pPr>
            <w:r w:rsidRPr="008D7253">
              <w:rPr>
                <w:rFonts w:cs="Calibri"/>
                <w:sz w:val="16"/>
                <w:szCs w:val="16"/>
              </w:rPr>
              <w:t>tetrachloorkoolstof</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2,5</w:t>
            </w:r>
          </w:p>
        </w:tc>
        <w:tc>
          <w:tcPr>
            <w:tcW w:w="10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0,0</w:t>
            </w:r>
            <w:r>
              <w:rPr>
                <w:rFonts w:cs="Calibri"/>
                <w:sz w:val="16"/>
                <w:szCs w:val="16"/>
              </w:rPr>
              <w:t>6</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0,</w:t>
            </w:r>
            <w:r>
              <w:rPr>
                <w:rFonts w:cs="Calibri"/>
                <w:sz w:val="16"/>
                <w:szCs w:val="16"/>
              </w:rPr>
              <w:t>4</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D40" w:rsidRPr="008D7253" w:rsidRDefault="005B5D40" w:rsidP="009C1E15">
            <w:pPr>
              <w:keepNext/>
              <w:spacing w:before="0" w:after="0" w:line="200" w:lineRule="atLeast"/>
              <w:jc w:val="center"/>
              <w:rPr>
                <w:rFonts w:cs="Calibri"/>
                <w:sz w:val="16"/>
                <w:szCs w:val="16"/>
              </w:rPr>
            </w:pPr>
            <w:r w:rsidRPr="008D7253">
              <w:rPr>
                <w:rFonts w:cs="Calibri"/>
                <w:sz w:val="16"/>
                <w:szCs w:val="16"/>
              </w:rPr>
              <w:t>2,9</w:t>
            </w:r>
            <w:r>
              <w:rPr>
                <w:rFonts w:cs="Calibri"/>
                <w:sz w:val="16"/>
                <w:szCs w:val="16"/>
              </w:rPr>
              <w:t>6</w:t>
            </w:r>
          </w:p>
        </w:tc>
      </w:tr>
    </w:tbl>
    <w:p w:rsidR="005B5D40" w:rsidRPr="001C01F0" w:rsidRDefault="005B5D40" w:rsidP="009C1E15">
      <w:pPr>
        <w:keepNext/>
        <w:rPr>
          <w:lang w:val="nl-NL"/>
        </w:rPr>
      </w:pPr>
      <w:r>
        <w:t>Uit de berekeningen blijkt dat door het feit dat de capaciteitsuitbreiding gerealiseerd zal worden met tanks met ademventielen van 100 mbar en dat tegelijkertijd bestaande tanks met ademventielen van 18 mbar uit dienst genomen worden, de ademverliezen afnemen. Dit maakt dat er nagenoeg geen verschil is tussen de emissies zoals die kunnen optreden in de huidige situatie en diegene die voorzien worden voor de geplande situatie.</w:t>
      </w:r>
    </w:p>
    <w:p w:rsidR="005B5D40" w:rsidRPr="008B508D" w:rsidRDefault="005B5D40" w:rsidP="005B5D40">
      <w:pPr>
        <w:pStyle w:val="tit-5"/>
      </w:pPr>
      <w:r w:rsidRPr="008B508D">
        <w:t>Maximalistisch scenario geurstoffen</w:t>
      </w:r>
    </w:p>
    <w:p w:rsidR="005B5D40" w:rsidRDefault="005B5D40" w:rsidP="005B5D40">
      <w:r>
        <w:t>Referentieproduct voor dit scenario werd de stof ethylacrylaat weerhouden.</w:t>
      </w:r>
    </w:p>
    <w:p w:rsidR="005B5D40" w:rsidRDefault="005B5D40" w:rsidP="005B5D40">
      <w:pPr>
        <w:pStyle w:val="tabel0"/>
      </w:pPr>
      <w:r>
        <w:t>Tabel</w:t>
      </w:r>
      <w:r w:rsidR="009C1E15">
        <w:t xml:space="preserve"> </w:t>
      </w:r>
      <w:r w:rsidR="00C325A0">
        <w:fldChar w:fldCharType="begin"/>
      </w:r>
      <w:r w:rsidR="009C1E15">
        <w:instrText xml:space="preserve"> REF t_lucht_ethylacrylaat_max_berekend \h </w:instrText>
      </w:r>
      <w:r w:rsidR="00C325A0">
        <w:fldChar w:fldCharType="separate"/>
      </w:r>
      <w:r w:rsidR="008102D8">
        <w:t>VIII.2.17</w:t>
      </w:r>
      <w:r w:rsidR="00C325A0">
        <w:fldChar w:fldCharType="end"/>
      </w:r>
      <w:r w:rsidR="009C1E15">
        <w:t xml:space="preserve">: </w:t>
      </w:r>
      <w:r>
        <w:t>Berekende maximale emissie ethylacrylaat</w:t>
      </w:r>
    </w:p>
    <w:tbl>
      <w:tblPr>
        <w:tblW w:w="3884" w:type="pct"/>
        <w:tblLook w:val="0000"/>
      </w:tblPr>
      <w:tblGrid>
        <w:gridCol w:w="1527"/>
        <w:gridCol w:w="1212"/>
        <w:gridCol w:w="1615"/>
        <w:gridCol w:w="1458"/>
        <w:gridCol w:w="1370"/>
      </w:tblGrid>
      <w:tr w:rsidR="005B5D40" w:rsidRPr="00225EC6" w:rsidTr="005B5D40">
        <w:trPr>
          <w:trHeight w:val="218"/>
        </w:trPr>
        <w:tc>
          <w:tcPr>
            <w:tcW w:w="1063" w:type="pct"/>
            <w:tcBorders>
              <w:top w:val="single" w:sz="2" w:space="0" w:color="000000"/>
              <w:left w:val="single" w:sz="2" w:space="0" w:color="000000"/>
              <w:bottom w:val="single" w:sz="2" w:space="0" w:color="000000"/>
              <w:right w:val="single" w:sz="2" w:space="0" w:color="000000"/>
            </w:tcBorders>
            <w:shd w:val="clear" w:color="auto" w:fill="DAEEF3"/>
          </w:tcPr>
          <w:p w:rsidR="005B5D40" w:rsidRPr="00225EC6" w:rsidRDefault="005B5D40" w:rsidP="005B5D40">
            <w:pPr>
              <w:keepNext/>
              <w:autoSpaceDE w:val="0"/>
              <w:autoSpaceDN w:val="0"/>
              <w:adjustRightInd w:val="0"/>
              <w:spacing w:before="0" w:after="0" w:line="200" w:lineRule="atLeast"/>
              <w:jc w:val="right"/>
              <w:rPr>
                <w:rFonts w:cs="Calibri"/>
                <w:b/>
                <w:color w:val="000000"/>
                <w:sz w:val="16"/>
                <w:szCs w:val="16"/>
              </w:rPr>
            </w:pPr>
          </w:p>
        </w:tc>
        <w:tc>
          <w:tcPr>
            <w:tcW w:w="844" w:type="pct"/>
            <w:tcBorders>
              <w:top w:val="single" w:sz="2" w:space="0" w:color="000000"/>
              <w:left w:val="single" w:sz="2" w:space="0" w:color="000000"/>
              <w:bottom w:val="single" w:sz="2" w:space="0" w:color="000000"/>
              <w:right w:val="single" w:sz="2" w:space="0" w:color="000000"/>
            </w:tcBorders>
            <w:shd w:val="clear" w:color="auto" w:fill="DAEEF3"/>
            <w:vAlign w:val="bottom"/>
          </w:tcPr>
          <w:p w:rsidR="005B5D40" w:rsidRPr="008D7253" w:rsidRDefault="005B5D40" w:rsidP="005B5D40">
            <w:pPr>
              <w:spacing w:before="0" w:after="0" w:line="200" w:lineRule="atLeast"/>
              <w:jc w:val="center"/>
              <w:rPr>
                <w:rFonts w:cs="Calibri"/>
                <w:b/>
                <w:sz w:val="16"/>
                <w:szCs w:val="16"/>
              </w:rPr>
            </w:pPr>
            <w:r>
              <w:rPr>
                <w:rFonts w:cs="Calibri"/>
                <w:b/>
                <w:sz w:val="16"/>
                <w:szCs w:val="16"/>
              </w:rPr>
              <w:t>Ademverliezen</w:t>
            </w:r>
          </w:p>
        </w:tc>
        <w:tc>
          <w:tcPr>
            <w:tcW w:w="1124" w:type="pct"/>
            <w:tcBorders>
              <w:top w:val="single" w:sz="2" w:space="0" w:color="000000"/>
              <w:left w:val="single" w:sz="2" w:space="0" w:color="000000"/>
              <w:bottom w:val="single" w:sz="2" w:space="0" w:color="000000"/>
              <w:right w:val="single" w:sz="2" w:space="0" w:color="000000"/>
            </w:tcBorders>
            <w:shd w:val="clear" w:color="auto" w:fill="DAEEF3"/>
            <w:vAlign w:val="bottom"/>
          </w:tcPr>
          <w:p w:rsidR="005B5D40" w:rsidRPr="008D7253" w:rsidRDefault="005B5D40" w:rsidP="005B5D40">
            <w:pPr>
              <w:spacing w:before="0" w:after="0" w:line="200" w:lineRule="atLeast"/>
              <w:jc w:val="center"/>
              <w:rPr>
                <w:rFonts w:cs="Calibri"/>
                <w:b/>
                <w:sz w:val="16"/>
                <w:szCs w:val="16"/>
              </w:rPr>
            </w:pPr>
            <w:r>
              <w:rPr>
                <w:rFonts w:cs="Calibri"/>
                <w:b/>
                <w:sz w:val="16"/>
                <w:szCs w:val="16"/>
              </w:rPr>
              <w:t>Verdrijvingsverliezen</w:t>
            </w:r>
          </w:p>
        </w:tc>
        <w:tc>
          <w:tcPr>
            <w:tcW w:w="1015" w:type="pct"/>
            <w:tcBorders>
              <w:top w:val="single" w:sz="2" w:space="0" w:color="000000"/>
              <w:left w:val="single" w:sz="2" w:space="0" w:color="000000"/>
              <w:bottom w:val="single" w:sz="2" w:space="0" w:color="000000"/>
              <w:right w:val="single" w:sz="2" w:space="0" w:color="000000"/>
            </w:tcBorders>
            <w:shd w:val="clear" w:color="auto" w:fill="DAEEF3"/>
            <w:vAlign w:val="bottom"/>
          </w:tcPr>
          <w:p w:rsidR="005B5D40" w:rsidRPr="008D7253" w:rsidRDefault="005B5D40" w:rsidP="005B5D40">
            <w:pPr>
              <w:spacing w:before="0" w:after="0" w:line="200" w:lineRule="atLeast"/>
              <w:jc w:val="center"/>
              <w:rPr>
                <w:rFonts w:cs="Calibri"/>
                <w:b/>
                <w:sz w:val="16"/>
                <w:szCs w:val="16"/>
              </w:rPr>
            </w:pPr>
            <w:r>
              <w:rPr>
                <w:rFonts w:cs="Calibri"/>
                <w:b/>
                <w:sz w:val="16"/>
                <w:szCs w:val="16"/>
              </w:rPr>
              <w:t>Beladingsverliezen</w:t>
            </w:r>
          </w:p>
        </w:tc>
        <w:tc>
          <w:tcPr>
            <w:tcW w:w="954" w:type="pct"/>
            <w:tcBorders>
              <w:top w:val="single" w:sz="2" w:space="0" w:color="000000"/>
              <w:left w:val="single" w:sz="2" w:space="0" w:color="000000"/>
              <w:bottom w:val="single" w:sz="2" w:space="0" w:color="000000"/>
              <w:right w:val="single" w:sz="2" w:space="0" w:color="000000"/>
            </w:tcBorders>
            <w:shd w:val="clear" w:color="auto" w:fill="DAEEF3"/>
            <w:vAlign w:val="bottom"/>
          </w:tcPr>
          <w:p w:rsidR="005B5D40" w:rsidRPr="008D7253" w:rsidRDefault="005B5D40" w:rsidP="005B5D40">
            <w:pPr>
              <w:spacing w:before="0" w:after="0" w:line="200" w:lineRule="atLeast"/>
              <w:jc w:val="center"/>
              <w:rPr>
                <w:rFonts w:cs="Calibri"/>
                <w:b/>
                <w:sz w:val="16"/>
                <w:szCs w:val="16"/>
              </w:rPr>
            </w:pPr>
            <w:r>
              <w:rPr>
                <w:rFonts w:cs="Calibri"/>
                <w:b/>
                <w:sz w:val="16"/>
                <w:szCs w:val="16"/>
              </w:rPr>
              <w:t>Som verliezen</w:t>
            </w:r>
          </w:p>
        </w:tc>
      </w:tr>
      <w:tr w:rsidR="005B5D40" w:rsidRPr="00225EC6" w:rsidTr="005B5D40">
        <w:trPr>
          <w:trHeight w:val="218"/>
        </w:trPr>
        <w:tc>
          <w:tcPr>
            <w:tcW w:w="1063" w:type="pct"/>
            <w:tcBorders>
              <w:top w:val="single" w:sz="2" w:space="0" w:color="000000"/>
              <w:left w:val="single" w:sz="2" w:space="0" w:color="000000"/>
              <w:bottom w:val="single" w:sz="2" w:space="0" w:color="000000"/>
              <w:right w:val="single" w:sz="2" w:space="0" w:color="000000"/>
            </w:tcBorders>
            <w:shd w:val="clear" w:color="auto" w:fill="DAEEF3"/>
          </w:tcPr>
          <w:p w:rsidR="005B5D40" w:rsidRPr="00225EC6" w:rsidRDefault="005B5D40" w:rsidP="005B5D40">
            <w:pPr>
              <w:autoSpaceDE w:val="0"/>
              <w:autoSpaceDN w:val="0"/>
              <w:adjustRightInd w:val="0"/>
              <w:spacing w:before="0" w:after="0" w:line="200" w:lineRule="atLeast"/>
              <w:jc w:val="right"/>
              <w:rPr>
                <w:rFonts w:cs="Calibri"/>
                <w:b/>
                <w:color w:val="000000"/>
                <w:sz w:val="16"/>
                <w:szCs w:val="16"/>
                <w:lang w:val="en-US"/>
              </w:rPr>
            </w:pPr>
          </w:p>
        </w:tc>
        <w:tc>
          <w:tcPr>
            <w:tcW w:w="844" w:type="pct"/>
            <w:tcBorders>
              <w:top w:val="single" w:sz="2" w:space="0" w:color="000000"/>
              <w:left w:val="single" w:sz="2" w:space="0" w:color="000000"/>
              <w:bottom w:val="single" w:sz="2" w:space="0" w:color="000000"/>
              <w:right w:val="single" w:sz="2" w:space="0" w:color="000000"/>
            </w:tcBorders>
            <w:shd w:val="clear" w:color="auto" w:fill="DAEEF3"/>
          </w:tcPr>
          <w:p w:rsidR="005B5D40" w:rsidRPr="00225EC6" w:rsidRDefault="005B5D40" w:rsidP="005B5D40">
            <w:pPr>
              <w:autoSpaceDE w:val="0"/>
              <w:autoSpaceDN w:val="0"/>
              <w:adjustRightInd w:val="0"/>
              <w:spacing w:before="0" w:after="0" w:line="200" w:lineRule="atLeast"/>
              <w:jc w:val="center"/>
              <w:rPr>
                <w:rFonts w:cs="Calibri"/>
                <w:b/>
                <w:color w:val="000000"/>
                <w:sz w:val="16"/>
                <w:szCs w:val="16"/>
                <w:lang w:val="en-US"/>
              </w:rPr>
            </w:pPr>
            <w:r w:rsidRPr="00225EC6">
              <w:rPr>
                <w:rFonts w:cs="Calibri"/>
                <w:b/>
                <w:color w:val="000000"/>
                <w:sz w:val="16"/>
                <w:szCs w:val="16"/>
                <w:lang w:val="en-US"/>
              </w:rPr>
              <w:t>ton/jaar</w:t>
            </w:r>
          </w:p>
        </w:tc>
        <w:tc>
          <w:tcPr>
            <w:tcW w:w="1124" w:type="pct"/>
            <w:tcBorders>
              <w:top w:val="single" w:sz="2" w:space="0" w:color="000000"/>
              <w:left w:val="single" w:sz="2" w:space="0" w:color="000000"/>
              <w:bottom w:val="single" w:sz="2" w:space="0" w:color="000000"/>
              <w:right w:val="single" w:sz="2" w:space="0" w:color="000000"/>
            </w:tcBorders>
            <w:shd w:val="clear" w:color="auto" w:fill="DAEEF3"/>
          </w:tcPr>
          <w:p w:rsidR="005B5D40" w:rsidRPr="00225EC6" w:rsidRDefault="005B5D40" w:rsidP="005B5D40">
            <w:pPr>
              <w:autoSpaceDE w:val="0"/>
              <w:autoSpaceDN w:val="0"/>
              <w:adjustRightInd w:val="0"/>
              <w:spacing w:before="0" w:after="0" w:line="200" w:lineRule="atLeast"/>
              <w:jc w:val="center"/>
              <w:rPr>
                <w:rFonts w:cs="Calibri"/>
                <w:b/>
                <w:color w:val="000000"/>
                <w:sz w:val="16"/>
                <w:szCs w:val="16"/>
                <w:lang w:val="en-US"/>
              </w:rPr>
            </w:pPr>
            <w:r w:rsidRPr="00225EC6">
              <w:rPr>
                <w:rFonts w:cs="Calibri"/>
                <w:b/>
                <w:color w:val="000000"/>
                <w:sz w:val="16"/>
                <w:szCs w:val="16"/>
                <w:lang w:val="en-US"/>
              </w:rPr>
              <w:t>ton/jaar</w:t>
            </w:r>
          </w:p>
        </w:tc>
        <w:tc>
          <w:tcPr>
            <w:tcW w:w="1015" w:type="pct"/>
            <w:tcBorders>
              <w:top w:val="single" w:sz="2" w:space="0" w:color="000000"/>
              <w:left w:val="single" w:sz="2" w:space="0" w:color="000000"/>
              <w:bottom w:val="single" w:sz="2" w:space="0" w:color="000000"/>
              <w:right w:val="single" w:sz="2" w:space="0" w:color="000000"/>
            </w:tcBorders>
            <w:shd w:val="clear" w:color="auto" w:fill="DAEEF3"/>
          </w:tcPr>
          <w:p w:rsidR="005B5D40" w:rsidRPr="00225EC6" w:rsidRDefault="005B5D40" w:rsidP="005B5D40">
            <w:pPr>
              <w:autoSpaceDE w:val="0"/>
              <w:autoSpaceDN w:val="0"/>
              <w:adjustRightInd w:val="0"/>
              <w:spacing w:before="0" w:after="0" w:line="200" w:lineRule="atLeast"/>
              <w:jc w:val="center"/>
              <w:rPr>
                <w:rFonts w:cs="Calibri"/>
                <w:b/>
                <w:color w:val="000000"/>
                <w:sz w:val="16"/>
                <w:szCs w:val="16"/>
                <w:lang w:val="en-US"/>
              </w:rPr>
            </w:pPr>
            <w:r w:rsidRPr="00225EC6">
              <w:rPr>
                <w:rFonts w:cs="Calibri"/>
                <w:b/>
                <w:color w:val="000000"/>
                <w:sz w:val="16"/>
                <w:szCs w:val="16"/>
                <w:lang w:val="en-US"/>
              </w:rPr>
              <w:t>ton/jaar</w:t>
            </w:r>
          </w:p>
        </w:tc>
        <w:tc>
          <w:tcPr>
            <w:tcW w:w="954" w:type="pct"/>
            <w:tcBorders>
              <w:top w:val="single" w:sz="2" w:space="0" w:color="000000"/>
              <w:left w:val="single" w:sz="2" w:space="0" w:color="000000"/>
              <w:bottom w:val="single" w:sz="2" w:space="0" w:color="000000"/>
              <w:right w:val="single" w:sz="2" w:space="0" w:color="000000"/>
            </w:tcBorders>
            <w:shd w:val="clear" w:color="auto" w:fill="DAEEF3"/>
          </w:tcPr>
          <w:p w:rsidR="005B5D40" w:rsidRPr="00225EC6" w:rsidRDefault="005B5D40" w:rsidP="005B5D40">
            <w:pPr>
              <w:autoSpaceDE w:val="0"/>
              <w:autoSpaceDN w:val="0"/>
              <w:adjustRightInd w:val="0"/>
              <w:spacing w:before="0" w:after="0" w:line="200" w:lineRule="atLeast"/>
              <w:jc w:val="center"/>
              <w:rPr>
                <w:rFonts w:cs="Calibri"/>
                <w:b/>
                <w:color w:val="000000"/>
                <w:sz w:val="16"/>
                <w:szCs w:val="16"/>
                <w:lang w:val="en-US"/>
              </w:rPr>
            </w:pPr>
            <w:r w:rsidRPr="00225EC6">
              <w:rPr>
                <w:rFonts w:cs="Calibri"/>
                <w:b/>
                <w:color w:val="000000"/>
                <w:sz w:val="16"/>
                <w:szCs w:val="16"/>
                <w:lang w:val="en-US"/>
              </w:rPr>
              <w:t>ton/jaar</w:t>
            </w:r>
          </w:p>
        </w:tc>
      </w:tr>
      <w:tr w:rsidR="005B5D40" w:rsidRPr="00225EC6" w:rsidTr="005B5D40">
        <w:trPr>
          <w:trHeight w:val="218"/>
        </w:trPr>
        <w:tc>
          <w:tcPr>
            <w:tcW w:w="1063" w:type="pct"/>
            <w:tcBorders>
              <w:top w:val="single" w:sz="2" w:space="0" w:color="000000"/>
              <w:left w:val="single" w:sz="2" w:space="0" w:color="000000"/>
              <w:bottom w:val="single" w:sz="2" w:space="0" w:color="000000"/>
              <w:right w:val="single" w:sz="2" w:space="0" w:color="000000"/>
            </w:tcBorders>
          </w:tcPr>
          <w:p w:rsidR="005B5D40" w:rsidRPr="00225EC6" w:rsidRDefault="005B5D40" w:rsidP="005B5D40">
            <w:pPr>
              <w:autoSpaceDE w:val="0"/>
              <w:autoSpaceDN w:val="0"/>
              <w:adjustRightInd w:val="0"/>
              <w:spacing w:before="0" w:after="0" w:line="200" w:lineRule="atLeast"/>
              <w:rPr>
                <w:rFonts w:cs="Calibri"/>
                <w:color w:val="000000"/>
                <w:sz w:val="16"/>
                <w:szCs w:val="16"/>
              </w:rPr>
            </w:pPr>
            <w:r w:rsidRPr="00225EC6">
              <w:rPr>
                <w:rFonts w:cs="Calibri"/>
                <w:color w:val="000000"/>
                <w:sz w:val="16"/>
                <w:szCs w:val="16"/>
              </w:rPr>
              <w:t xml:space="preserve">vergunde situatie </w:t>
            </w:r>
          </w:p>
        </w:tc>
        <w:tc>
          <w:tcPr>
            <w:tcW w:w="844" w:type="pct"/>
            <w:tcBorders>
              <w:top w:val="single" w:sz="2" w:space="0" w:color="000000"/>
              <w:left w:val="single" w:sz="2" w:space="0" w:color="000000"/>
              <w:bottom w:val="single" w:sz="2" w:space="0" w:color="000000"/>
              <w:right w:val="single" w:sz="2" w:space="0" w:color="000000"/>
            </w:tcBorders>
            <w:vAlign w:val="center"/>
          </w:tcPr>
          <w:p w:rsidR="005B5D40" w:rsidRPr="00225EC6" w:rsidRDefault="005B5D40" w:rsidP="005B5D40">
            <w:pPr>
              <w:spacing w:before="0" w:after="0" w:line="200" w:lineRule="atLeast"/>
              <w:jc w:val="center"/>
              <w:rPr>
                <w:rFonts w:cs="Calibri"/>
                <w:sz w:val="16"/>
                <w:szCs w:val="16"/>
              </w:rPr>
            </w:pPr>
            <w:r w:rsidRPr="00225EC6">
              <w:rPr>
                <w:rFonts w:cs="Calibri"/>
                <w:sz w:val="16"/>
                <w:szCs w:val="16"/>
              </w:rPr>
              <w:t>0,019</w:t>
            </w:r>
          </w:p>
        </w:tc>
        <w:tc>
          <w:tcPr>
            <w:tcW w:w="1124" w:type="pct"/>
            <w:tcBorders>
              <w:top w:val="single" w:sz="2" w:space="0" w:color="000000"/>
              <w:left w:val="single" w:sz="2" w:space="0" w:color="000000"/>
              <w:bottom w:val="single" w:sz="2" w:space="0" w:color="000000"/>
              <w:right w:val="single" w:sz="2" w:space="0" w:color="000000"/>
            </w:tcBorders>
            <w:vAlign w:val="center"/>
          </w:tcPr>
          <w:p w:rsidR="005B5D40" w:rsidRPr="00225EC6" w:rsidRDefault="005B5D40" w:rsidP="005B5D40">
            <w:pPr>
              <w:spacing w:before="0" w:after="0" w:line="200" w:lineRule="atLeast"/>
              <w:jc w:val="center"/>
              <w:rPr>
                <w:rFonts w:cs="Calibri"/>
                <w:sz w:val="16"/>
                <w:szCs w:val="16"/>
              </w:rPr>
            </w:pPr>
            <w:r w:rsidRPr="00225EC6">
              <w:rPr>
                <w:rFonts w:cs="Calibri"/>
                <w:sz w:val="16"/>
                <w:szCs w:val="16"/>
              </w:rPr>
              <w:t>0,0003</w:t>
            </w:r>
          </w:p>
        </w:tc>
        <w:tc>
          <w:tcPr>
            <w:tcW w:w="1015" w:type="pct"/>
            <w:tcBorders>
              <w:top w:val="single" w:sz="2" w:space="0" w:color="000000"/>
              <w:left w:val="single" w:sz="2" w:space="0" w:color="000000"/>
              <w:bottom w:val="single" w:sz="2" w:space="0" w:color="000000"/>
              <w:right w:val="single" w:sz="2" w:space="0" w:color="000000"/>
            </w:tcBorders>
            <w:vAlign w:val="center"/>
          </w:tcPr>
          <w:p w:rsidR="005B5D40" w:rsidRPr="00225EC6" w:rsidRDefault="005B5D40" w:rsidP="005B5D40">
            <w:pPr>
              <w:spacing w:before="0" w:after="0" w:line="200" w:lineRule="atLeast"/>
              <w:jc w:val="center"/>
              <w:rPr>
                <w:rFonts w:cs="Calibri"/>
                <w:sz w:val="16"/>
                <w:szCs w:val="16"/>
              </w:rPr>
            </w:pPr>
            <w:r w:rsidRPr="00225EC6">
              <w:rPr>
                <w:rFonts w:cs="Calibri"/>
                <w:sz w:val="16"/>
                <w:szCs w:val="16"/>
              </w:rPr>
              <w:t>0,002</w:t>
            </w:r>
          </w:p>
        </w:tc>
        <w:tc>
          <w:tcPr>
            <w:tcW w:w="954" w:type="pct"/>
            <w:tcBorders>
              <w:top w:val="single" w:sz="2" w:space="0" w:color="000000"/>
              <w:left w:val="single" w:sz="2" w:space="0" w:color="000000"/>
              <w:bottom w:val="single" w:sz="2" w:space="0" w:color="000000"/>
              <w:right w:val="single" w:sz="2" w:space="0" w:color="000000"/>
            </w:tcBorders>
            <w:vAlign w:val="center"/>
          </w:tcPr>
          <w:p w:rsidR="005B5D40" w:rsidRPr="00225EC6" w:rsidRDefault="005B5D40" w:rsidP="005B5D40">
            <w:pPr>
              <w:spacing w:before="0" w:after="0" w:line="200" w:lineRule="atLeast"/>
              <w:jc w:val="center"/>
              <w:rPr>
                <w:rFonts w:cs="Calibri"/>
                <w:sz w:val="16"/>
                <w:szCs w:val="16"/>
              </w:rPr>
            </w:pPr>
            <w:r w:rsidRPr="00225EC6">
              <w:rPr>
                <w:rFonts w:cs="Calibri"/>
                <w:sz w:val="16"/>
                <w:szCs w:val="16"/>
              </w:rPr>
              <w:t>0,0</w:t>
            </w:r>
            <w:r>
              <w:rPr>
                <w:rFonts w:cs="Calibri"/>
                <w:sz w:val="16"/>
                <w:szCs w:val="16"/>
              </w:rPr>
              <w:t>24</w:t>
            </w:r>
          </w:p>
        </w:tc>
      </w:tr>
      <w:tr w:rsidR="005B5D40" w:rsidRPr="00225EC6" w:rsidTr="005B5D40">
        <w:trPr>
          <w:trHeight w:val="218"/>
        </w:trPr>
        <w:tc>
          <w:tcPr>
            <w:tcW w:w="1063" w:type="pct"/>
            <w:tcBorders>
              <w:top w:val="single" w:sz="2" w:space="0" w:color="000000"/>
              <w:left w:val="single" w:sz="2" w:space="0" w:color="000000"/>
              <w:bottom w:val="single" w:sz="2" w:space="0" w:color="000000"/>
              <w:right w:val="single" w:sz="2" w:space="0" w:color="000000"/>
            </w:tcBorders>
          </w:tcPr>
          <w:p w:rsidR="005B5D40" w:rsidRPr="00225EC6" w:rsidRDefault="005B5D40" w:rsidP="005B5D40">
            <w:pPr>
              <w:autoSpaceDE w:val="0"/>
              <w:autoSpaceDN w:val="0"/>
              <w:adjustRightInd w:val="0"/>
              <w:spacing w:before="0" w:after="0" w:line="200" w:lineRule="atLeast"/>
              <w:rPr>
                <w:rFonts w:cs="Calibri"/>
                <w:color w:val="000000"/>
                <w:sz w:val="16"/>
                <w:szCs w:val="16"/>
                <w:lang w:val="en-US"/>
              </w:rPr>
            </w:pPr>
            <w:r w:rsidRPr="00225EC6">
              <w:rPr>
                <w:rFonts w:cs="Calibri"/>
                <w:color w:val="000000"/>
                <w:sz w:val="16"/>
                <w:szCs w:val="16"/>
              </w:rPr>
              <w:t>geplande situatie fase 1 + 2</w:t>
            </w:r>
          </w:p>
        </w:tc>
        <w:tc>
          <w:tcPr>
            <w:tcW w:w="844" w:type="pct"/>
            <w:tcBorders>
              <w:top w:val="single" w:sz="2" w:space="0" w:color="000000"/>
              <w:left w:val="single" w:sz="2" w:space="0" w:color="000000"/>
              <w:bottom w:val="single" w:sz="2" w:space="0" w:color="000000"/>
              <w:right w:val="single" w:sz="2" w:space="0" w:color="000000"/>
            </w:tcBorders>
            <w:vAlign w:val="center"/>
          </w:tcPr>
          <w:p w:rsidR="005B5D40" w:rsidRPr="00225EC6" w:rsidRDefault="005B5D40" w:rsidP="005B5D40">
            <w:pPr>
              <w:spacing w:before="0" w:after="0" w:line="200" w:lineRule="atLeast"/>
              <w:jc w:val="center"/>
              <w:rPr>
                <w:rFonts w:cs="Calibri"/>
                <w:sz w:val="16"/>
                <w:szCs w:val="16"/>
              </w:rPr>
            </w:pPr>
            <w:r w:rsidRPr="00225EC6">
              <w:rPr>
                <w:rFonts w:cs="Calibri"/>
                <w:sz w:val="16"/>
                <w:szCs w:val="16"/>
              </w:rPr>
              <w:t>0,014</w:t>
            </w:r>
          </w:p>
        </w:tc>
        <w:tc>
          <w:tcPr>
            <w:tcW w:w="1124" w:type="pct"/>
            <w:tcBorders>
              <w:top w:val="single" w:sz="2" w:space="0" w:color="000000"/>
              <w:left w:val="single" w:sz="2" w:space="0" w:color="000000"/>
              <w:bottom w:val="single" w:sz="2" w:space="0" w:color="000000"/>
              <w:right w:val="single" w:sz="2" w:space="0" w:color="000000"/>
            </w:tcBorders>
            <w:vAlign w:val="center"/>
          </w:tcPr>
          <w:p w:rsidR="005B5D40" w:rsidRPr="00225EC6" w:rsidRDefault="005B5D40" w:rsidP="005B5D40">
            <w:pPr>
              <w:spacing w:before="0" w:after="0" w:line="200" w:lineRule="atLeast"/>
              <w:jc w:val="center"/>
              <w:rPr>
                <w:rFonts w:cs="Calibri"/>
                <w:sz w:val="16"/>
                <w:szCs w:val="16"/>
              </w:rPr>
            </w:pPr>
            <w:r w:rsidRPr="00225EC6">
              <w:rPr>
                <w:rFonts w:cs="Calibri"/>
                <w:sz w:val="16"/>
                <w:szCs w:val="16"/>
              </w:rPr>
              <w:t>0,0003</w:t>
            </w:r>
          </w:p>
        </w:tc>
        <w:tc>
          <w:tcPr>
            <w:tcW w:w="1015" w:type="pct"/>
            <w:tcBorders>
              <w:top w:val="single" w:sz="2" w:space="0" w:color="000000"/>
              <w:left w:val="single" w:sz="2" w:space="0" w:color="000000"/>
              <w:bottom w:val="single" w:sz="2" w:space="0" w:color="000000"/>
              <w:right w:val="single" w:sz="2" w:space="0" w:color="000000"/>
            </w:tcBorders>
            <w:vAlign w:val="center"/>
          </w:tcPr>
          <w:p w:rsidR="005B5D40" w:rsidRPr="00225EC6" w:rsidRDefault="005B5D40" w:rsidP="005B5D40">
            <w:pPr>
              <w:spacing w:before="0" w:after="0" w:line="200" w:lineRule="atLeast"/>
              <w:jc w:val="center"/>
              <w:rPr>
                <w:rFonts w:cs="Calibri"/>
                <w:sz w:val="16"/>
                <w:szCs w:val="16"/>
              </w:rPr>
            </w:pPr>
            <w:r w:rsidRPr="00225EC6">
              <w:rPr>
                <w:rFonts w:cs="Calibri"/>
                <w:sz w:val="16"/>
                <w:szCs w:val="16"/>
              </w:rPr>
              <w:t>0,002</w:t>
            </w:r>
          </w:p>
        </w:tc>
        <w:tc>
          <w:tcPr>
            <w:tcW w:w="954" w:type="pct"/>
            <w:tcBorders>
              <w:top w:val="single" w:sz="2" w:space="0" w:color="000000"/>
              <w:left w:val="single" w:sz="2" w:space="0" w:color="000000"/>
              <w:bottom w:val="single" w:sz="2" w:space="0" w:color="000000"/>
              <w:right w:val="single" w:sz="2" w:space="0" w:color="000000"/>
            </w:tcBorders>
            <w:vAlign w:val="center"/>
          </w:tcPr>
          <w:p w:rsidR="005B5D40" w:rsidRPr="00225EC6" w:rsidRDefault="005B5D40" w:rsidP="005B5D40">
            <w:pPr>
              <w:spacing w:before="0" w:after="0" w:line="200" w:lineRule="atLeast"/>
              <w:jc w:val="center"/>
              <w:rPr>
                <w:rFonts w:cs="Calibri"/>
                <w:sz w:val="16"/>
                <w:szCs w:val="16"/>
              </w:rPr>
            </w:pPr>
            <w:r w:rsidRPr="00225EC6">
              <w:rPr>
                <w:rFonts w:cs="Calibri"/>
                <w:sz w:val="16"/>
                <w:szCs w:val="16"/>
              </w:rPr>
              <w:t>0,01</w:t>
            </w:r>
            <w:r>
              <w:rPr>
                <w:rFonts w:cs="Calibri"/>
                <w:sz w:val="16"/>
                <w:szCs w:val="16"/>
              </w:rPr>
              <w:t>9</w:t>
            </w:r>
          </w:p>
        </w:tc>
      </w:tr>
    </w:tbl>
    <w:p w:rsidR="005B5D40" w:rsidRDefault="005B5D40" w:rsidP="005B5D40">
      <w:pPr>
        <w:rPr>
          <w:lang w:val="nl-NL"/>
        </w:rPr>
      </w:pPr>
      <w:r>
        <w:t>Ook hier zien we dat door het feit dat de capaciteitsuitbreiding gerealiseerd zal worden met tanks met ademventielen van 100 mbar en dat tegelijkertijd bestaande tanks met ademventielen van 18 mbar uit dienst genomen worden, de ademverliezen afnemen. Dit maakt dat er geen verschil is tussen de emissies zoals die kunnen optreden in de huidige situatie en diegene die voorzien worden voor de geplande situatie.</w:t>
      </w:r>
    </w:p>
    <w:p w:rsidR="005B5D40" w:rsidRDefault="005B5D40" w:rsidP="005B5D40">
      <w:pPr>
        <w:pStyle w:val="Heading5"/>
        <w:jc w:val="left"/>
      </w:pPr>
      <w:bookmarkStart w:id="867" w:name="_Toc312069298"/>
      <w:r>
        <w:t>Fugitieve emissies</w:t>
      </w:r>
      <w:bookmarkEnd w:id="867"/>
    </w:p>
    <w:p w:rsidR="005B5D40" w:rsidRDefault="005B5D40" w:rsidP="005B5D40">
      <w:pPr>
        <w:rPr>
          <w:lang w:val="nl-NL"/>
        </w:rPr>
      </w:pPr>
      <w:r>
        <w:rPr>
          <w:lang w:val="nl-NL"/>
        </w:rPr>
        <w:t>Vooreerst dient opgemerkt te worden dat alle nieuwe opslagtanks uitgerust zullen worden met lekvrije pakkingen thv kleppen, flezen en mangaten.</w:t>
      </w:r>
    </w:p>
    <w:p w:rsidR="005B5D40" w:rsidRDefault="005B5D40" w:rsidP="005B5D40">
      <w:pPr>
        <w:rPr>
          <w:lang w:val="nl-NL"/>
        </w:rPr>
      </w:pPr>
      <w:r>
        <w:rPr>
          <w:lang w:val="nl-NL"/>
        </w:rPr>
        <w:t>Worstcase – d.i. er van uitgaande dat alle bijkomend te voorzien op- en overslaginfrastructuur zou aangewend worden voor op- en overslag van stoffen met een P</w:t>
      </w:r>
      <w:r w:rsidRPr="00A61FE4">
        <w:rPr>
          <w:vertAlign w:val="subscript"/>
          <w:lang w:val="nl-NL"/>
        </w:rPr>
        <w:t xml:space="preserve">damp@20°C </w:t>
      </w:r>
      <w:r>
        <w:rPr>
          <w:lang w:val="nl-NL"/>
        </w:rPr>
        <w:t>&gt; 13,3 kPa – kan men inschatten dat de fugitieve emissies (fase 1 + fase 2) met ca. 2,5 ton per jaar zouden toenemen.</w:t>
      </w:r>
    </w:p>
    <w:p w:rsidR="005B5D40" w:rsidRDefault="005B5D40" w:rsidP="005B5D40">
      <w:pPr>
        <w:rPr>
          <w:lang w:val="nl-NL"/>
        </w:rPr>
      </w:pPr>
      <w:r>
        <w:rPr>
          <w:lang w:val="nl-NL"/>
        </w:rPr>
        <w:lastRenderedPageBreak/>
        <w:t>Dit geeft dan ook aan dat in de toekomst het bedrijf mogelijks wel een LDAR-programma cf. afdeling 4.4.6 van Vlarem II dient te implementeren. Of dit al dan niet vereist is zal afhangen van de aard van de stoffen die effectief zullen opgeslagen worden in deze tanks</w:t>
      </w:r>
      <w:r>
        <w:rPr>
          <w:rStyle w:val="FootnoteReference"/>
          <w:lang w:val="nl-NL"/>
        </w:rPr>
        <w:footnoteReference w:id="60"/>
      </w:r>
      <w:r>
        <w:rPr>
          <w:lang w:val="nl-NL"/>
        </w:rPr>
        <w:t xml:space="preserve"> en van het lopende vervangprogramma waarbij bepaalde onderdelen vervangen worden door lekvrije apparaten.</w:t>
      </w:r>
    </w:p>
    <w:p w:rsidR="005B5D40" w:rsidRDefault="005B5D40" w:rsidP="005B5D40">
      <w:pPr>
        <w:pStyle w:val="Heading5"/>
        <w:jc w:val="left"/>
      </w:pPr>
      <w:bookmarkStart w:id="868" w:name="_Toc312069299"/>
      <w:r>
        <w:t>Emissies afvullen eenheidsverpakkingen</w:t>
      </w:r>
      <w:bookmarkEnd w:id="868"/>
    </w:p>
    <w:p w:rsidR="005B5D40" w:rsidRDefault="005B5D40" w:rsidP="005B5D40">
      <w:pPr>
        <w:rPr>
          <w:lang w:val="nl-NL"/>
        </w:rPr>
      </w:pPr>
      <w:r>
        <w:rPr>
          <w:lang w:val="nl-NL"/>
        </w:rPr>
        <w:t>Fase 1 van het geplande project heeft geen impact op de afvulling in éénheidsverpakkingen. In fase 2 van het project  is voorzien om de afvulactiviteiten af te bouwen (tgv de geplande uitbreiding van TP650 zal immers een deel van de bestaande vatenloods verdwijnen).</w:t>
      </w:r>
    </w:p>
    <w:p w:rsidR="005B5D40" w:rsidRDefault="005B5D40" w:rsidP="005B5D40">
      <w:pPr>
        <w:rPr>
          <w:lang w:val="nl-NL"/>
        </w:rPr>
      </w:pPr>
      <w:r>
        <w:rPr>
          <w:lang w:val="nl-NL"/>
        </w:rPr>
        <w:t xml:space="preserve">Globaal kan dan ook gesteld worden dat de geplande veranderingen niets wijzigen aan het gegeven dat de emissies bij de vatenafvulling beperkt en van ondergeschikt belang zijn t.o.v. diegene die verband houden met </w:t>
      </w:r>
      <w:r>
        <w:t>op- en overslag van vluchtige organische stoffen.</w:t>
      </w:r>
      <w:r>
        <w:rPr>
          <w:lang w:val="nl-NL"/>
        </w:rPr>
        <w:t xml:space="preserve"> </w:t>
      </w:r>
    </w:p>
    <w:p w:rsidR="005B5D40" w:rsidRDefault="005B5D40" w:rsidP="005B5D40">
      <w:pPr>
        <w:pStyle w:val="Heading5"/>
        <w:jc w:val="left"/>
      </w:pPr>
      <w:bookmarkStart w:id="869" w:name="_Toc312069300"/>
      <w:r>
        <w:t>Verbrandingsemissies</w:t>
      </w:r>
      <w:bookmarkEnd w:id="869"/>
    </w:p>
    <w:p w:rsidR="005B5D40" w:rsidRDefault="005B5D40" w:rsidP="005B5D40">
      <w:pPr>
        <w:rPr>
          <w:lang w:val="nl-NL"/>
        </w:rPr>
      </w:pPr>
      <w:r>
        <w:rPr>
          <w:lang w:val="nl-NL"/>
        </w:rPr>
        <w:t>De NO</w:t>
      </w:r>
      <w:r w:rsidRPr="00387051">
        <w:rPr>
          <w:vertAlign w:val="subscript"/>
          <w:lang w:val="nl-NL"/>
        </w:rPr>
        <w:t>x</w:t>
      </w:r>
      <w:r>
        <w:rPr>
          <w:lang w:val="nl-NL"/>
        </w:rPr>
        <w:t>-emissies van de stoomketels zullen niet wijzigen in de toekomst. De werkingsuren van de aardgasgestookte stoomketel werden voor de referentiesituatie immers reeds maximaal ingeschat. Daarenboven is het zo dat stoombehoefte op de terminal wordt bepaald door de aard van de opgeslagen stoffen (al dan geen behoefte om stoffen op temperatuur te houden) en de omgevingstemperaturen. Het geplande project zal op deze factoren weinig of geen invloed hebben. Er zijn dan ook geen redenen om aan te nemen dat in de toekomst bvb. de reserve stoomketel frequenter zal ingezet worden.</w:t>
      </w:r>
    </w:p>
    <w:p w:rsidR="002C5D44" w:rsidRDefault="005B5D40">
      <w:r w:rsidRPr="00E37235">
        <w:t>Daar in te voorziene DVI aardgas als steunbrandstof gestookt wordt, vormt de DVI wel een bijkomende bron van NOx-emissies. Het is evenwel zo het gasverbruik in de DVI slechts geraamd wordt op 500 à 600 MWh per jaar. Dit geringe aardgasverbruik is te wijten aan het feit dat de te verwerken dampen hoog calorische producten bevatten met een grote verbrandingswaarde. Gebruik van aardgas als steunbrandstof is dan ook enkel gedurende een periode van 10 à 30 minuten bij opstart van de DVI vereist.</w:t>
      </w:r>
    </w:p>
    <w:p w:rsidR="005B5D40" w:rsidRDefault="005B5D40" w:rsidP="00E37235">
      <w:pPr>
        <w:pStyle w:val="Heading5"/>
      </w:pPr>
      <w:bookmarkStart w:id="870" w:name="_Toc312069301"/>
      <w:r>
        <w:t>Transportemissies</w:t>
      </w:r>
      <w:bookmarkEnd w:id="870"/>
    </w:p>
    <w:p w:rsidR="005B5D40" w:rsidRDefault="005B5D40" w:rsidP="005B5D40">
      <w:r>
        <w:t>Het aantal transportbewegingen per transportmiddel, zoals verwacht in de geplande situatie, bedraagt:</w:t>
      </w:r>
    </w:p>
    <w:p w:rsidR="005B5D40" w:rsidRPr="00A10FAA" w:rsidRDefault="005B5D40" w:rsidP="005B5D40">
      <w:pPr>
        <w:numPr>
          <w:ilvl w:val="0"/>
          <w:numId w:val="69"/>
        </w:numPr>
        <w:tabs>
          <w:tab w:val="clear" w:pos="0"/>
          <w:tab w:val="num" w:pos="284"/>
          <w:tab w:val="left" w:pos="2127"/>
        </w:tabs>
        <w:spacing w:before="60" w:line="280" w:lineRule="atLeast"/>
        <w:ind w:left="284" w:hanging="284"/>
      </w:pPr>
      <w:r w:rsidRPr="00A10FAA">
        <w:t>Zeeschepen</w:t>
      </w:r>
      <w:r w:rsidRPr="00A10FAA">
        <w:tab/>
      </w:r>
      <w:r w:rsidRPr="00A10FAA">
        <w:tab/>
      </w:r>
      <w:r>
        <w:t>300</w:t>
      </w:r>
    </w:p>
    <w:p w:rsidR="005B5D40" w:rsidRPr="00A10FAA" w:rsidRDefault="005B5D40" w:rsidP="005B5D40">
      <w:pPr>
        <w:numPr>
          <w:ilvl w:val="0"/>
          <w:numId w:val="69"/>
        </w:numPr>
        <w:tabs>
          <w:tab w:val="clear" w:pos="0"/>
          <w:tab w:val="num" w:pos="284"/>
          <w:tab w:val="left" w:pos="2127"/>
        </w:tabs>
        <w:spacing w:before="60" w:line="280" w:lineRule="atLeast"/>
        <w:ind w:left="284" w:hanging="284"/>
      </w:pPr>
      <w:r w:rsidRPr="00A10FAA">
        <w:t>Binnenvaartschepen</w:t>
      </w:r>
      <w:r w:rsidRPr="00A10FAA">
        <w:tab/>
      </w:r>
      <w:r>
        <w:t>850</w:t>
      </w:r>
    </w:p>
    <w:p w:rsidR="005B5D40" w:rsidRPr="00A10FAA" w:rsidRDefault="005B5D40" w:rsidP="005B5D40">
      <w:pPr>
        <w:numPr>
          <w:ilvl w:val="0"/>
          <w:numId w:val="69"/>
        </w:numPr>
        <w:tabs>
          <w:tab w:val="clear" w:pos="0"/>
          <w:tab w:val="num" w:pos="284"/>
          <w:tab w:val="left" w:pos="2127"/>
        </w:tabs>
        <w:spacing w:before="60" w:line="280" w:lineRule="atLeast"/>
        <w:ind w:left="284" w:hanging="284"/>
      </w:pPr>
      <w:r w:rsidRPr="00A10FAA">
        <w:t>Vrachtwagens</w:t>
      </w:r>
      <w:r w:rsidRPr="00A10FAA">
        <w:tab/>
      </w:r>
      <w:r>
        <w:t>20000</w:t>
      </w:r>
    </w:p>
    <w:p w:rsidR="00E37235" w:rsidRPr="00A10FAA" w:rsidRDefault="005B5D40" w:rsidP="00E37235">
      <w:pPr>
        <w:numPr>
          <w:ilvl w:val="0"/>
          <w:numId w:val="69"/>
        </w:numPr>
        <w:tabs>
          <w:tab w:val="clear" w:pos="0"/>
          <w:tab w:val="num" w:pos="284"/>
          <w:tab w:val="left" w:pos="2127"/>
        </w:tabs>
        <w:spacing w:before="60" w:line="280" w:lineRule="atLeast"/>
        <w:ind w:left="284" w:hanging="284"/>
      </w:pPr>
      <w:r w:rsidRPr="00A10FAA">
        <w:t>Railcar</w:t>
      </w:r>
      <w:r w:rsidRPr="00A10FAA">
        <w:tab/>
      </w:r>
      <w:r w:rsidRPr="00A10FAA">
        <w:tab/>
      </w:r>
      <w:r w:rsidR="00E37235">
        <w:t>3.85</w:t>
      </w:r>
      <w:r>
        <w:t>0</w:t>
      </w:r>
    </w:p>
    <w:p w:rsidR="005B5D40" w:rsidRDefault="005B5D40" w:rsidP="005B5D40">
      <w:r>
        <w:t>Hieruit blijkt dat er een toename verwacht wordt van het aantal scheepsbewegingen met ca. 20%, van het aantal vrachtwagenbewegingen met ca. 17% en van het aantal treintransporten met ca. 10%.</w:t>
      </w:r>
    </w:p>
    <w:p w:rsidR="005B5D40" w:rsidRDefault="005B5D40" w:rsidP="003A0E0B">
      <w:pPr>
        <w:pStyle w:val="Heading4"/>
        <w:jc w:val="left"/>
      </w:pPr>
      <w:bookmarkStart w:id="871" w:name="_Toc312069302"/>
      <w:r>
        <w:lastRenderedPageBreak/>
        <w:t>Effectevaluatie</w:t>
      </w:r>
      <w:bookmarkEnd w:id="871"/>
    </w:p>
    <w:p w:rsidR="005B5D40" w:rsidRDefault="005B5D40" w:rsidP="003A0E0B">
      <w:pPr>
        <w:keepNext/>
      </w:pPr>
      <w:r>
        <w:t>De</w:t>
      </w:r>
      <w:r w:rsidRPr="00BC2BB1">
        <w:t xml:space="preserve"> </w:t>
      </w:r>
      <w:r>
        <w:t>bijdrage</w:t>
      </w:r>
      <w:r w:rsidRPr="00BC2BB1">
        <w:t xml:space="preserve"> van de VOS emissies </w:t>
      </w:r>
      <w:r>
        <w:t xml:space="preserve">in de geplande situatie </w:t>
      </w:r>
      <w:r w:rsidRPr="00BC2BB1">
        <w:t xml:space="preserve">wordt </w:t>
      </w:r>
      <w:r>
        <w:t>volgens een</w:t>
      </w:r>
      <w:r w:rsidRPr="00BC2BB1">
        <w:t>zelfde meth</w:t>
      </w:r>
      <w:r>
        <w:t>o</w:t>
      </w:r>
      <w:r w:rsidRPr="00BC2BB1">
        <w:t>diek zoals bij de bestaande situatie</w:t>
      </w:r>
      <w:r>
        <w:t xml:space="preserve"> bepaald</w:t>
      </w:r>
      <w:r w:rsidRPr="00BC2BB1">
        <w:t>, behoudens uiteraard een bijkomende locatie waar emissies kunnen optreden (nieuwe tankenpark). Er wordt hierbij eveneens geopteerd om de emissies over het volledige tankenpark en de verschillende laadstations te verdelen. In de mate dat in werkelijkheid de hoogste emissies zich concentreren in een deelgebied van het bedrijf zullen uiteraard verschillen optreden ten aanzien van de doorgerekende situatie bij de impactevaluatie. Dit is evenwel inherent aan de gehanteerde methodiek.</w:t>
      </w:r>
    </w:p>
    <w:p w:rsidR="005B5D40" w:rsidRDefault="005B5D40" w:rsidP="003A0E0B">
      <w:pPr>
        <w:pStyle w:val="Heading5"/>
        <w:jc w:val="left"/>
      </w:pPr>
      <w:bookmarkStart w:id="872" w:name="_Toc312069303"/>
      <w:r>
        <w:t>Realistisch scenario</w:t>
      </w:r>
      <w:bookmarkEnd w:id="872"/>
    </w:p>
    <w:p w:rsidR="005B5D40" w:rsidRDefault="005B5D40" w:rsidP="003A0E0B">
      <w:pPr>
        <w:pStyle w:val="tit-5"/>
        <w:rPr>
          <w:lang w:val="nl-NL"/>
        </w:rPr>
      </w:pPr>
      <w:r>
        <w:rPr>
          <w:lang w:val="nl-NL"/>
        </w:rPr>
        <w:t>VOS-totaal</w:t>
      </w:r>
    </w:p>
    <w:p w:rsidR="005B5D40" w:rsidRDefault="005B5D40" w:rsidP="003A0E0B">
      <w:pPr>
        <w:keepNext/>
        <w:rPr>
          <w:lang w:val="nl-NL"/>
        </w:rPr>
      </w:pPr>
      <w:r>
        <w:rPr>
          <w:lang w:val="nl-NL"/>
        </w:rPr>
        <w:t>Zoals hoger aangegeven wordt verwacht dat in een realistisch scenario de totale VOS-emissies ca. 1/5 zullen bedragen van de huidige totale VOS-emissies.</w:t>
      </w:r>
    </w:p>
    <w:p w:rsidR="005B5D40" w:rsidRDefault="005B5D40" w:rsidP="003A0E0B">
      <w:pPr>
        <w:keepNext/>
        <w:rPr>
          <w:lang w:val="nl-NL"/>
        </w:rPr>
      </w:pPr>
      <w:r>
        <w:rPr>
          <w:lang w:val="nl-NL"/>
        </w:rPr>
        <w:t>De impact van de emissies zal dan ook globaal 1/5 lager zijn in vergelijking met de actuele situatie. Rekening houdend met het feit dat het in gebruik nemen van de DVI nauwelijks impact zal hebben op de potentiële lekverliezen, en de theoretisch berekende lekverliezen zeer aanzienlijk zijn, zal het verschil qua impactbijdrage kleiner zijn.</w:t>
      </w:r>
      <w:r w:rsidRPr="00CD775E">
        <w:rPr>
          <w:lang w:val="nl-NL"/>
        </w:rPr>
        <w:t xml:space="preserve"> </w:t>
      </w:r>
      <w:r>
        <w:rPr>
          <w:lang w:val="nl-NL"/>
        </w:rPr>
        <w:t xml:space="preserve">In figuren </w:t>
      </w:r>
      <w:r w:rsidR="00C325A0">
        <w:rPr>
          <w:lang w:val="nl-NL"/>
        </w:rPr>
        <w:fldChar w:fldCharType="begin"/>
      </w:r>
      <w:r w:rsidR="003A0E0B">
        <w:rPr>
          <w:lang w:val="nl-NL"/>
        </w:rPr>
        <w:instrText xml:space="preserve"> REF f_lucht_impact_real_vergA \h </w:instrText>
      </w:r>
      <w:r w:rsidR="00C325A0">
        <w:rPr>
          <w:lang w:val="nl-NL"/>
        </w:rPr>
      </w:r>
      <w:r w:rsidR="00C325A0">
        <w:rPr>
          <w:lang w:val="nl-NL"/>
        </w:rPr>
        <w:fldChar w:fldCharType="separate"/>
      </w:r>
      <w:r w:rsidR="008102D8">
        <w:t>VIII.2.3.A</w:t>
      </w:r>
      <w:r w:rsidR="00C325A0">
        <w:rPr>
          <w:lang w:val="nl-NL"/>
        </w:rPr>
        <w:fldChar w:fldCharType="end"/>
      </w:r>
      <w:r w:rsidR="003A0E0B">
        <w:rPr>
          <w:lang w:val="nl-NL"/>
        </w:rPr>
        <w:t xml:space="preserve"> en </w:t>
      </w:r>
      <w:r w:rsidR="00C325A0">
        <w:rPr>
          <w:lang w:val="nl-NL"/>
        </w:rPr>
        <w:fldChar w:fldCharType="begin"/>
      </w:r>
      <w:r w:rsidR="003A0E0B">
        <w:rPr>
          <w:lang w:val="nl-NL"/>
        </w:rPr>
        <w:instrText xml:space="preserve"> REF f_lucht_impact_real_vfase2 \h </w:instrText>
      </w:r>
      <w:r w:rsidR="00C325A0">
        <w:rPr>
          <w:lang w:val="nl-NL"/>
        </w:rPr>
      </w:r>
      <w:r w:rsidR="00C325A0">
        <w:rPr>
          <w:lang w:val="nl-NL"/>
        </w:rPr>
        <w:fldChar w:fldCharType="separate"/>
      </w:r>
      <w:r w:rsidR="008102D8">
        <w:t>VIII.2.3.B</w:t>
      </w:r>
      <w:r w:rsidR="00C325A0">
        <w:rPr>
          <w:lang w:val="nl-NL"/>
        </w:rPr>
        <w:fldChar w:fldCharType="end"/>
      </w:r>
      <w:r w:rsidR="003A0E0B">
        <w:rPr>
          <w:lang w:val="nl-NL"/>
        </w:rPr>
        <w:t xml:space="preserve"> </w:t>
      </w:r>
      <w:r>
        <w:rPr>
          <w:lang w:val="nl-NL"/>
        </w:rPr>
        <w:t>(output figuren IFDM) wordt de impact van beide situatie weergegeven.</w:t>
      </w:r>
    </w:p>
    <w:p w:rsidR="003A0E0B" w:rsidRDefault="005B5D40" w:rsidP="003A0E0B">
      <w:pPr>
        <w:keepNext/>
      </w:pPr>
      <w:r>
        <w:rPr>
          <w:noProof/>
        </w:rPr>
        <w:drawing>
          <wp:inline distT="0" distB="0" distL="0" distR="0">
            <wp:extent cx="5733415" cy="4096233"/>
            <wp:effectExtent l="0" t="0" r="0" b="0"/>
            <wp:docPr id="1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cstate="print"/>
                    <a:srcRect/>
                    <a:stretch>
                      <a:fillRect/>
                    </a:stretch>
                  </pic:blipFill>
                  <pic:spPr bwMode="auto">
                    <a:xfrm>
                      <a:off x="0" y="0"/>
                      <a:ext cx="5733415" cy="4096233"/>
                    </a:xfrm>
                    <a:prstGeom prst="rect">
                      <a:avLst/>
                    </a:prstGeom>
                    <a:noFill/>
                    <a:ln w="9525">
                      <a:noFill/>
                      <a:miter lim="800000"/>
                      <a:headEnd/>
                      <a:tailEnd/>
                    </a:ln>
                  </pic:spPr>
                </pic:pic>
              </a:graphicData>
            </a:graphic>
          </wp:inline>
        </w:drawing>
      </w:r>
    </w:p>
    <w:p w:rsidR="003A0E0B" w:rsidRDefault="003A0E0B" w:rsidP="003A0E0B">
      <w:pPr>
        <w:pStyle w:val="Caption"/>
        <w:keepNext/>
      </w:pPr>
      <w:r>
        <w:t xml:space="preserve">Figuur </w:t>
      </w:r>
      <w:r w:rsidR="00C325A0">
        <w:fldChar w:fldCharType="begin"/>
      </w:r>
      <w:r>
        <w:instrText xml:space="preserve"> REF f_lucht_impact_real_vergA \h </w:instrText>
      </w:r>
      <w:r w:rsidR="00C325A0">
        <w:fldChar w:fldCharType="separate"/>
      </w:r>
      <w:r w:rsidR="008102D8">
        <w:t>VIII.2.3.A</w:t>
      </w:r>
      <w:r w:rsidR="00C325A0">
        <w:fldChar w:fldCharType="end"/>
      </w:r>
      <w:r>
        <w:t xml:space="preserve"> Weergave van modelleringresultaten voor VOS emissies in het realistisch scenario voor actueel vergunde situatie</w:t>
      </w:r>
    </w:p>
    <w:p w:rsidR="005B5D40" w:rsidRPr="003A0E0B" w:rsidRDefault="005B5D40" w:rsidP="003A0E0B">
      <w:pPr>
        <w:pStyle w:val="Caption"/>
      </w:pPr>
    </w:p>
    <w:p w:rsidR="003A0E0B" w:rsidRDefault="005B5D40" w:rsidP="003A0E0B">
      <w:pPr>
        <w:keepNext/>
      </w:pPr>
      <w:r>
        <w:rPr>
          <w:noProof/>
        </w:rPr>
        <w:lastRenderedPageBreak/>
        <w:drawing>
          <wp:inline distT="0" distB="0" distL="0" distR="0">
            <wp:extent cx="5733415" cy="4096233"/>
            <wp:effectExtent l="0" t="0" r="0" b="0"/>
            <wp:docPr id="2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cstate="print"/>
                    <a:srcRect/>
                    <a:stretch>
                      <a:fillRect/>
                    </a:stretch>
                  </pic:blipFill>
                  <pic:spPr bwMode="auto">
                    <a:xfrm>
                      <a:off x="0" y="0"/>
                      <a:ext cx="5733415" cy="4096233"/>
                    </a:xfrm>
                    <a:prstGeom prst="rect">
                      <a:avLst/>
                    </a:prstGeom>
                    <a:noFill/>
                    <a:ln w="9525">
                      <a:noFill/>
                      <a:miter lim="800000"/>
                      <a:headEnd/>
                      <a:tailEnd/>
                    </a:ln>
                  </pic:spPr>
                </pic:pic>
              </a:graphicData>
            </a:graphic>
          </wp:inline>
        </w:drawing>
      </w:r>
    </w:p>
    <w:p w:rsidR="003A0E0B" w:rsidRDefault="003A0E0B" w:rsidP="003A0E0B">
      <w:pPr>
        <w:pStyle w:val="Caption"/>
      </w:pPr>
      <w:r>
        <w:t xml:space="preserve">Figuur </w:t>
      </w:r>
      <w:r w:rsidR="00C325A0">
        <w:fldChar w:fldCharType="begin"/>
      </w:r>
      <w:r>
        <w:instrText xml:space="preserve"> REF f_lucht_impact_real_vfase2 \h </w:instrText>
      </w:r>
      <w:r w:rsidR="00C325A0">
        <w:fldChar w:fldCharType="separate"/>
      </w:r>
      <w:r w:rsidR="008102D8">
        <w:t>VIII.2.3.B</w:t>
      </w:r>
      <w:r w:rsidR="00C325A0">
        <w:fldChar w:fldCharType="end"/>
      </w:r>
      <w:r>
        <w:t xml:space="preserve"> Weergave van modelleringresultaten voor VOS emissies in het realistisch scenario voor situatie na fase 2</w:t>
      </w:r>
    </w:p>
    <w:p w:rsidR="005B5D40" w:rsidRPr="003A0E0B" w:rsidRDefault="005B5D40" w:rsidP="003A0E0B">
      <w:pPr>
        <w:pStyle w:val="Caption"/>
      </w:pPr>
    </w:p>
    <w:p w:rsidR="005B5D40" w:rsidRDefault="005B5D40" w:rsidP="005B5D40">
      <w:pPr>
        <w:pStyle w:val="tabel0"/>
      </w:pPr>
      <w:r>
        <w:t>Tabel</w:t>
      </w:r>
      <w:r w:rsidR="009C1E15">
        <w:t xml:space="preserve"> </w:t>
      </w:r>
      <w:r w:rsidR="00C325A0">
        <w:fldChar w:fldCharType="begin"/>
      </w:r>
      <w:r w:rsidR="009C1E15">
        <w:instrText xml:space="preserve"> REF t_lucht_VOS_bijdrage_toekrefact_real \h </w:instrText>
      </w:r>
      <w:r w:rsidR="00C325A0">
        <w:fldChar w:fldCharType="separate"/>
      </w:r>
      <w:r w:rsidR="008102D8">
        <w:t>VIII.2.18.A</w:t>
      </w:r>
      <w:r w:rsidR="00C325A0">
        <w:fldChar w:fldCharType="end"/>
      </w:r>
      <w:r w:rsidR="009C1E15">
        <w:t>:</w:t>
      </w:r>
      <w:r>
        <w:tab/>
        <w:t>Overzicht berekende bijdrage in µg/m³ VOS t.h.v. verschillende beoordelingspunten</w:t>
      </w:r>
      <w:r w:rsidR="00414EC8" w:rsidRPr="00414EC8">
        <w:t xml:space="preserve"> </w:t>
      </w:r>
      <w:r w:rsidR="00414EC8">
        <w:t xml:space="preserve">in industriegebied, in de onmiddellijke omgeving van het bedrijf, </w:t>
      </w:r>
      <w:r>
        <w:t xml:space="preserve"> in de toekomstige situatie (fase 2), de referentie situatie (met DVI) en actuele situatie (zonder ingebruikname DVI)</w:t>
      </w:r>
    </w:p>
    <w:tbl>
      <w:tblPr>
        <w:tblW w:w="91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86"/>
        <w:gridCol w:w="2022"/>
        <w:gridCol w:w="1677"/>
        <w:gridCol w:w="1843"/>
        <w:gridCol w:w="1984"/>
      </w:tblGrid>
      <w:tr w:rsidR="005B5D40" w:rsidRPr="00F2449C" w:rsidTr="005B5D40">
        <w:trPr>
          <w:trHeight w:val="300"/>
        </w:trPr>
        <w:tc>
          <w:tcPr>
            <w:tcW w:w="1586" w:type="dxa"/>
            <w:vAlign w:val="center"/>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Locatie</w:t>
            </w:r>
          </w:p>
        </w:tc>
        <w:tc>
          <w:tcPr>
            <w:tcW w:w="2022"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Polderdijkweg</w:t>
            </w:r>
          </w:p>
        </w:tc>
        <w:tc>
          <w:tcPr>
            <w:tcW w:w="1677"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Scheldelaan</w:t>
            </w:r>
          </w:p>
        </w:tc>
        <w:tc>
          <w:tcPr>
            <w:tcW w:w="1843"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p>
        </w:tc>
        <w:tc>
          <w:tcPr>
            <w:tcW w:w="1984"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p>
        </w:tc>
      </w:tr>
      <w:tr w:rsidR="005B5D40" w:rsidRPr="00F2449C" w:rsidTr="005B5D40">
        <w:trPr>
          <w:trHeight w:val="300"/>
        </w:trPr>
        <w:tc>
          <w:tcPr>
            <w:tcW w:w="1586" w:type="dxa"/>
            <w:vAlign w:val="center"/>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Windrichting</w:t>
            </w:r>
          </w:p>
        </w:tc>
        <w:tc>
          <w:tcPr>
            <w:tcW w:w="2022"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Ten NW</w:t>
            </w:r>
          </w:p>
        </w:tc>
        <w:tc>
          <w:tcPr>
            <w:tcW w:w="1677"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ZW</w:t>
            </w:r>
          </w:p>
        </w:tc>
        <w:tc>
          <w:tcPr>
            <w:tcW w:w="1843"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N</w:t>
            </w:r>
          </w:p>
        </w:tc>
        <w:tc>
          <w:tcPr>
            <w:tcW w:w="1984"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O</w:t>
            </w:r>
          </w:p>
        </w:tc>
      </w:tr>
      <w:tr w:rsidR="005B5D40" w:rsidRPr="00F2449C" w:rsidTr="005B5D40">
        <w:trPr>
          <w:trHeight w:val="300"/>
        </w:trPr>
        <w:tc>
          <w:tcPr>
            <w:tcW w:w="1586" w:type="dxa"/>
            <w:vAlign w:val="center"/>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coördinaten</w:t>
            </w:r>
          </w:p>
        </w:tc>
        <w:tc>
          <w:tcPr>
            <w:tcW w:w="2022"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148350;216000</w:t>
            </w:r>
          </w:p>
        </w:tc>
        <w:tc>
          <w:tcPr>
            <w:tcW w:w="1677"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148500;215200</w:t>
            </w:r>
          </w:p>
        </w:tc>
        <w:tc>
          <w:tcPr>
            <w:tcW w:w="1843"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148900;215050</w:t>
            </w:r>
          </w:p>
        </w:tc>
        <w:tc>
          <w:tcPr>
            <w:tcW w:w="1984"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149600;215450</w:t>
            </w:r>
          </w:p>
        </w:tc>
      </w:tr>
      <w:tr w:rsidR="005B5D40" w:rsidRPr="00F2449C" w:rsidTr="005B5D40">
        <w:trPr>
          <w:trHeight w:val="300"/>
        </w:trPr>
        <w:tc>
          <w:tcPr>
            <w:tcW w:w="1586" w:type="dxa"/>
            <w:vAlign w:val="center"/>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Toekomstige situatie fase 2</w:t>
            </w:r>
            <w:r w:rsidR="00414EC8">
              <w:rPr>
                <w:rFonts w:asciiTheme="minorHAnsi" w:hAnsiTheme="minorHAnsi" w:cstheme="minorHAnsi"/>
                <w:sz w:val="18"/>
                <w:szCs w:val="18"/>
                <w:lang w:val="nl-NL" w:eastAsia="nl-NL"/>
              </w:rPr>
              <w:t>, µg/m³</w:t>
            </w:r>
          </w:p>
        </w:tc>
        <w:tc>
          <w:tcPr>
            <w:tcW w:w="2022"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0,7</w:t>
            </w:r>
          </w:p>
        </w:tc>
        <w:tc>
          <w:tcPr>
            <w:tcW w:w="1677"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1,6</w:t>
            </w:r>
          </w:p>
        </w:tc>
        <w:tc>
          <w:tcPr>
            <w:tcW w:w="1843"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1,8</w:t>
            </w:r>
          </w:p>
        </w:tc>
        <w:tc>
          <w:tcPr>
            <w:tcW w:w="1984"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2,1</w:t>
            </w:r>
          </w:p>
        </w:tc>
      </w:tr>
      <w:tr w:rsidR="005B5D40" w:rsidRPr="00F2449C" w:rsidTr="005B5D40">
        <w:trPr>
          <w:trHeight w:val="300"/>
        </w:trPr>
        <w:tc>
          <w:tcPr>
            <w:tcW w:w="1586" w:type="dxa"/>
            <w:vAlign w:val="center"/>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Referentie situatie met DV</w:t>
            </w:r>
            <w:r w:rsidR="00414EC8">
              <w:rPr>
                <w:rFonts w:asciiTheme="minorHAnsi" w:hAnsiTheme="minorHAnsi" w:cstheme="minorHAnsi"/>
                <w:sz w:val="18"/>
                <w:szCs w:val="18"/>
                <w:lang w:val="nl-NL" w:eastAsia="nl-NL"/>
              </w:rPr>
              <w:t>, µg/m³</w:t>
            </w:r>
            <w:r w:rsidRPr="00E37235">
              <w:rPr>
                <w:rFonts w:asciiTheme="minorHAnsi" w:hAnsiTheme="minorHAnsi" w:cstheme="minorHAnsi"/>
                <w:sz w:val="18"/>
                <w:szCs w:val="18"/>
                <w:lang w:val="nl-NL" w:eastAsia="nl-NL"/>
              </w:rPr>
              <w:t>I</w:t>
            </w:r>
          </w:p>
        </w:tc>
        <w:tc>
          <w:tcPr>
            <w:tcW w:w="2022"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0,6</w:t>
            </w:r>
          </w:p>
        </w:tc>
        <w:tc>
          <w:tcPr>
            <w:tcW w:w="1677"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w:t>
            </w:r>
          </w:p>
        </w:tc>
        <w:tc>
          <w:tcPr>
            <w:tcW w:w="1843"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1,5</w:t>
            </w:r>
          </w:p>
        </w:tc>
        <w:tc>
          <w:tcPr>
            <w:tcW w:w="1984"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1,9</w:t>
            </w:r>
          </w:p>
        </w:tc>
      </w:tr>
      <w:tr w:rsidR="005B5D40" w:rsidRPr="00F2449C" w:rsidTr="005B5D40">
        <w:trPr>
          <w:trHeight w:val="300"/>
        </w:trPr>
        <w:tc>
          <w:tcPr>
            <w:tcW w:w="1586" w:type="dxa"/>
            <w:vAlign w:val="center"/>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Actuele situatie zonder DVI</w:t>
            </w:r>
            <w:r w:rsidR="00414EC8">
              <w:rPr>
                <w:rFonts w:asciiTheme="minorHAnsi" w:hAnsiTheme="minorHAnsi" w:cstheme="minorHAnsi"/>
                <w:sz w:val="18"/>
                <w:szCs w:val="18"/>
                <w:lang w:val="nl-NL" w:eastAsia="nl-NL"/>
              </w:rPr>
              <w:t>, µg/m³</w:t>
            </w:r>
          </w:p>
        </w:tc>
        <w:tc>
          <w:tcPr>
            <w:tcW w:w="2022"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1,8</w:t>
            </w:r>
          </w:p>
        </w:tc>
        <w:tc>
          <w:tcPr>
            <w:tcW w:w="1677"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4,2</w:t>
            </w:r>
          </w:p>
        </w:tc>
        <w:tc>
          <w:tcPr>
            <w:tcW w:w="1843"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4,5</w:t>
            </w:r>
          </w:p>
        </w:tc>
        <w:tc>
          <w:tcPr>
            <w:tcW w:w="1984" w:type="dxa"/>
            <w:shd w:val="clear" w:color="auto" w:fill="auto"/>
            <w:noWrap/>
            <w:vAlign w:val="center"/>
            <w:hideMark/>
          </w:tcPr>
          <w:p w:rsidR="005B5D40" w:rsidRPr="00E37235" w:rsidRDefault="005B5D40"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5,7</w:t>
            </w:r>
          </w:p>
        </w:tc>
      </w:tr>
    </w:tbl>
    <w:p w:rsidR="005B5D40" w:rsidRDefault="005B5D40" w:rsidP="005B5D40">
      <w:pPr>
        <w:rPr>
          <w:lang w:val="nl-NL"/>
        </w:rPr>
      </w:pPr>
      <w:r>
        <w:rPr>
          <w:lang w:val="nl-NL"/>
        </w:rPr>
        <w:t xml:space="preserve">Bij vergelijking van de te verwachten toekomstige situatie na fase 2, met de referentie situatie (= actuele situatie + DVI in gebruik),  wordt een beperkte toename van de emissie verwacht. De extra impactbijdrage die hierbij ontstaat is evenwel minimaal (t.h.v. de beoordelingspunten 0,1 à 0,3 µg/m³ als jaargemiddelde waarde). </w:t>
      </w:r>
      <w:r w:rsidR="00414EC8">
        <w:rPr>
          <w:lang w:val="nl-NL"/>
        </w:rPr>
        <w:t>De impact na fase 1 kan, gezien het beperkte verschil qua te verwachten emissies tussen fase 1 en fase 2, benaderend gelijk gesteld worden aan de impact in fase 2</w:t>
      </w:r>
    </w:p>
    <w:p w:rsidR="005B5D40" w:rsidRDefault="005B5D40" w:rsidP="005B5D40">
      <w:pPr>
        <w:rPr>
          <w:lang w:val="nl-NL"/>
        </w:rPr>
      </w:pPr>
      <w:r>
        <w:rPr>
          <w:lang w:val="nl-NL"/>
        </w:rPr>
        <w:t>T.o.v. de actuele situatie zonder DVI wordt een aanzienlijk lagere impactbijdrage aangetoond.</w:t>
      </w:r>
    </w:p>
    <w:p w:rsidR="00414EC8" w:rsidRDefault="00414EC8" w:rsidP="00414EC8">
      <w:pPr>
        <w:rPr>
          <w:lang w:val="nl-NL"/>
        </w:rPr>
      </w:pPr>
      <w:r>
        <w:rPr>
          <w:lang w:val="nl-NL"/>
        </w:rPr>
        <w:lastRenderedPageBreak/>
        <w:t>Voor de beoordeling van de impact t.h.v. de omliggende woongebieden werd voor fase 2 een extra IFDM berekening uitgevoerd met een raster van 10 x 10 km. Hieruit blijkt de te verwaaarlozen impact. Dit zal uiteraard ook zo zijn voor fase 1.</w:t>
      </w:r>
    </w:p>
    <w:p w:rsidR="00414EC8" w:rsidRDefault="00F077DA" w:rsidP="00414EC8">
      <w:pPr>
        <w:pStyle w:val="tabel0"/>
      </w:pPr>
      <w:r w:rsidRPr="00F077DA">
        <w:t>Tabel</w:t>
      </w:r>
      <w:r w:rsidR="000615B1">
        <w:t xml:space="preserve"> </w:t>
      </w:r>
      <w:fldSimple w:instr=" REF t_lucht_VOS_bijdrage_toekrefact_real_woo \h  \* MERGEFORMAT ">
        <w:r w:rsidR="008102D8">
          <w:t>VIII.2.18.B</w:t>
        </w:r>
      </w:fldSimple>
      <w:r w:rsidR="00414EC8">
        <w:t>:</w:t>
      </w:r>
      <w:r w:rsidR="00414EC8">
        <w:tab/>
        <w:t>Overzicht berekende bijdrage in µg/m³ VOS t.h.v. verschillende beoordelingspunten t.h.v. de meest nabij gelegen woongebieden  in de toekomstige situatie (fase 2)</w:t>
      </w:r>
    </w:p>
    <w:tbl>
      <w:tblPr>
        <w:tblW w:w="85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90"/>
        <w:gridCol w:w="2022"/>
        <w:gridCol w:w="1677"/>
        <w:gridCol w:w="1843"/>
      </w:tblGrid>
      <w:tr w:rsidR="00414EC8" w:rsidRPr="00F2449C" w:rsidTr="00414EC8">
        <w:trPr>
          <w:trHeight w:val="300"/>
        </w:trPr>
        <w:tc>
          <w:tcPr>
            <w:tcW w:w="2990" w:type="dxa"/>
            <w:vAlign w:val="center"/>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Locatie</w:t>
            </w:r>
          </w:p>
        </w:tc>
        <w:tc>
          <w:tcPr>
            <w:tcW w:w="2022" w:type="dxa"/>
            <w:shd w:val="clear" w:color="auto" w:fill="auto"/>
            <w:noWrap/>
            <w:vAlign w:val="center"/>
            <w:hideMark/>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LO (St-Anna)</w:t>
            </w:r>
          </w:p>
        </w:tc>
        <w:tc>
          <w:tcPr>
            <w:tcW w:w="1677" w:type="dxa"/>
            <w:shd w:val="clear" w:color="auto" w:fill="auto"/>
            <w:noWrap/>
            <w:vAlign w:val="center"/>
            <w:hideMark/>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Kallo</w:t>
            </w:r>
          </w:p>
        </w:tc>
        <w:tc>
          <w:tcPr>
            <w:tcW w:w="1843" w:type="dxa"/>
            <w:shd w:val="clear" w:color="auto" w:fill="auto"/>
            <w:noWrap/>
            <w:vAlign w:val="center"/>
            <w:hideMark/>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Ekeren</w:t>
            </w:r>
          </w:p>
        </w:tc>
      </w:tr>
      <w:tr w:rsidR="00414EC8" w:rsidRPr="00F2449C" w:rsidTr="00414EC8">
        <w:trPr>
          <w:trHeight w:val="300"/>
        </w:trPr>
        <w:tc>
          <w:tcPr>
            <w:tcW w:w="2990" w:type="dxa"/>
            <w:vAlign w:val="center"/>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Windrichting</w:t>
            </w:r>
          </w:p>
        </w:tc>
        <w:tc>
          <w:tcPr>
            <w:tcW w:w="2022" w:type="dxa"/>
            <w:shd w:val="clear" w:color="auto" w:fill="auto"/>
            <w:noWrap/>
            <w:vAlign w:val="center"/>
            <w:hideMark/>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Ten ZO</w:t>
            </w:r>
          </w:p>
        </w:tc>
        <w:tc>
          <w:tcPr>
            <w:tcW w:w="1677" w:type="dxa"/>
            <w:shd w:val="clear" w:color="auto" w:fill="auto"/>
            <w:noWrap/>
            <w:vAlign w:val="center"/>
            <w:hideMark/>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Ten W</w:t>
            </w:r>
          </w:p>
        </w:tc>
        <w:tc>
          <w:tcPr>
            <w:tcW w:w="1843" w:type="dxa"/>
            <w:shd w:val="clear" w:color="auto" w:fill="auto"/>
            <w:noWrap/>
            <w:vAlign w:val="center"/>
            <w:hideMark/>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Ten NO</w:t>
            </w:r>
          </w:p>
        </w:tc>
      </w:tr>
      <w:tr w:rsidR="00414EC8" w:rsidRPr="00F2449C" w:rsidTr="00414EC8">
        <w:trPr>
          <w:trHeight w:val="300"/>
        </w:trPr>
        <w:tc>
          <w:tcPr>
            <w:tcW w:w="2990" w:type="dxa"/>
            <w:vAlign w:val="center"/>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coördinaten</w:t>
            </w:r>
          </w:p>
        </w:tc>
        <w:tc>
          <w:tcPr>
            <w:tcW w:w="2022" w:type="dxa"/>
            <w:shd w:val="clear" w:color="auto" w:fill="auto"/>
            <w:noWrap/>
            <w:vAlign w:val="center"/>
            <w:hideMark/>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151.500;213.900</w:t>
            </w:r>
          </w:p>
        </w:tc>
        <w:tc>
          <w:tcPr>
            <w:tcW w:w="1677" w:type="dxa"/>
            <w:shd w:val="clear" w:color="auto" w:fill="auto"/>
            <w:noWrap/>
            <w:vAlign w:val="center"/>
            <w:hideMark/>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144.300;215.900</w:t>
            </w:r>
          </w:p>
        </w:tc>
        <w:tc>
          <w:tcPr>
            <w:tcW w:w="1843" w:type="dxa"/>
            <w:shd w:val="clear" w:color="auto" w:fill="auto"/>
            <w:noWrap/>
            <w:vAlign w:val="center"/>
            <w:hideMark/>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153.200;218.400</w:t>
            </w:r>
          </w:p>
        </w:tc>
      </w:tr>
      <w:tr w:rsidR="00414EC8" w:rsidRPr="00F2449C" w:rsidTr="00414EC8">
        <w:trPr>
          <w:trHeight w:val="300"/>
        </w:trPr>
        <w:tc>
          <w:tcPr>
            <w:tcW w:w="2990" w:type="dxa"/>
            <w:vAlign w:val="center"/>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Toekomstige situatie fase 2</w:t>
            </w:r>
            <w:r>
              <w:rPr>
                <w:rFonts w:asciiTheme="minorHAnsi" w:hAnsiTheme="minorHAnsi" w:cstheme="minorHAnsi"/>
                <w:sz w:val="18"/>
                <w:szCs w:val="18"/>
                <w:lang w:val="nl-NL" w:eastAsia="nl-NL"/>
              </w:rPr>
              <w:t xml:space="preserve"> , µg/m³</w:t>
            </w:r>
          </w:p>
        </w:tc>
        <w:tc>
          <w:tcPr>
            <w:tcW w:w="2022" w:type="dxa"/>
            <w:shd w:val="clear" w:color="auto" w:fill="auto"/>
            <w:noWrap/>
            <w:vAlign w:val="center"/>
            <w:hideMark/>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0,12</w:t>
            </w:r>
          </w:p>
        </w:tc>
        <w:tc>
          <w:tcPr>
            <w:tcW w:w="1677" w:type="dxa"/>
            <w:shd w:val="clear" w:color="auto" w:fill="auto"/>
            <w:noWrap/>
            <w:vAlign w:val="center"/>
            <w:hideMark/>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0,04</w:t>
            </w:r>
          </w:p>
        </w:tc>
        <w:tc>
          <w:tcPr>
            <w:tcW w:w="1843" w:type="dxa"/>
            <w:shd w:val="clear" w:color="auto" w:fill="auto"/>
            <w:noWrap/>
            <w:vAlign w:val="center"/>
            <w:hideMark/>
          </w:tcPr>
          <w:p w:rsidR="00414EC8" w:rsidRPr="00E37235" w:rsidRDefault="00414EC8" w:rsidP="00414EC8">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0,08</w:t>
            </w:r>
          </w:p>
        </w:tc>
      </w:tr>
    </w:tbl>
    <w:p w:rsidR="00414EC8" w:rsidRDefault="00414EC8" w:rsidP="00414EC8">
      <w:pPr>
        <w:rPr>
          <w:lang w:val="nl-NL"/>
        </w:rPr>
      </w:pPr>
    </w:p>
    <w:p w:rsidR="00414EC8" w:rsidRDefault="00414EC8" w:rsidP="00414EC8">
      <w:pPr>
        <w:rPr>
          <w:lang w:val="nl-NL"/>
        </w:rPr>
      </w:pPr>
      <w:r>
        <w:rPr>
          <w:lang w:val="nl-NL"/>
        </w:rPr>
        <w:t xml:space="preserve"> </w:t>
      </w:r>
    </w:p>
    <w:p w:rsidR="005B5D40" w:rsidRDefault="005B5D40" w:rsidP="005B5D40">
      <w:pPr>
        <w:rPr>
          <w:lang w:val="nl-NL"/>
        </w:rPr>
      </w:pPr>
    </w:p>
    <w:p w:rsidR="005B5D40" w:rsidRDefault="005B5D40" w:rsidP="005B5D40">
      <w:pPr>
        <w:pStyle w:val="tit-5"/>
        <w:rPr>
          <w:lang w:val="nl-NL"/>
        </w:rPr>
      </w:pPr>
      <w:r>
        <w:rPr>
          <w:lang w:val="nl-NL"/>
        </w:rPr>
        <w:t>individuele componenten</w:t>
      </w:r>
    </w:p>
    <w:p w:rsidR="005B5D40" w:rsidRDefault="005B5D40" w:rsidP="005B5D40">
      <w:r>
        <w:t>Wenst men de werkelijke impact van een individuele component te beoordelen dan kan de immissiebijdrage geschat worden aan de hand van de verhouding van de werkelijke emissie van deze specifieke component (dus rekening houdend met de werkelijke hoeveelheden die opgeslagen worden, de specifieke tank waarin dit product terecht komt, de dampspanning van het beschouwde product,…) tot de totale emissie, en dezelfde verhouding toe te passen op de berekende totale bijdrage.</w:t>
      </w:r>
    </w:p>
    <w:p w:rsidR="005B5D40" w:rsidRDefault="005B5D40" w:rsidP="005B5D40">
      <w:r>
        <w:t>M.b.t. de evaluatie van de specifieke parameters kan men dan stellen dat de gemiddelde bijdragen in de omgeving zich nagenoeg zullen verhouden als de verhouding van hun emissies t.o.v. de totale VOS emissies. De effectieve plaats in het tankenpark waar het beschouwde product opgeslagen wordt zal echter wel nog voor een  verschuiving van de dispersie zorgen.</w:t>
      </w:r>
    </w:p>
    <w:p w:rsidR="005B5D40" w:rsidRDefault="005B5D40" w:rsidP="005B5D40">
      <w:r>
        <w:t>Globaal gezien kan men bvb. stellen dat in geval de emissie van een specifiek product 10% bedraagt van de hierboven geciteerde totale emissies, de berekende bijdrage van deze parameter in de omgevingsluchtconcentratie zowat 10 keer lager zal liggen dan de hierboven vermelde berekende bijdragen voor de totale VOS emissies (echter wel in de veronderstelling dat de emissie van dit product ook over het volledige terrein en laadstations verspreid zal voorkomen, en het aandeel in de lekemissies eveneens evenredig is).</w:t>
      </w:r>
    </w:p>
    <w:p w:rsidR="005B5D40" w:rsidRPr="00361382" w:rsidRDefault="005B5D40" w:rsidP="005B5D40">
      <w:pPr>
        <w:pStyle w:val="tit-5"/>
      </w:pPr>
      <w:r w:rsidRPr="00361382">
        <w:t>Organische zuren</w:t>
      </w:r>
    </w:p>
    <w:p w:rsidR="005B5D40" w:rsidRDefault="005B5D40" w:rsidP="005B5D40">
      <w:r>
        <w:t>Specifiek wat betreft de emissies van organische zuren kan men stellen dat de extra bijdrage niet groter zal zijn dan zowat 5%. In werkelijkheid zal de extra bijdrage geringer zijn gezien de nieuwe tanks een grotere werkingsdruk toelaten met beduidend lagere ademhalingsverliezen tot gevolg.</w:t>
      </w:r>
    </w:p>
    <w:p w:rsidR="005B5D40" w:rsidRDefault="005B5D40" w:rsidP="005B5D40">
      <w:r>
        <w:t>De extra bijdrage van de emissies van organische zuren kan dan ook als verwaarloosbaar ten opzichte van de luchtkwaliteitsdoelstellingen beschouwd worden.</w:t>
      </w:r>
    </w:p>
    <w:p w:rsidR="005B5D40" w:rsidRDefault="005B5D40" w:rsidP="00E37235">
      <w:pPr>
        <w:pStyle w:val="Heading5"/>
        <w:jc w:val="left"/>
      </w:pPr>
      <w:bookmarkStart w:id="873" w:name="_Toc312069304"/>
      <w:r>
        <w:lastRenderedPageBreak/>
        <w:t>Maximalistisch scenario VOS-totaal</w:t>
      </w:r>
      <w:bookmarkEnd w:id="873"/>
    </w:p>
    <w:p w:rsidR="005B5D40" w:rsidRDefault="005B5D40" w:rsidP="00E37235">
      <w:pPr>
        <w:keepNext/>
        <w:rPr>
          <w:lang w:val="nl-NL"/>
        </w:rPr>
      </w:pPr>
      <w:r>
        <w:rPr>
          <w:lang w:val="nl-NL"/>
        </w:rPr>
        <w:t>Bij het maximalistisch VOS-scenario nemen de VOS emissies toe met iets meer dan 25%, wat zich dan ook vertaalt in een gelijkaardige impactverhoging</w:t>
      </w:r>
    </w:p>
    <w:p w:rsidR="005B5D40" w:rsidRDefault="005B5D40" w:rsidP="004E5238">
      <w:pPr>
        <w:keepNext/>
        <w:tabs>
          <w:tab w:val="left" w:pos="5103"/>
        </w:tabs>
        <w:rPr>
          <w:lang w:val="nl-NL"/>
        </w:rPr>
      </w:pPr>
      <w:r>
        <w:rPr>
          <w:lang w:val="nl-NL"/>
        </w:rPr>
        <w:t xml:space="preserve">De extra impactbijdrage die hierbij ontstaat bedraagt t.h.v. de beoordelingspunten </w:t>
      </w:r>
      <w:r w:rsidR="00512118">
        <w:rPr>
          <w:lang w:val="nl-NL"/>
        </w:rPr>
        <w:t xml:space="preserve">in industriegebied </w:t>
      </w:r>
      <w:r>
        <w:rPr>
          <w:lang w:val="nl-NL"/>
        </w:rPr>
        <w:t>1 à 3 µg/m³ (als jaargemiddelde waarde) wat nog steeds als een verwaarloosbare tot beperkte extra  bijdrage kan beschouwd worden. In figuren</w:t>
      </w:r>
      <w:r w:rsidR="00454F0A">
        <w:rPr>
          <w:lang w:val="nl-NL"/>
        </w:rPr>
        <w:t xml:space="preserve"> </w:t>
      </w:r>
      <w:r w:rsidR="00C325A0">
        <w:rPr>
          <w:lang w:val="nl-NL"/>
        </w:rPr>
        <w:fldChar w:fldCharType="begin"/>
      </w:r>
      <w:r w:rsidR="00454F0A">
        <w:rPr>
          <w:lang w:val="nl-NL"/>
        </w:rPr>
        <w:instrText xml:space="preserve"> REF f_lucht_impact_max_verg \h </w:instrText>
      </w:r>
      <w:r w:rsidR="00C325A0">
        <w:rPr>
          <w:lang w:val="nl-NL"/>
        </w:rPr>
      </w:r>
      <w:r w:rsidR="00C325A0">
        <w:rPr>
          <w:lang w:val="nl-NL"/>
        </w:rPr>
        <w:fldChar w:fldCharType="separate"/>
      </w:r>
      <w:r w:rsidR="008102D8">
        <w:t>VIII.2.4.A</w:t>
      </w:r>
      <w:r w:rsidR="00C325A0">
        <w:rPr>
          <w:lang w:val="nl-NL"/>
        </w:rPr>
        <w:fldChar w:fldCharType="end"/>
      </w:r>
      <w:r w:rsidR="00454F0A">
        <w:rPr>
          <w:lang w:val="nl-NL"/>
        </w:rPr>
        <w:t xml:space="preserve">  en </w:t>
      </w:r>
      <w:r w:rsidR="00C325A0">
        <w:rPr>
          <w:lang w:val="nl-NL"/>
        </w:rPr>
        <w:fldChar w:fldCharType="begin"/>
      </w:r>
      <w:r w:rsidR="00454F0A">
        <w:rPr>
          <w:lang w:val="nl-NL"/>
        </w:rPr>
        <w:instrText xml:space="preserve"> REF f_lucht_impact_max_fase2 \h </w:instrText>
      </w:r>
      <w:r w:rsidR="00C325A0">
        <w:rPr>
          <w:lang w:val="nl-NL"/>
        </w:rPr>
      </w:r>
      <w:r w:rsidR="00C325A0">
        <w:rPr>
          <w:lang w:val="nl-NL"/>
        </w:rPr>
        <w:fldChar w:fldCharType="separate"/>
      </w:r>
      <w:r w:rsidR="008102D8">
        <w:t>VIII.2.4.B</w:t>
      </w:r>
      <w:r w:rsidR="00C325A0">
        <w:rPr>
          <w:lang w:val="nl-NL"/>
        </w:rPr>
        <w:fldChar w:fldCharType="end"/>
      </w:r>
      <w:r>
        <w:rPr>
          <w:lang w:val="nl-NL"/>
        </w:rPr>
        <w:t xml:space="preserve"> (output figuren IFDM) wordt de impact van beide situatie weergegeven.</w:t>
      </w:r>
    </w:p>
    <w:p w:rsidR="005B5D40" w:rsidRDefault="005B5D40" w:rsidP="00E37235">
      <w:pPr>
        <w:pStyle w:val="tabel0"/>
      </w:pPr>
      <w:r>
        <w:t>Tabel</w:t>
      </w:r>
      <w:r w:rsidR="009C1E15">
        <w:t xml:space="preserve"> </w:t>
      </w:r>
      <w:r w:rsidR="00C325A0">
        <w:fldChar w:fldCharType="begin"/>
      </w:r>
      <w:r w:rsidR="009C1E15">
        <w:instrText xml:space="preserve"> REF t_lucht_VOS_bijdrage_toekrefact_max \h </w:instrText>
      </w:r>
      <w:r w:rsidR="00C325A0">
        <w:fldChar w:fldCharType="separate"/>
      </w:r>
      <w:r w:rsidR="008102D8">
        <w:t>VIII.2.19.A</w:t>
      </w:r>
      <w:r w:rsidR="00C325A0">
        <w:fldChar w:fldCharType="end"/>
      </w:r>
      <w:r w:rsidR="009C1E15">
        <w:t>:</w:t>
      </w:r>
      <w:r>
        <w:tab/>
        <w:t>Overzicht berekende bijdrage in µg/m³ VOS t.h.v. verschillende beoordelingspunten</w:t>
      </w:r>
      <w:r w:rsidR="00512118" w:rsidRPr="00512118">
        <w:t xml:space="preserve"> </w:t>
      </w:r>
      <w:r w:rsidR="00512118">
        <w:t xml:space="preserve">beoordelingspunten in industriegebied, in de onmiddellijke omgeving van het bedrijf, </w:t>
      </w:r>
      <w:r>
        <w:t xml:space="preserve"> bij het maximalistisch VOS scenario in de toekomstige situatie (fase 2), en de referentie situatie </w:t>
      </w:r>
    </w:p>
    <w:tbl>
      <w:tblPr>
        <w:tblW w:w="91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51"/>
        <w:gridCol w:w="1592"/>
        <w:gridCol w:w="1592"/>
        <w:gridCol w:w="1592"/>
        <w:gridCol w:w="1592"/>
        <w:gridCol w:w="1593"/>
      </w:tblGrid>
      <w:tr w:rsidR="00512118" w:rsidRPr="00F2449C" w:rsidTr="00512118">
        <w:trPr>
          <w:trHeight w:val="300"/>
        </w:trPr>
        <w:tc>
          <w:tcPr>
            <w:tcW w:w="1151" w:type="dxa"/>
            <w:vAlign w:val="center"/>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Locatie</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Polderdijkweg</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Scheldelaan</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p>
        </w:tc>
        <w:tc>
          <w:tcPr>
            <w:tcW w:w="1593" w:type="dxa"/>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Tankparkemissie in ton/jaar</w:t>
            </w:r>
          </w:p>
        </w:tc>
      </w:tr>
      <w:tr w:rsidR="00512118" w:rsidRPr="00F2449C" w:rsidTr="00512118">
        <w:trPr>
          <w:trHeight w:val="300"/>
        </w:trPr>
        <w:tc>
          <w:tcPr>
            <w:tcW w:w="1151" w:type="dxa"/>
            <w:vAlign w:val="center"/>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Windrichting</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Ten NW</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ZW</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N</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O</w:t>
            </w:r>
          </w:p>
        </w:tc>
        <w:tc>
          <w:tcPr>
            <w:tcW w:w="1593" w:type="dxa"/>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p>
        </w:tc>
      </w:tr>
      <w:tr w:rsidR="00512118" w:rsidRPr="00F2449C" w:rsidTr="00512118">
        <w:trPr>
          <w:trHeight w:val="300"/>
        </w:trPr>
        <w:tc>
          <w:tcPr>
            <w:tcW w:w="1151" w:type="dxa"/>
            <w:vAlign w:val="center"/>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coördinaten</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148350;216000</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148500;215200</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148900;215050</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149600;215450</w:t>
            </w:r>
          </w:p>
        </w:tc>
        <w:tc>
          <w:tcPr>
            <w:tcW w:w="1593" w:type="dxa"/>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p>
        </w:tc>
      </w:tr>
      <w:tr w:rsidR="00512118" w:rsidRPr="00F2449C" w:rsidTr="00512118">
        <w:trPr>
          <w:trHeight w:val="300"/>
        </w:trPr>
        <w:tc>
          <w:tcPr>
            <w:tcW w:w="1151" w:type="dxa"/>
            <w:vAlign w:val="center"/>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Toekomstige situatie fase 2</w:t>
            </w:r>
            <w:r>
              <w:rPr>
                <w:rFonts w:asciiTheme="minorHAnsi" w:hAnsiTheme="minorHAnsi" w:cstheme="minorHAnsi"/>
                <w:sz w:val="18"/>
                <w:szCs w:val="18"/>
                <w:lang w:val="nl-NL" w:eastAsia="nl-NL"/>
              </w:rPr>
              <w:t>, µg/m³</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4</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10</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11</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w:t>
            </w:r>
          </w:p>
        </w:tc>
        <w:tc>
          <w:tcPr>
            <w:tcW w:w="1593" w:type="dxa"/>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127,8</w:t>
            </w:r>
          </w:p>
        </w:tc>
      </w:tr>
      <w:tr w:rsidR="00512118" w:rsidRPr="00F2449C" w:rsidTr="00512118">
        <w:trPr>
          <w:trHeight w:val="300"/>
        </w:trPr>
        <w:tc>
          <w:tcPr>
            <w:tcW w:w="1151" w:type="dxa"/>
            <w:vAlign w:val="center"/>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Referentie situatie</w:t>
            </w:r>
            <w:r>
              <w:rPr>
                <w:rFonts w:asciiTheme="minorHAnsi" w:hAnsiTheme="minorHAnsi" w:cstheme="minorHAnsi"/>
                <w:sz w:val="18"/>
                <w:szCs w:val="18"/>
                <w:lang w:val="nl-NL" w:eastAsia="nl-NL"/>
              </w:rPr>
              <w:t>, µg/m³</w:t>
            </w:r>
            <w:r w:rsidRPr="00E37235">
              <w:rPr>
                <w:rFonts w:asciiTheme="minorHAnsi" w:hAnsiTheme="minorHAnsi" w:cstheme="minorHAnsi"/>
                <w:sz w:val="18"/>
                <w:szCs w:val="18"/>
                <w:lang w:val="nl-NL" w:eastAsia="nl-NL"/>
              </w:rPr>
              <w:t xml:space="preserve"> </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3</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8</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9</w:t>
            </w:r>
          </w:p>
        </w:tc>
        <w:tc>
          <w:tcPr>
            <w:tcW w:w="1592" w:type="dxa"/>
            <w:shd w:val="clear" w:color="auto" w:fill="auto"/>
            <w:noWrap/>
            <w:vAlign w:val="center"/>
            <w:hideMark/>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11</w:t>
            </w:r>
          </w:p>
        </w:tc>
        <w:tc>
          <w:tcPr>
            <w:tcW w:w="1593" w:type="dxa"/>
          </w:tcPr>
          <w:p w:rsidR="00512118" w:rsidRPr="00E37235" w:rsidRDefault="00512118" w:rsidP="00E37235">
            <w:pPr>
              <w:keepNext/>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103,4</w:t>
            </w:r>
          </w:p>
        </w:tc>
      </w:tr>
      <w:tr w:rsidR="008C1183" w:rsidRPr="00F2449C" w:rsidTr="00512118">
        <w:trPr>
          <w:gridAfter w:val="1"/>
          <w:wAfter w:w="1593" w:type="dxa"/>
          <w:trHeight w:val="300"/>
        </w:trPr>
        <w:tc>
          <w:tcPr>
            <w:tcW w:w="1151" w:type="dxa"/>
            <w:vAlign w:val="center"/>
          </w:tcPr>
          <w:p w:rsidR="008C1183" w:rsidRPr="00E37235" w:rsidRDefault="008C1183"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Aboslute toename</w:t>
            </w:r>
            <w:r>
              <w:rPr>
                <w:rFonts w:asciiTheme="minorHAnsi" w:hAnsiTheme="minorHAnsi" w:cstheme="minorHAnsi"/>
                <w:sz w:val="18"/>
                <w:szCs w:val="18"/>
                <w:lang w:val="nl-NL" w:eastAsia="nl-NL"/>
              </w:rPr>
              <w:t>, µg/m³</w:t>
            </w:r>
          </w:p>
        </w:tc>
        <w:tc>
          <w:tcPr>
            <w:tcW w:w="1592" w:type="dxa"/>
            <w:shd w:val="clear" w:color="auto" w:fill="auto"/>
            <w:noWrap/>
            <w:vAlign w:val="center"/>
            <w:hideMark/>
          </w:tcPr>
          <w:p w:rsidR="008C1183" w:rsidRPr="00E37235" w:rsidRDefault="008C1183"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w:t>
            </w:r>
          </w:p>
        </w:tc>
        <w:tc>
          <w:tcPr>
            <w:tcW w:w="1592" w:type="dxa"/>
            <w:shd w:val="clear" w:color="auto" w:fill="auto"/>
            <w:noWrap/>
            <w:vAlign w:val="center"/>
            <w:hideMark/>
          </w:tcPr>
          <w:p w:rsidR="008C1183" w:rsidRPr="00E37235" w:rsidRDefault="008C1183"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2</w:t>
            </w:r>
          </w:p>
        </w:tc>
        <w:tc>
          <w:tcPr>
            <w:tcW w:w="1592" w:type="dxa"/>
            <w:shd w:val="clear" w:color="auto" w:fill="auto"/>
            <w:noWrap/>
            <w:vAlign w:val="center"/>
            <w:hideMark/>
          </w:tcPr>
          <w:p w:rsidR="008C1183" w:rsidRPr="00E37235" w:rsidRDefault="008C1183"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2</w:t>
            </w:r>
          </w:p>
        </w:tc>
        <w:tc>
          <w:tcPr>
            <w:tcW w:w="1592" w:type="dxa"/>
            <w:shd w:val="clear" w:color="auto" w:fill="auto"/>
            <w:noWrap/>
            <w:vAlign w:val="center"/>
            <w:hideMark/>
          </w:tcPr>
          <w:p w:rsidR="008C1183" w:rsidRPr="00E37235" w:rsidRDefault="008C1183"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3</w:t>
            </w:r>
          </w:p>
        </w:tc>
      </w:tr>
      <w:tr w:rsidR="008C1183" w:rsidRPr="00F2449C" w:rsidTr="00512118">
        <w:trPr>
          <w:gridAfter w:val="1"/>
          <w:wAfter w:w="1593" w:type="dxa"/>
          <w:trHeight w:val="300"/>
        </w:trPr>
        <w:tc>
          <w:tcPr>
            <w:tcW w:w="1151" w:type="dxa"/>
            <w:vAlign w:val="center"/>
          </w:tcPr>
          <w:p w:rsidR="008C1183" w:rsidRPr="00E37235" w:rsidRDefault="008C1183"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Relatieve toename t.o.v. doelstelling</w:t>
            </w:r>
            <w:r>
              <w:rPr>
                <w:rFonts w:asciiTheme="minorHAnsi" w:hAnsiTheme="minorHAnsi" w:cstheme="minorHAnsi"/>
                <w:sz w:val="18"/>
                <w:szCs w:val="18"/>
                <w:lang w:val="nl-NL" w:eastAsia="nl-NL"/>
              </w:rPr>
              <w:t>, µg/m³</w:t>
            </w:r>
          </w:p>
        </w:tc>
        <w:tc>
          <w:tcPr>
            <w:tcW w:w="1592" w:type="dxa"/>
            <w:shd w:val="clear" w:color="auto" w:fill="auto"/>
            <w:noWrap/>
            <w:vAlign w:val="center"/>
            <w:hideMark/>
          </w:tcPr>
          <w:p w:rsidR="008C1183" w:rsidRPr="00E37235" w:rsidRDefault="008C1183"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0,7</w:t>
            </w:r>
          </w:p>
        </w:tc>
        <w:tc>
          <w:tcPr>
            <w:tcW w:w="1592" w:type="dxa"/>
            <w:shd w:val="clear" w:color="auto" w:fill="auto"/>
            <w:noWrap/>
            <w:vAlign w:val="center"/>
            <w:hideMark/>
          </w:tcPr>
          <w:p w:rsidR="008C1183" w:rsidRPr="00E37235" w:rsidRDefault="008C1183"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1,3</w:t>
            </w:r>
          </w:p>
        </w:tc>
        <w:tc>
          <w:tcPr>
            <w:tcW w:w="1592" w:type="dxa"/>
            <w:shd w:val="clear" w:color="auto" w:fill="auto"/>
            <w:noWrap/>
            <w:vAlign w:val="center"/>
            <w:hideMark/>
          </w:tcPr>
          <w:p w:rsidR="008C1183" w:rsidRPr="00E37235" w:rsidRDefault="008C1183"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1,3</w:t>
            </w:r>
          </w:p>
        </w:tc>
        <w:tc>
          <w:tcPr>
            <w:tcW w:w="1592" w:type="dxa"/>
            <w:shd w:val="clear" w:color="auto" w:fill="auto"/>
            <w:noWrap/>
            <w:vAlign w:val="center"/>
            <w:hideMark/>
          </w:tcPr>
          <w:p w:rsidR="008C1183" w:rsidRPr="00E37235" w:rsidRDefault="008C1183"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2,0</w:t>
            </w:r>
          </w:p>
        </w:tc>
      </w:tr>
      <w:tr w:rsidR="008C1183" w:rsidRPr="00F2449C" w:rsidTr="00512118">
        <w:trPr>
          <w:gridAfter w:val="1"/>
          <w:wAfter w:w="1593" w:type="dxa"/>
          <w:trHeight w:val="300"/>
        </w:trPr>
        <w:tc>
          <w:tcPr>
            <w:tcW w:w="1151" w:type="dxa"/>
            <w:vAlign w:val="center"/>
          </w:tcPr>
          <w:p w:rsidR="008C1183" w:rsidRPr="00E37235" w:rsidRDefault="008C1183" w:rsidP="00512118">
            <w:pPr>
              <w:keepNext/>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Globale impact van fase 2 , in % t.o.v. indicatie doelstelling</w:t>
            </w:r>
          </w:p>
        </w:tc>
        <w:tc>
          <w:tcPr>
            <w:tcW w:w="1592" w:type="dxa"/>
            <w:shd w:val="clear" w:color="auto" w:fill="auto"/>
            <w:noWrap/>
            <w:vAlign w:val="center"/>
            <w:hideMark/>
          </w:tcPr>
          <w:p w:rsidR="008C1183" w:rsidRPr="008C1183" w:rsidRDefault="00F077DA" w:rsidP="00512118">
            <w:pPr>
              <w:keepNext/>
              <w:spacing w:before="0" w:after="0" w:line="240" w:lineRule="auto"/>
              <w:jc w:val="center"/>
              <w:rPr>
                <w:rFonts w:asciiTheme="minorHAnsi" w:hAnsiTheme="minorHAnsi" w:cstheme="minorHAnsi"/>
                <w:sz w:val="18"/>
                <w:szCs w:val="18"/>
              </w:rPr>
            </w:pPr>
            <w:r w:rsidRPr="00F077DA">
              <w:rPr>
                <w:sz w:val="18"/>
                <w:szCs w:val="18"/>
              </w:rPr>
              <w:t>2,7</w:t>
            </w:r>
          </w:p>
        </w:tc>
        <w:tc>
          <w:tcPr>
            <w:tcW w:w="1592" w:type="dxa"/>
            <w:shd w:val="clear" w:color="auto" w:fill="auto"/>
            <w:noWrap/>
            <w:vAlign w:val="center"/>
            <w:hideMark/>
          </w:tcPr>
          <w:p w:rsidR="008C1183" w:rsidRPr="008C1183" w:rsidRDefault="00F077DA" w:rsidP="00512118">
            <w:pPr>
              <w:keepNext/>
              <w:spacing w:before="0" w:after="0" w:line="240" w:lineRule="auto"/>
              <w:jc w:val="center"/>
              <w:rPr>
                <w:rFonts w:asciiTheme="minorHAnsi" w:hAnsiTheme="minorHAnsi" w:cstheme="minorHAnsi"/>
                <w:sz w:val="18"/>
                <w:szCs w:val="18"/>
              </w:rPr>
            </w:pPr>
            <w:r w:rsidRPr="00F077DA">
              <w:rPr>
                <w:sz w:val="18"/>
                <w:szCs w:val="18"/>
              </w:rPr>
              <w:t>6,7</w:t>
            </w:r>
          </w:p>
        </w:tc>
        <w:tc>
          <w:tcPr>
            <w:tcW w:w="1592" w:type="dxa"/>
            <w:shd w:val="clear" w:color="auto" w:fill="auto"/>
            <w:noWrap/>
            <w:vAlign w:val="center"/>
            <w:hideMark/>
          </w:tcPr>
          <w:p w:rsidR="008C1183" w:rsidRPr="008C1183" w:rsidRDefault="00F077DA" w:rsidP="00512118">
            <w:pPr>
              <w:keepNext/>
              <w:spacing w:before="0" w:after="0" w:line="240" w:lineRule="auto"/>
              <w:jc w:val="center"/>
              <w:rPr>
                <w:rFonts w:asciiTheme="minorHAnsi" w:hAnsiTheme="minorHAnsi" w:cstheme="minorHAnsi"/>
                <w:sz w:val="18"/>
                <w:szCs w:val="18"/>
              </w:rPr>
            </w:pPr>
            <w:r w:rsidRPr="00F077DA">
              <w:rPr>
                <w:sz w:val="18"/>
                <w:szCs w:val="18"/>
              </w:rPr>
              <w:t>7,3</w:t>
            </w:r>
          </w:p>
        </w:tc>
        <w:tc>
          <w:tcPr>
            <w:tcW w:w="1592" w:type="dxa"/>
            <w:shd w:val="clear" w:color="auto" w:fill="auto"/>
            <w:noWrap/>
            <w:vAlign w:val="center"/>
            <w:hideMark/>
          </w:tcPr>
          <w:p w:rsidR="008C1183" w:rsidRPr="008C1183" w:rsidRDefault="00F077DA" w:rsidP="00512118">
            <w:pPr>
              <w:keepNext/>
              <w:spacing w:before="0" w:after="0" w:line="240" w:lineRule="auto"/>
              <w:jc w:val="center"/>
              <w:rPr>
                <w:rFonts w:asciiTheme="minorHAnsi" w:hAnsiTheme="minorHAnsi" w:cstheme="minorHAnsi"/>
                <w:sz w:val="18"/>
                <w:szCs w:val="18"/>
              </w:rPr>
            </w:pPr>
            <w:r w:rsidRPr="00F077DA">
              <w:rPr>
                <w:sz w:val="18"/>
                <w:szCs w:val="18"/>
              </w:rPr>
              <w:t>9,3</w:t>
            </w:r>
          </w:p>
        </w:tc>
      </w:tr>
    </w:tbl>
    <w:p w:rsidR="005B5D40" w:rsidRDefault="005B5D40" w:rsidP="00E37235">
      <w:pPr>
        <w:keepNext/>
        <w:rPr>
          <w:lang w:val="nl-NL"/>
        </w:rPr>
      </w:pPr>
    </w:p>
    <w:p w:rsidR="00512118" w:rsidRDefault="00512118" w:rsidP="00512118">
      <w:pPr>
        <w:keepNext/>
        <w:rPr>
          <w:lang w:val="nl-NL"/>
        </w:rPr>
      </w:pPr>
      <w:r>
        <w:rPr>
          <w:lang w:val="nl-NL"/>
        </w:rPr>
        <w:t>Voor fase 1 bedraagt het berekend tankparkverlies 123,2 ton/jaar. Qua impact kan fase 1 benaderend dan ook gelijk gesteld worden met deze van fase 2.</w:t>
      </w:r>
    </w:p>
    <w:p w:rsidR="00512118" w:rsidRDefault="00512118" w:rsidP="00512118">
      <w:pPr>
        <w:keepNext/>
        <w:rPr>
          <w:lang w:val="nl-NL"/>
        </w:rPr>
      </w:pPr>
      <w:r>
        <w:rPr>
          <w:lang w:val="nl-NL"/>
        </w:rPr>
        <w:t>T.o.v. de gehanteerde indicatieve (voor VOS totaal bestaan er geen grenswaarden noch doelstellingen) toetsingswaarde van 150 µg/m³  kan de totale impactbijdrage voor het maximalistische scenario in de onmiddellijke omgeving van het bedrijf (in industriegebied), als belangrijk beschouwd worden. Zoals eerder reeds aangegeven kan de vermelde toetsingswaarde, zeker voor indus</w:t>
      </w:r>
      <w:r w:rsidR="00A04403">
        <w:rPr>
          <w:lang w:val="nl-NL"/>
        </w:rPr>
        <w:t>t</w:t>
      </w:r>
      <w:r>
        <w:rPr>
          <w:lang w:val="nl-NL"/>
        </w:rPr>
        <w:t>riegebieden, als een relatief strenge waarde beoordeeld worden. Hierbij dient ook opgemerkt te worden dat de kans op het optreden van het maximalistisch scenario als uiterst klein  ingeschat wordt.</w:t>
      </w:r>
      <w:r w:rsidRPr="00EC2473">
        <w:rPr>
          <w:lang w:val="nl-NL"/>
        </w:rPr>
        <w:t xml:space="preserve"> </w:t>
      </w:r>
    </w:p>
    <w:p w:rsidR="00512118" w:rsidRDefault="00512118" w:rsidP="00512118">
      <w:pPr>
        <w:keepNext/>
        <w:rPr>
          <w:lang w:val="nl-NL"/>
        </w:rPr>
      </w:pPr>
      <w:r>
        <w:rPr>
          <w:lang w:val="nl-NL"/>
        </w:rPr>
        <w:t>T.h.v. de meest nabij gelegen woonzones is de impact in het maximalistisch scenario verwaarloosbaar zoals blijkt uit onderstaande gegevens.</w:t>
      </w:r>
    </w:p>
    <w:p w:rsidR="008D2943" w:rsidRDefault="008D2943">
      <w:pPr>
        <w:keepLines w:val="0"/>
        <w:spacing w:before="0" w:after="0" w:line="240" w:lineRule="auto"/>
        <w:jc w:val="left"/>
        <w:rPr>
          <w:b/>
          <w:sz w:val="18"/>
          <w:szCs w:val="18"/>
          <w:highlight w:val="yellow"/>
          <w:lang w:val="nl-NL"/>
        </w:rPr>
      </w:pPr>
      <w:r>
        <w:rPr>
          <w:highlight w:val="yellow"/>
        </w:rPr>
        <w:br w:type="page"/>
      </w:r>
    </w:p>
    <w:p w:rsidR="00512118" w:rsidRDefault="00F077DA" w:rsidP="008D2943">
      <w:pPr>
        <w:pStyle w:val="tabel0"/>
      </w:pPr>
      <w:r w:rsidRPr="00F077DA">
        <w:lastRenderedPageBreak/>
        <w:t>Tabel</w:t>
      </w:r>
      <w:r w:rsidR="000615B1">
        <w:t xml:space="preserve"> </w:t>
      </w:r>
      <w:fldSimple w:instr=" REF t_lucht_VOS_bijdrage_toekrefact_max_woon \h  \* MERGEFORMAT ">
        <w:r w:rsidR="008102D8">
          <w:t>VIII.2.19.B</w:t>
        </w:r>
      </w:fldSimple>
      <w:r w:rsidR="00512118">
        <w:t>:</w:t>
      </w:r>
      <w:r w:rsidR="00512118">
        <w:tab/>
        <w:t xml:space="preserve"> Overzicht berekende totale bijdrage in µg/m³ VOS t.h.v. verschillende beoordelingspunten nabij de dichtst bijgelegen woonzones  bij het maximalistisch VOS scenario in de toekomstige situatie (fase 2)</w:t>
      </w:r>
    </w:p>
    <w:tbl>
      <w:tblPr>
        <w:tblW w:w="80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56"/>
        <w:gridCol w:w="1687"/>
        <w:gridCol w:w="1546"/>
        <w:gridCol w:w="1586"/>
        <w:gridCol w:w="1418"/>
      </w:tblGrid>
      <w:tr w:rsidR="00512118" w:rsidRPr="00F2449C" w:rsidTr="00512118">
        <w:trPr>
          <w:trHeight w:val="300"/>
        </w:trPr>
        <w:tc>
          <w:tcPr>
            <w:tcW w:w="1856" w:type="dxa"/>
            <w:vAlign w:val="center"/>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Locatie</w:t>
            </w:r>
          </w:p>
        </w:tc>
        <w:tc>
          <w:tcPr>
            <w:tcW w:w="1687" w:type="dxa"/>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toetsingswaarde</w:t>
            </w:r>
          </w:p>
        </w:tc>
        <w:tc>
          <w:tcPr>
            <w:tcW w:w="1546"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LO (St-Anna)</w:t>
            </w:r>
          </w:p>
        </w:tc>
        <w:tc>
          <w:tcPr>
            <w:tcW w:w="1586"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Kallo</w:t>
            </w:r>
          </w:p>
        </w:tc>
        <w:tc>
          <w:tcPr>
            <w:tcW w:w="1418"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Ekeren</w:t>
            </w:r>
          </w:p>
        </w:tc>
      </w:tr>
      <w:tr w:rsidR="00512118" w:rsidRPr="00F2449C" w:rsidTr="00512118">
        <w:trPr>
          <w:trHeight w:val="300"/>
        </w:trPr>
        <w:tc>
          <w:tcPr>
            <w:tcW w:w="1856" w:type="dxa"/>
            <w:vAlign w:val="center"/>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Windrichting</w:t>
            </w:r>
          </w:p>
        </w:tc>
        <w:tc>
          <w:tcPr>
            <w:tcW w:w="1687" w:type="dxa"/>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 </w:t>
            </w:r>
          </w:p>
        </w:tc>
        <w:tc>
          <w:tcPr>
            <w:tcW w:w="1546"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Ten ZO</w:t>
            </w:r>
          </w:p>
        </w:tc>
        <w:tc>
          <w:tcPr>
            <w:tcW w:w="1586"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Ten W</w:t>
            </w:r>
          </w:p>
        </w:tc>
        <w:tc>
          <w:tcPr>
            <w:tcW w:w="1418"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Ten NO</w:t>
            </w:r>
          </w:p>
        </w:tc>
      </w:tr>
      <w:tr w:rsidR="00512118" w:rsidRPr="00F2449C" w:rsidTr="00512118">
        <w:trPr>
          <w:trHeight w:val="300"/>
        </w:trPr>
        <w:tc>
          <w:tcPr>
            <w:tcW w:w="1856" w:type="dxa"/>
            <w:vAlign w:val="center"/>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coördinaten</w:t>
            </w:r>
          </w:p>
        </w:tc>
        <w:tc>
          <w:tcPr>
            <w:tcW w:w="1687" w:type="dxa"/>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 </w:t>
            </w:r>
          </w:p>
        </w:tc>
        <w:tc>
          <w:tcPr>
            <w:tcW w:w="1546"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151.500;213.900</w:t>
            </w:r>
          </w:p>
        </w:tc>
        <w:tc>
          <w:tcPr>
            <w:tcW w:w="1586"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144.300;215.900</w:t>
            </w:r>
          </w:p>
        </w:tc>
        <w:tc>
          <w:tcPr>
            <w:tcW w:w="1418"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153.200;218.400</w:t>
            </w:r>
          </w:p>
        </w:tc>
      </w:tr>
      <w:tr w:rsidR="00512118" w:rsidRPr="00F2449C" w:rsidTr="00512118">
        <w:trPr>
          <w:trHeight w:val="300"/>
        </w:trPr>
        <w:tc>
          <w:tcPr>
            <w:tcW w:w="1856" w:type="dxa"/>
            <w:vAlign w:val="center"/>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Toekomstige situatie fase 2</w:t>
            </w:r>
            <w:r>
              <w:rPr>
                <w:rFonts w:asciiTheme="minorHAnsi" w:hAnsiTheme="minorHAnsi" w:cstheme="minorHAnsi"/>
                <w:sz w:val="18"/>
                <w:szCs w:val="18"/>
                <w:lang w:val="nl-NL" w:eastAsia="nl-NL"/>
              </w:rPr>
              <w:t>, µg/m³</w:t>
            </w:r>
          </w:p>
        </w:tc>
        <w:tc>
          <w:tcPr>
            <w:tcW w:w="1687" w:type="dxa"/>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150</w:t>
            </w:r>
          </w:p>
        </w:tc>
        <w:tc>
          <w:tcPr>
            <w:tcW w:w="1546"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0,7</w:t>
            </w:r>
          </w:p>
        </w:tc>
        <w:tc>
          <w:tcPr>
            <w:tcW w:w="1586"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0,2</w:t>
            </w:r>
          </w:p>
        </w:tc>
        <w:tc>
          <w:tcPr>
            <w:tcW w:w="1418"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lang w:val="nl-NL" w:eastAsia="nl-NL"/>
              </w:rPr>
            </w:pPr>
            <w:r>
              <w:rPr>
                <w:sz w:val="18"/>
                <w:szCs w:val="18"/>
              </w:rPr>
              <w:t>0,5</w:t>
            </w:r>
          </w:p>
        </w:tc>
      </w:tr>
      <w:tr w:rsidR="00512118" w:rsidRPr="00F2449C" w:rsidTr="00512118">
        <w:trPr>
          <w:trHeight w:val="300"/>
        </w:trPr>
        <w:tc>
          <w:tcPr>
            <w:tcW w:w="1856" w:type="dxa"/>
            <w:vAlign w:val="center"/>
          </w:tcPr>
          <w:p w:rsidR="00512118" w:rsidRPr="00E37235" w:rsidRDefault="00512118" w:rsidP="008D2943">
            <w:pPr>
              <w:keepNext/>
              <w:spacing w:before="0" w:after="0" w:line="240" w:lineRule="auto"/>
              <w:rPr>
                <w:rFonts w:asciiTheme="minorHAnsi" w:hAnsiTheme="minorHAnsi" w:cstheme="minorHAnsi"/>
                <w:sz w:val="18"/>
                <w:szCs w:val="18"/>
                <w:lang w:val="nl-NL" w:eastAsia="nl-NL"/>
              </w:rPr>
            </w:pPr>
            <w:r>
              <w:rPr>
                <w:rFonts w:asciiTheme="minorHAnsi" w:hAnsiTheme="minorHAnsi" w:cstheme="minorHAnsi"/>
                <w:sz w:val="18"/>
                <w:szCs w:val="18"/>
                <w:lang w:val="nl-NL" w:eastAsia="nl-NL"/>
              </w:rPr>
              <w:t>Globale impact van fase 2 , in % t.o.v. indicatieve doelstelling</w:t>
            </w:r>
          </w:p>
        </w:tc>
        <w:tc>
          <w:tcPr>
            <w:tcW w:w="1687" w:type="dxa"/>
            <w:vAlign w:val="bottom"/>
          </w:tcPr>
          <w:p w:rsidR="00512118" w:rsidRPr="00E37235" w:rsidRDefault="00512118" w:rsidP="008D2943">
            <w:pPr>
              <w:keepNext/>
              <w:spacing w:before="0" w:after="0" w:line="240" w:lineRule="auto"/>
              <w:jc w:val="center"/>
              <w:rPr>
                <w:rFonts w:asciiTheme="minorHAnsi" w:hAnsiTheme="minorHAnsi" w:cstheme="minorHAnsi"/>
                <w:sz w:val="18"/>
                <w:szCs w:val="18"/>
              </w:rPr>
            </w:pPr>
            <w:r>
              <w:t> </w:t>
            </w:r>
          </w:p>
        </w:tc>
        <w:tc>
          <w:tcPr>
            <w:tcW w:w="1546"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rPr>
            </w:pPr>
            <w:r>
              <w:t>0,5</w:t>
            </w:r>
          </w:p>
        </w:tc>
        <w:tc>
          <w:tcPr>
            <w:tcW w:w="1586"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rPr>
            </w:pPr>
            <w:r>
              <w:t>0,1</w:t>
            </w:r>
          </w:p>
        </w:tc>
        <w:tc>
          <w:tcPr>
            <w:tcW w:w="1418" w:type="dxa"/>
            <w:shd w:val="clear" w:color="auto" w:fill="auto"/>
            <w:noWrap/>
            <w:vAlign w:val="bottom"/>
            <w:hideMark/>
          </w:tcPr>
          <w:p w:rsidR="00512118" w:rsidRPr="00E37235" w:rsidRDefault="00512118" w:rsidP="008D2943">
            <w:pPr>
              <w:keepNext/>
              <w:spacing w:before="0" w:after="0" w:line="240" w:lineRule="auto"/>
              <w:jc w:val="center"/>
              <w:rPr>
                <w:rFonts w:asciiTheme="minorHAnsi" w:hAnsiTheme="minorHAnsi" w:cstheme="minorHAnsi"/>
                <w:sz w:val="18"/>
                <w:szCs w:val="18"/>
              </w:rPr>
            </w:pPr>
            <w:r>
              <w:t>0,3</w:t>
            </w:r>
          </w:p>
        </w:tc>
      </w:tr>
    </w:tbl>
    <w:p w:rsidR="00512118" w:rsidRDefault="00512118" w:rsidP="00E37235">
      <w:pPr>
        <w:keepNext/>
        <w:rPr>
          <w:lang w:val="nl-NL"/>
        </w:rPr>
      </w:pPr>
    </w:p>
    <w:p w:rsidR="004E5238" w:rsidRDefault="005B5D40" w:rsidP="004E5238">
      <w:pPr>
        <w:keepNext/>
      </w:pPr>
      <w:r>
        <w:rPr>
          <w:noProof/>
        </w:rPr>
        <w:drawing>
          <wp:inline distT="0" distB="0" distL="0" distR="0">
            <wp:extent cx="5733415" cy="4096233"/>
            <wp:effectExtent l="0" t="0" r="0" b="0"/>
            <wp:docPr id="2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cstate="print"/>
                    <a:srcRect/>
                    <a:stretch>
                      <a:fillRect/>
                    </a:stretch>
                  </pic:blipFill>
                  <pic:spPr bwMode="auto">
                    <a:xfrm>
                      <a:off x="0" y="0"/>
                      <a:ext cx="5733415" cy="4096233"/>
                    </a:xfrm>
                    <a:prstGeom prst="rect">
                      <a:avLst/>
                    </a:prstGeom>
                    <a:noFill/>
                    <a:ln w="9525">
                      <a:noFill/>
                      <a:miter lim="800000"/>
                      <a:headEnd/>
                      <a:tailEnd/>
                    </a:ln>
                  </pic:spPr>
                </pic:pic>
              </a:graphicData>
            </a:graphic>
          </wp:inline>
        </w:drawing>
      </w:r>
    </w:p>
    <w:p w:rsidR="005B5D40" w:rsidRDefault="004E5238" w:rsidP="004E5238">
      <w:pPr>
        <w:pStyle w:val="Caption"/>
        <w:rPr>
          <w:lang w:val="nl-NL"/>
        </w:rPr>
      </w:pPr>
      <w:r>
        <w:t xml:space="preserve">Figuur </w:t>
      </w:r>
      <w:r w:rsidR="00C325A0">
        <w:fldChar w:fldCharType="begin"/>
      </w:r>
      <w:r w:rsidR="003B3869">
        <w:instrText xml:space="preserve"> REF f_lucht_impact_max_verg \h </w:instrText>
      </w:r>
      <w:r w:rsidR="00C325A0">
        <w:fldChar w:fldCharType="separate"/>
      </w:r>
      <w:r w:rsidR="008102D8">
        <w:t>VIII.2.4.A</w:t>
      </w:r>
      <w:r w:rsidR="00C325A0">
        <w:fldChar w:fldCharType="end"/>
      </w:r>
      <w:r>
        <w:t xml:space="preserve"> Weergave van modelleringresultaten voor VOS emissies in het maximalistisch scenario voor actueel vergunde situatie</w:t>
      </w:r>
    </w:p>
    <w:p w:rsidR="003B3869" w:rsidRDefault="005B5D40" w:rsidP="003B3869">
      <w:pPr>
        <w:keepNext/>
      </w:pPr>
      <w:r>
        <w:rPr>
          <w:noProof/>
        </w:rPr>
        <w:lastRenderedPageBreak/>
        <w:drawing>
          <wp:inline distT="0" distB="0" distL="0" distR="0">
            <wp:extent cx="5733415" cy="4096233"/>
            <wp:effectExtent l="0" t="0" r="0" b="0"/>
            <wp:docPr id="2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cstate="print"/>
                    <a:srcRect/>
                    <a:stretch>
                      <a:fillRect/>
                    </a:stretch>
                  </pic:blipFill>
                  <pic:spPr bwMode="auto">
                    <a:xfrm>
                      <a:off x="0" y="0"/>
                      <a:ext cx="5733415" cy="4096233"/>
                    </a:xfrm>
                    <a:prstGeom prst="rect">
                      <a:avLst/>
                    </a:prstGeom>
                    <a:noFill/>
                    <a:ln w="9525">
                      <a:noFill/>
                      <a:miter lim="800000"/>
                      <a:headEnd/>
                      <a:tailEnd/>
                    </a:ln>
                  </pic:spPr>
                </pic:pic>
              </a:graphicData>
            </a:graphic>
          </wp:inline>
        </w:drawing>
      </w:r>
    </w:p>
    <w:p w:rsidR="003B3869" w:rsidRDefault="003B3869" w:rsidP="003B3869">
      <w:pPr>
        <w:pStyle w:val="Caption"/>
      </w:pPr>
      <w:r>
        <w:t xml:space="preserve">Figuur </w:t>
      </w:r>
      <w:r w:rsidR="00C325A0">
        <w:fldChar w:fldCharType="begin"/>
      </w:r>
      <w:r>
        <w:instrText xml:space="preserve"> REF f_lucht_impact_max_fase2 \h </w:instrText>
      </w:r>
      <w:r w:rsidR="00C325A0">
        <w:fldChar w:fldCharType="separate"/>
      </w:r>
      <w:r w:rsidR="008102D8">
        <w:t>VIII.2.4.B</w:t>
      </w:r>
      <w:r w:rsidR="00C325A0">
        <w:fldChar w:fldCharType="end"/>
      </w:r>
      <w:r>
        <w:t xml:space="preserve"> Weergave van modelleringresultaten voor VOS emissies in het maximalistisch scenario voor situatie na fase 2</w:t>
      </w:r>
    </w:p>
    <w:p w:rsidR="005B5D40" w:rsidRPr="003B3869" w:rsidRDefault="005B5D40" w:rsidP="003B3869">
      <w:pPr>
        <w:pStyle w:val="Caption"/>
      </w:pPr>
    </w:p>
    <w:p w:rsidR="005B5D40" w:rsidRDefault="005B5D40" w:rsidP="005B5D40">
      <w:pPr>
        <w:pStyle w:val="Heading5"/>
        <w:jc w:val="left"/>
      </w:pPr>
      <w:bookmarkStart w:id="874" w:name="_Toc196645333"/>
      <w:bookmarkStart w:id="875" w:name="_Ref296435070"/>
      <w:bookmarkStart w:id="876" w:name="_Toc312069305"/>
      <w:r w:rsidRPr="003601F6">
        <w:t xml:space="preserve">Maximalistisch scenario </w:t>
      </w:r>
      <w:r>
        <w:t xml:space="preserve">(zeer) </w:t>
      </w:r>
      <w:r w:rsidRPr="003601F6">
        <w:t xml:space="preserve">giftige en </w:t>
      </w:r>
      <w:r>
        <w:t>CMR-stoffen</w:t>
      </w:r>
      <w:bookmarkEnd w:id="874"/>
      <w:bookmarkEnd w:id="875"/>
      <w:bookmarkEnd w:id="876"/>
    </w:p>
    <w:p w:rsidR="005B5D40" w:rsidRDefault="005B5D40" w:rsidP="005B5D40">
      <w:r>
        <w:rPr>
          <w:lang w:val="nl-NL"/>
        </w:rPr>
        <w:t xml:space="preserve">Op basis van de berekende maximalistisch ingeschatte emissies voor een aantal specifieke stoffen wordt de impact beoordeeld. Hierbij wordt rekening gehouden met een relatief gelijkaardig aandeel in de lekemissies in verhouding tot de totaal berekende emissies/lekemissies. </w:t>
      </w:r>
      <w:r>
        <w:t>In onderstaande tabel wordt een overzicht gegeven van de berekende impact van enkele individuele componenten t.h.v. de beoordelingspunten.</w:t>
      </w:r>
    </w:p>
    <w:p w:rsidR="008D2943" w:rsidRDefault="008D2943" w:rsidP="008D2943">
      <w:r>
        <w:t>Tussen fase 1 en fase 2 is hierbij geen onderscheid gezien voor elke toekomstige fase uitgegaan wordt van dezelfde opgeslagen hoeveelheden.</w:t>
      </w:r>
    </w:p>
    <w:p w:rsidR="008D2943" w:rsidRDefault="008D2943" w:rsidP="005B5D40"/>
    <w:p w:rsidR="009C1E15" w:rsidRDefault="009C1E15" w:rsidP="008D2943">
      <w:pPr>
        <w:pStyle w:val="Caption"/>
        <w:keepNext/>
      </w:pPr>
      <w:r>
        <w:lastRenderedPageBreak/>
        <w:t xml:space="preserve">Tabel </w:t>
      </w:r>
      <w:r w:rsidR="00C325A0">
        <w:fldChar w:fldCharType="begin"/>
      </w:r>
      <w:r>
        <w:instrText xml:space="preserve"> REF t_lucht_TCMR_maximalistisch \h </w:instrText>
      </w:r>
      <w:r w:rsidR="00C325A0">
        <w:fldChar w:fldCharType="separate"/>
      </w:r>
      <w:r w:rsidR="008102D8">
        <w:t>VIII.2.20</w:t>
      </w:r>
      <w:r w:rsidR="00C325A0">
        <w:fldChar w:fldCharType="end"/>
      </w:r>
      <w:r>
        <w:t>.A</w:t>
      </w:r>
      <w:r w:rsidRPr="009C1E15">
        <w:rPr>
          <w:rFonts w:asciiTheme="minorHAnsi" w:hAnsiTheme="minorHAnsi" w:cstheme="minorHAnsi"/>
          <w:sz w:val="18"/>
          <w:szCs w:val="18"/>
        </w:rPr>
        <w:t xml:space="preserve"> </w:t>
      </w:r>
      <w:r w:rsidRPr="00E37235">
        <w:rPr>
          <w:rFonts w:asciiTheme="minorHAnsi" w:hAnsiTheme="minorHAnsi" w:cstheme="minorHAnsi"/>
          <w:sz w:val="18"/>
          <w:szCs w:val="18"/>
        </w:rPr>
        <w:t xml:space="preserve">Overzicht berekende bijdrage </w:t>
      </w:r>
      <w:r w:rsidR="00D84356">
        <w:t xml:space="preserve">in µg/m³ </w:t>
      </w:r>
      <w:r w:rsidRPr="00E37235">
        <w:rPr>
          <w:rFonts w:asciiTheme="minorHAnsi" w:hAnsiTheme="minorHAnsi" w:cstheme="minorHAnsi"/>
          <w:sz w:val="18"/>
          <w:szCs w:val="18"/>
        </w:rPr>
        <w:t xml:space="preserve">giftige en carcinogene producten t.h.v. </w:t>
      </w:r>
      <w:r w:rsidR="00EF24D5">
        <w:rPr>
          <w:rFonts w:asciiTheme="minorHAnsi" w:hAnsiTheme="minorHAnsi" w:cstheme="minorHAnsi"/>
          <w:sz w:val="18"/>
          <w:szCs w:val="18"/>
        </w:rPr>
        <w:t>verschillende beoordelingspunten</w:t>
      </w:r>
      <w:r>
        <w:rPr>
          <w:rFonts w:asciiTheme="minorHAnsi" w:hAnsiTheme="minorHAnsi" w:cstheme="minorHAnsi"/>
          <w:sz w:val="18"/>
          <w:szCs w:val="18"/>
        </w:rPr>
        <w:t xml:space="preserve"> (</w:t>
      </w:r>
      <w:r>
        <w:rPr>
          <w:rFonts w:asciiTheme="minorHAnsi" w:hAnsiTheme="minorHAnsi" w:cstheme="minorHAnsi"/>
          <w:sz w:val="18"/>
          <w:szCs w:val="18"/>
          <w:lang w:val="nl-NL" w:eastAsia="nl-NL"/>
        </w:rPr>
        <w:t>r</w:t>
      </w:r>
      <w:r w:rsidRPr="00E37235">
        <w:rPr>
          <w:rFonts w:asciiTheme="minorHAnsi" w:hAnsiTheme="minorHAnsi" w:cstheme="minorHAnsi"/>
          <w:sz w:val="18"/>
          <w:szCs w:val="18"/>
          <w:lang w:val="nl-NL" w:eastAsia="nl-NL"/>
        </w:rPr>
        <w:t>eferentie situatie</w:t>
      </w:r>
      <w:r>
        <w:rPr>
          <w:rFonts w:asciiTheme="minorHAnsi" w:hAnsiTheme="minorHAnsi" w:cstheme="minorHAnsi"/>
          <w:sz w:val="18"/>
          <w:szCs w:val="18"/>
          <w:lang w:val="nl-NL" w:eastAsia="nl-NL"/>
        </w:rPr>
        <w:t>)</w:t>
      </w:r>
      <w:r w:rsidR="008D2943" w:rsidRPr="008D2943">
        <w:rPr>
          <w:rFonts w:asciiTheme="minorHAnsi" w:hAnsiTheme="minorHAnsi" w:cstheme="minorHAnsi"/>
          <w:sz w:val="18"/>
          <w:szCs w:val="18"/>
        </w:rPr>
        <w:t xml:space="preserve"> </w:t>
      </w:r>
      <w:r w:rsidR="008D2943">
        <w:rPr>
          <w:rFonts w:asciiTheme="minorHAnsi" w:hAnsiTheme="minorHAnsi" w:cstheme="minorHAnsi"/>
          <w:sz w:val="18"/>
          <w:szCs w:val="18"/>
        </w:rPr>
        <w:t>in industriegebied/onmiddellijke omgeving van het bedrijf,</w:t>
      </w:r>
      <w:r w:rsidR="008D2943">
        <w:rPr>
          <w:rFonts w:asciiTheme="minorHAnsi" w:hAnsiTheme="minorHAnsi" w:cstheme="minorHAnsi"/>
          <w:sz w:val="18"/>
          <w:szCs w:val="18"/>
          <w:lang w:val="nl-NL" w:eastAsia="nl-NL"/>
        </w:rPr>
        <w:t xml:space="preserve"> met opgave van de in rekening gebrachte opslaghoeveelheden per stof</w:t>
      </w:r>
    </w:p>
    <w:tbl>
      <w:tblPr>
        <w:tblW w:w="91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40"/>
        <w:gridCol w:w="1412"/>
        <w:gridCol w:w="1396"/>
        <w:gridCol w:w="1396"/>
        <w:gridCol w:w="1396"/>
        <w:gridCol w:w="1372"/>
      </w:tblGrid>
      <w:tr w:rsidR="008D2943" w:rsidRPr="00E37235" w:rsidTr="008D2943">
        <w:trPr>
          <w:trHeight w:val="300"/>
        </w:trPr>
        <w:tc>
          <w:tcPr>
            <w:tcW w:w="9112" w:type="dxa"/>
            <w:gridSpan w:val="6"/>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b/>
                <w:caps/>
                <w:color w:val="808080"/>
                <w:spacing w:val="26"/>
                <w:kern w:val="28"/>
                <w:sz w:val="18"/>
                <w:szCs w:val="18"/>
                <w:lang w:val="nl-NL" w:eastAsia="nl-NL"/>
              </w:rPr>
            </w:pPr>
            <w:r w:rsidRPr="00E37235">
              <w:rPr>
                <w:rFonts w:asciiTheme="minorHAnsi" w:hAnsiTheme="minorHAnsi" w:cstheme="minorHAnsi"/>
                <w:sz w:val="18"/>
                <w:szCs w:val="18"/>
                <w:lang w:val="nl-NL" w:eastAsia="nl-NL"/>
              </w:rPr>
              <w:t>Referentie situatie</w:t>
            </w:r>
          </w:p>
        </w:tc>
      </w:tr>
      <w:tr w:rsidR="008D2943" w:rsidRPr="00E37235" w:rsidTr="008D2943">
        <w:trPr>
          <w:trHeight w:val="300"/>
        </w:trPr>
        <w:tc>
          <w:tcPr>
            <w:tcW w:w="2140" w:type="dxa"/>
            <w:shd w:val="clear" w:color="auto" w:fill="auto"/>
            <w:noWrap/>
            <w:vAlign w:val="center"/>
            <w:hideMark/>
          </w:tcPr>
          <w:p w:rsidR="00F077DA" w:rsidRDefault="008D2943" w:rsidP="00F077DA">
            <w:pPr>
              <w:keepNext/>
              <w:spacing w:before="0" w:after="0" w:line="240" w:lineRule="auto"/>
              <w:rPr>
                <w:rFonts w:asciiTheme="minorHAnsi" w:hAnsiTheme="minorHAnsi" w:cstheme="minorHAnsi"/>
                <w:b/>
                <w:caps/>
                <w:color w:val="808080"/>
                <w:spacing w:val="26"/>
                <w:kern w:val="28"/>
                <w:sz w:val="18"/>
                <w:szCs w:val="18"/>
                <w:lang w:val="nl" w:eastAsia="nl-NL"/>
              </w:rPr>
            </w:pPr>
            <w:r w:rsidRPr="00E37235">
              <w:rPr>
                <w:rFonts w:asciiTheme="minorHAnsi" w:hAnsiTheme="minorHAnsi" w:cstheme="minorHAnsi"/>
                <w:sz w:val="18"/>
                <w:szCs w:val="18"/>
                <w:lang w:val="nl-NL" w:eastAsia="nl-NL"/>
              </w:rPr>
              <w:t>Locatie</w:t>
            </w:r>
          </w:p>
        </w:tc>
        <w:tc>
          <w:tcPr>
            <w:tcW w:w="1412" w:type="dxa"/>
            <w:shd w:val="clear" w:color="auto" w:fill="auto"/>
            <w:noWrap/>
            <w:vAlign w:val="center"/>
            <w:hideMark/>
          </w:tcPr>
          <w:p w:rsidR="00F077DA" w:rsidRDefault="008D2943" w:rsidP="00F077DA">
            <w:pPr>
              <w:keepNext/>
              <w:spacing w:before="0" w:after="0" w:line="240" w:lineRule="auto"/>
              <w:jc w:val="center"/>
              <w:rPr>
                <w:rFonts w:asciiTheme="minorHAnsi" w:hAnsiTheme="minorHAnsi" w:cstheme="minorHAnsi"/>
                <w:b/>
                <w:caps/>
                <w:color w:val="808080"/>
                <w:spacing w:val="26"/>
                <w:kern w:val="28"/>
                <w:sz w:val="18"/>
                <w:szCs w:val="18"/>
                <w:lang w:val="nl-NL" w:eastAsia="nl-NL"/>
              </w:rPr>
            </w:pPr>
            <w:r w:rsidRPr="00E37235">
              <w:rPr>
                <w:rFonts w:asciiTheme="minorHAnsi" w:hAnsiTheme="minorHAnsi" w:cstheme="minorHAnsi"/>
                <w:sz w:val="18"/>
                <w:szCs w:val="18"/>
                <w:lang w:val="nl-NL" w:eastAsia="nl-NL"/>
              </w:rPr>
              <w:t>Polderdijkweg</w:t>
            </w:r>
          </w:p>
        </w:tc>
        <w:tc>
          <w:tcPr>
            <w:tcW w:w="1396" w:type="dxa"/>
            <w:shd w:val="clear" w:color="auto" w:fill="auto"/>
            <w:noWrap/>
            <w:vAlign w:val="center"/>
            <w:hideMark/>
          </w:tcPr>
          <w:p w:rsidR="00F077DA" w:rsidRDefault="008D2943" w:rsidP="00F077DA">
            <w:pPr>
              <w:keepNext/>
              <w:spacing w:before="0" w:after="0" w:line="240" w:lineRule="auto"/>
              <w:jc w:val="center"/>
              <w:rPr>
                <w:rFonts w:asciiTheme="minorHAnsi" w:hAnsiTheme="minorHAnsi" w:cstheme="minorHAnsi"/>
                <w:b/>
                <w:caps/>
                <w:color w:val="808080"/>
                <w:spacing w:val="26"/>
                <w:kern w:val="28"/>
                <w:sz w:val="18"/>
                <w:szCs w:val="18"/>
                <w:lang w:val="nl-NL" w:eastAsia="nl-NL"/>
              </w:rPr>
            </w:pPr>
            <w:r w:rsidRPr="00E37235">
              <w:rPr>
                <w:rFonts w:asciiTheme="minorHAnsi" w:hAnsiTheme="minorHAnsi" w:cstheme="minorHAnsi"/>
                <w:sz w:val="18"/>
                <w:szCs w:val="18"/>
                <w:lang w:val="nl-NL" w:eastAsia="nl-NL"/>
              </w:rPr>
              <w:t>Scheldelaan</w:t>
            </w:r>
          </w:p>
        </w:tc>
        <w:tc>
          <w:tcPr>
            <w:tcW w:w="1396" w:type="dxa"/>
            <w:shd w:val="clear" w:color="auto" w:fill="auto"/>
            <w:noWrap/>
            <w:vAlign w:val="center"/>
            <w:hideMark/>
          </w:tcPr>
          <w:p w:rsidR="00F077DA" w:rsidRDefault="00F077DA" w:rsidP="00F077DA">
            <w:pPr>
              <w:keepNext/>
              <w:spacing w:before="0" w:after="0" w:line="240" w:lineRule="auto"/>
              <w:jc w:val="center"/>
              <w:rPr>
                <w:rFonts w:asciiTheme="minorHAnsi" w:hAnsiTheme="minorHAnsi" w:cstheme="minorHAnsi"/>
                <w:sz w:val="18"/>
                <w:szCs w:val="18"/>
                <w:lang w:val="nl-NL" w:eastAsia="nl-NL"/>
              </w:rPr>
            </w:pPr>
          </w:p>
        </w:tc>
        <w:tc>
          <w:tcPr>
            <w:tcW w:w="1396" w:type="dxa"/>
            <w:shd w:val="clear" w:color="auto" w:fill="auto"/>
            <w:noWrap/>
            <w:vAlign w:val="center"/>
            <w:hideMark/>
          </w:tcPr>
          <w:p w:rsidR="00F077DA" w:rsidRDefault="00F077DA" w:rsidP="00F077DA">
            <w:pPr>
              <w:keepNext/>
              <w:spacing w:before="0" w:after="0" w:line="240" w:lineRule="auto"/>
              <w:jc w:val="center"/>
              <w:rPr>
                <w:rFonts w:asciiTheme="minorHAnsi" w:hAnsiTheme="minorHAnsi" w:cstheme="minorHAnsi"/>
                <w:sz w:val="18"/>
                <w:szCs w:val="18"/>
                <w:lang w:val="nl-NL" w:eastAsia="nl-NL"/>
              </w:rPr>
            </w:pPr>
          </w:p>
        </w:tc>
        <w:tc>
          <w:tcPr>
            <w:tcW w:w="1372" w:type="dxa"/>
            <w:vAlign w:val="center"/>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Opslag-hoeveelheden</w:t>
            </w:r>
          </w:p>
        </w:tc>
      </w:tr>
      <w:tr w:rsidR="008D2943" w:rsidRPr="00E37235" w:rsidTr="008D2943">
        <w:trPr>
          <w:trHeight w:val="300"/>
        </w:trPr>
        <w:tc>
          <w:tcPr>
            <w:tcW w:w="2140" w:type="dxa"/>
            <w:shd w:val="clear" w:color="auto" w:fill="auto"/>
            <w:noWrap/>
            <w:vAlign w:val="center"/>
            <w:hideMark/>
          </w:tcPr>
          <w:p w:rsidR="00F077DA" w:rsidRDefault="008D2943" w:rsidP="00F077DA">
            <w:pPr>
              <w:keepNext/>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Windrichting</w:t>
            </w:r>
          </w:p>
        </w:tc>
        <w:tc>
          <w:tcPr>
            <w:tcW w:w="1412" w:type="dxa"/>
            <w:shd w:val="clear" w:color="auto" w:fill="auto"/>
            <w:noWrap/>
            <w:vAlign w:val="center"/>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Ten NW</w:t>
            </w:r>
          </w:p>
        </w:tc>
        <w:tc>
          <w:tcPr>
            <w:tcW w:w="1396" w:type="dxa"/>
            <w:shd w:val="clear" w:color="auto" w:fill="auto"/>
            <w:noWrap/>
            <w:vAlign w:val="center"/>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ZW</w:t>
            </w:r>
          </w:p>
        </w:tc>
        <w:tc>
          <w:tcPr>
            <w:tcW w:w="1396" w:type="dxa"/>
            <w:shd w:val="clear" w:color="auto" w:fill="auto"/>
            <w:noWrap/>
            <w:vAlign w:val="center"/>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N</w:t>
            </w:r>
          </w:p>
        </w:tc>
        <w:tc>
          <w:tcPr>
            <w:tcW w:w="1396" w:type="dxa"/>
            <w:shd w:val="clear" w:color="auto" w:fill="auto"/>
            <w:noWrap/>
            <w:vAlign w:val="center"/>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O</w:t>
            </w:r>
          </w:p>
        </w:tc>
        <w:tc>
          <w:tcPr>
            <w:tcW w:w="1372" w:type="dxa"/>
            <w:vAlign w:val="center"/>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ton</w:t>
            </w:r>
          </w:p>
        </w:tc>
      </w:tr>
      <w:tr w:rsidR="008D2943" w:rsidRPr="00E37235" w:rsidTr="008D2943">
        <w:trPr>
          <w:trHeight w:val="300"/>
        </w:trPr>
        <w:tc>
          <w:tcPr>
            <w:tcW w:w="2140" w:type="dxa"/>
            <w:shd w:val="clear" w:color="auto" w:fill="auto"/>
            <w:noWrap/>
            <w:vAlign w:val="center"/>
            <w:hideMark/>
          </w:tcPr>
          <w:p w:rsidR="00F077DA" w:rsidRDefault="008D2943" w:rsidP="00F077DA">
            <w:pPr>
              <w:keepNext/>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coördinaten</w:t>
            </w:r>
          </w:p>
        </w:tc>
        <w:tc>
          <w:tcPr>
            <w:tcW w:w="1412" w:type="dxa"/>
            <w:shd w:val="clear" w:color="auto" w:fill="auto"/>
            <w:noWrap/>
            <w:vAlign w:val="center"/>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148350;216000</w:t>
            </w:r>
          </w:p>
        </w:tc>
        <w:tc>
          <w:tcPr>
            <w:tcW w:w="1396" w:type="dxa"/>
            <w:shd w:val="clear" w:color="auto" w:fill="auto"/>
            <w:noWrap/>
            <w:vAlign w:val="center"/>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148500;215200</w:t>
            </w:r>
          </w:p>
        </w:tc>
        <w:tc>
          <w:tcPr>
            <w:tcW w:w="1396" w:type="dxa"/>
            <w:shd w:val="clear" w:color="auto" w:fill="auto"/>
            <w:noWrap/>
            <w:vAlign w:val="center"/>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148900;215050</w:t>
            </w:r>
          </w:p>
        </w:tc>
        <w:tc>
          <w:tcPr>
            <w:tcW w:w="1396" w:type="dxa"/>
            <w:shd w:val="clear" w:color="auto" w:fill="auto"/>
            <w:noWrap/>
            <w:vAlign w:val="center"/>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149600;215450</w:t>
            </w:r>
          </w:p>
        </w:tc>
        <w:tc>
          <w:tcPr>
            <w:tcW w:w="1372" w:type="dxa"/>
            <w:vAlign w:val="center"/>
          </w:tcPr>
          <w:p w:rsidR="00F077DA" w:rsidRDefault="00F077DA" w:rsidP="00F077DA">
            <w:pPr>
              <w:keepNext/>
              <w:spacing w:before="0" w:after="0" w:line="240" w:lineRule="auto"/>
              <w:jc w:val="center"/>
              <w:rPr>
                <w:rFonts w:asciiTheme="minorHAnsi" w:hAnsiTheme="minorHAnsi" w:cstheme="minorHAnsi"/>
                <w:sz w:val="18"/>
                <w:szCs w:val="18"/>
                <w:lang w:val="nl-NL" w:eastAsia="nl-NL"/>
              </w:rPr>
            </w:pPr>
          </w:p>
        </w:tc>
      </w:tr>
      <w:tr w:rsidR="008D2943" w:rsidRPr="00E37235" w:rsidTr="008D2943">
        <w:trPr>
          <w:trHeight w:val="300"/>
        </w:trPr>
        <w:tc>
          <w:tcPr>
            <w:tcW w:w="2140" w:type="dxa"/>
            <w:shd w:val="clear" w:color="auto" w:fill="auto"/>
            <w:noWrap/>
            <w:vAlign w:val="bottom"/>
            <w:hideMark/>
          </w:tcPr>
          <w:p w:rsidR="00F077DA" w:rsidRDefault="008D2943" w:rsidP="00F077DA">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crotonaldehyde</w:t>
            </w:r>
          </w:p>
        </w:tc>
        <w:tc>
          <w:tcPr>
            <w:tcW w:w="1412"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0,05</w:t>
            </w:r>
          </w:p>
        </w:tc>
        <w:tc>
          <w:tcPr>
            <w:tcW w:w="1396"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0,12</w:t>
            </w:r>
          </w:p>
        </w:tc>
        <w:tc>
          <w:tcPr>
            <w:tcW w:w="1396"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0,13</w:t>
            </w:r>
          </w:p>
        </w:tc>
        <w:tc>
          <w:tcPr>
            <w:tcW w:w="1396"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0,16</w:t>
            </w:r>
          </w:p>
        </w:tc>
        <w:tc>
          <w:tcPr>
            <w:tcW w:w="1372" w:type="dxa"/>
            <w:vAlign w:val="bottom"/>
          </w:tcPr>
          <w:p w:rsidR="00F077DA" w:rsidRDefault="008D2943" w:rsidP="00F077DA">
            <w:pPr>
              <w:keepNext/>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8.000</w:t>
            </w:r>
          </w:p>
        </w:tc>
      </w:tr>
      <w:tr w:rsidR="008D2943" w:rsidRPr="00E37235" w:rsidTr="008D2943">
        <w:trPr>
          <w:trHeight w:val="300"/>
        </w:trPr>
        <w:tc>
          <w:tcPr>
            <w:tcW w:w="2140" w:type="dxa"/>
            <w:shd w:val="clear" w:color="auto" w:fill="auto"/>
            <w:noWrap/>
            <w:vAlign w:val="bottom"/>
            <w:hideMark/>
          </w:tcPr>
          <w:p w:rsidR="00F077DA" w:rsidRDefault="008D2943" w:rsidP="00F077DA">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benzeen</w:t>
            </w:r>
          </w:p>
        </w:tc>
        <w:tc>
          <w:tcPr>
            <w:tcW w:w="1412"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w:t>
            </w:r>
          </w:p>
        </w:tc>
        <w:tc>
          <w:tcPr>
            <w:tcW w:w="1396"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w:t>
            </w:r>
          </w:p>
        </w:tc>
        <w:tc>
          <w:tcPr>
            <w:tcW w:w="1396"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w:t>
            </w:r>
          </w:p>
        </w:tc>
        <w:tc>
          <w:tcPr>
            <w:tcW w:w="1396"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w:t>
            </w:r>
          </w:p>
        </w:tc>
        <w:tc>
          <w:tcPr>
            <w:tcW w:w="1372" w:type="dxa"/>
            <w:vAlign w:val="bottom"/>
          </w:tcPr>
          <w:p w:rsidR="00F077DA" w:rsidRDefault="008D2943" w:rsidP="00F077DA">
            <w:pPr>
              <w:keepNext/>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0</w:t>
            </w:r>
          </w:p>
        </w:tc>
      </w:tr>
      <w:tr w:rsidR="008D2943" w:rsidRPr="00E37235" w:rsidTr="008D2943">
        <w:trPr>
          <w:trHeight w:val="300"/>
        </w:trPr>
        <w:tc>
          <w:tcPr>
            <w:tcW w:w="2140" w:type="dxa"/>
            <w:shd w:val="clear" w:color="auto" w:fill="auto"/>
            <w:noWrap/>
            <w:vAlign w:val="bottom"/>
            <w:hideMark/>
          </w:tcPr>
          <w:p w:rsidR="00F077DA" w:rsidRDefault="008D2943" w:rsidP="00F077DA">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chloroform</w:t>
            </w:r>
          </w:p>
        </w:tc>
        <w:tc>
          <w:tcPr>
            <w:tcW w:w="1412"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0,30</w:t>
            </w:r>
          </w:p>
        </w:tc>
        <w:tc>
          <w:tcPr>
            <w:tcW w:w="1396"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0,70</w:t>
            </w:r>
          </w:p>
        </w:tc>
        <w:tc>
          <w:tcPr>
            <w:tcW w:w="1396"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0,75</w:t>
            </w:r>
          </w:p>
        </w:tc>
        <w:tc>
          <w:tcPr>
            <w:tcW w:w="1396"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0,95</w:t>
            </w:r>
          </w:p>
        </w:tc>
        <w:tc>
          <w:tcPr>
            <w:tcW w:w="1372" w:type="dxa"/>
            <w:vAlign w:val="bottom"/>
          </w:tcPr>
          <w:p w:rsidR="00F077DA" w:rsidRDefault="008D2943" w:rsidP="00F077DA">
            <w:pPr>
              <w:keepNext/>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8.000</w:t>
            </w:r>
          </w:p>
        </w:tc>
      </w:tr>
      <w:tr w:rsidR="008D2943" w:rsidRPr="00E37235" w:rsidTr="008D2943">
        <w:trPr>
          <w:trHeight w:val="300"/>
        </w:trPr>
        <w:tc>
          <w:tcPr>
            <w:tcW w:w="2140" w:type="dxa"/>
            <w:shd w:val="clear" w:color="auto" w:fill="auto"/>
            <w:noWrap/>
            <w:vAlign w:val="bottom"/>
            <w:hideMark/>
          </w:tcPr>
          <w:p w:rsidR="00F077DA" w:rsidRDefault="008D2943" w:rsidP="00F077DA">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tetrachloorkoolstof</w:t>
            </w:r>
          </w:p>
        </w:tc>
        <w:tc>
          <w:tcPr>
            <w:tcW w:w="1412"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0,17</w:t>
            </w:r>
          </w:p>
        </w:tc>
        <w:tc>
          <w:tcPr>
            <w:tcW w:w="1396"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0,40</w:t>
            </w:r>
          </w:p>
        </w:tc>
        <w:tc>
          <w:tcPr>
            <w:tcW w:w="1396"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0,43</w:t>
            </w:r>
          </w:p>
        </w:tc>
        <w:tc>
          <w:tcPr>
            <w:tcW w:w="1396" w:type="dxa"/>
            <w:shd w:val="clear" w:color="auto" w:fill="auto"/>
            <w:noWrap/>
            <w:vAlign w:val="bottom"/>
            <w:hideMark/>
          </w:tcPr>
          <w:p w:rsidR="00F077DA" w:rsidRDefault="008D2943"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0,54</w:t>
            </w:r>
          </w:p>
        </w:tc>
        <w:tc>
          <w:tcPr>
            <w:tcW w:w="1372" w:type="dxa"/>
            <w:vAlign w:val="bottom"/>
          </w:tcPr>
          <w:p w:rsidR="00F077DA" w:rsidRDefault="008D2943" w:rsidP="00F077DA">
            <w:pPr>
              <w:keepNext/>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8.000</w:t>
            </w:r>
          </w:p>
        </w:tc>
      </w:tr>
    </w:tbl>
    <w:p w:rsidR="004D60A6" w:rsidRDefault="004D60A6" w:rsidP="009C1E15">
      <w:pPr>
        <w:pStyle w:val="Caption"/>
        <w:keepNext/>
      </w:pPr>
    </w:p>
    <w:p w:rsidR="009C1E15" w:rsidRDefault="009C1E15" w:rsidP="009C1E15">
      <w:pPr>
        <w:pStyle w:val="Caption"/>
        <w:keepNext/>
      </w:pPr>
      <w:r>
        <w:t xml:space="preserve">Tabel </w:t>
      </w:r>
      <w:r w:rsidR="00C325A0">
        <w:fldChar w:fldCharType="begin"/>
      </w:r>
      <w:r>
        <w:instrText xml:space="preserve"> REF t_lucht_TCMR_maximalistisch \h </w:instrText>
      </w:r>
      <w:r w:rsidR="00C325A0">
        <w:fldChar w:fldCharType="separate"/>
      </w:r>
      <w:r w:rsidR="008102D8">
        <w:t>VIII.2.20</w:t>
      </w:r>
      <w:r w:rsidR="00C325A0">
        <w:fldChar w:fldCharType="end"/>
      </w:r>
      <w:r w:rsidR="00644C21">
        <w:t>.B</w:t>
      </w:r>
      <w:r w:rsidRPr="009C1E15">
        <w:rPr>
          <w:rFonts w:asciiTheme="minorHAnsi" w:hAnsiTheme="minorHAnsi" w:cstheme="minorHAnsi"/>
          <w:sz w:val="18"/>
          <w:szCs w:val="18"/>
        </w:rPr>
        <w:t xml:space="preserve"> </w:t>
      </w:r>
      <w:r w:rsidRPr="00E37235">
        <w:rPr>
          <w:rFonts w:asciiTheme="minorHAnsi" w:hAnsiTheme="minorHAnsi" w:cstheme="minorHAnsi"/>
          <w:sz w:val="18"/>
          <w:szCs w:val="18"/>
        </w:rPr>
        <w:t xml:space="preserve">Overzicht berekende </w:t>
      </w:r>
      <w:r w:rsidR="008D2943">
        <w:rPr>
          <w:rFonts w:asciiTheme="minorHAnsi" w:hAnsiTheme="minorHAnsi" w:cstheme="minorHAnsi"/>
          <w:sz w:val="18"/>
          <w:szCs w:val="18"/>
        </w:rPr>
        <w:t xml:space="preserve">totale </w:t>
      </w:r>
      <w:r w:rsidRPr="00E37235">
        <w:rPr>
          <w:rFonts w:asciiTheme="minorHAnsi" w:hAnsiTheme="minorHAnsi" w:cstheme="minorHAnsi"/>
          <w:sz w:val="18"/>
          <w:szCs w:val="18"/>
        </w:rPr>
        <w:t xml:space="preserve">bijdrage </w:t>
      </w:r>
      <w:r w:rsidR="00D84356">
        <w:t xml:space="preserve">in µg/m³ </w:t>
      </w:r>
      <w:r w:rsidRPr="00E37235">
        <w:rPr>
          <w:rFonts w:asciiTheme="minorHAnsi" w:hAnsiTheme="minorHAnsi" w:cstheme="minorHAnsi"/>
          <w:sz w:val="18"/>
          <w:szCs w:val="18"/>
        </w:rPr>
        <w:t xml:space="preserve">giftige en carcinogene producten t.h.v. </w:t>
      </w:r>
      <w:r w:rsidR="00EF24D5">
        <w:rPr>
          <w:rFonts w:asciiTheme="minorHAnsi" w:hAnsiTheme="minorHAnsi" w:cstheme="minorHAnsi"/>
          <w:sz w:val="18"/>
          <w:szCs w:val="18"/>
        </w:rPr>
        <w:t xml:space="preserve">verschillende beoordelingspunten </w:t>
      </w:r>
      <w:r w:rsidR="004D60A6">
        <w:rPr>
          <w:rFonts w:asciiTheme="minorHAnsi" w:hAnsiTheme="minorHAnsi" w:cstheme="minorHAnsi"/>
          <w:sz w:val="18"/>
          <w:szCs w:val="18"/>
        </w:rPr>
        <w:t>in industriegebied/onmiddellijke omgeving van het bedrijf (</w:t>
      </w:r>
      <w:r w:rsidR="004D60A6">
        <w:rPr>
          <w:rFonts w:asciiTheme="minorHAnsi" w:hAnsiTheme="minorHAnsi" w:cstheme="minorHAnsi"/>
          <w:sz w:val="18"/>
          <w:szCs w:val="18"/>
          <w:lang w:val="nl-NL" w:eastAsia="nl-NL"/>
        </w:rPr>
        <w:t>toekomstige</w:t>
      </w:r>
      <w:r w:rsidR="004D60A6" w:rsidRPr="00E37235">
        <w:rPr>
          <w:rFonts w:asciiTheme="minorHAnsi" w:hAnsiTheme="minorHAnsi" w:cstheme="minorHAnsi"/>
          <w:sz w:val="18"/>
          <w:szCs w:val="18"/>
          <w:lang w:val="nl-NL" w:eastAsia="nl-NL"/>
        </w:rPr>
        <w:t xml:space="preserve"> situatie</w:t>
      </w:r>
      <w:r w:rsidR="004D60A6">
        <w:rPr>
          <w:rFonts w:asciiTheme="minorHAnsi" w:hAnsiTheme="minorHAnsi" w:cstheme="minorHAnsi"/>
          <w:sz w:val="18"/>
          <w:szCs w:val="18"/>
          <w:lang w:val="nl-NL" w:eastAsia="nl-NL"/>
        </w:rPr>
        <w:t>, fase 1 en 2)</w:t>
      </w:r>
    </w:p>
    <w:tbl>
      <w:tblPr>
        <w:tblW w:w="91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40"/>
        <w:gridCol w:w="1412"/>
        <w:gridCol w:w="1396"/>
        <w:gridCol w:w="1396"/>
        <w:gridCol w:w="1396"/>
        <w:gridCol w:w="1372"/>
      </w:tblGrid>
      <w:tr w:rsidR="004D60A6" w:rsidRPr="00E37235" w:rsidTr="004D60A6">
        <w:trPr>
          <w:trHeight w:val="300"/>
        </w:trPr>
        <w:tc>
          <w:tcPr>
            <w:tcW w:w="2140" w:type="dxa"/>
            <w:shd w:val="clear" w:color="auto" w:fill="auto"/>
            <w:noWrap/>
            <w:vAlign w:val="center"/>
            <w:hideMark/>
          </w:tcPr>
          <w:p w:rsidR="004D60A6" w:rsidRPr="00E37235" w:rsidRDefault="004D60A6" w:rsidP="00E37235">
            <w:pPr>
              <w:keepNext/>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Locatie</w:t>
            </w:r>
          </w:p>
        </w:tc>
        <w:tc>
          <w:tcPr>
            <w:tcW w:w="1412" w:type="dxa"/>
            <w:shd w:val="clear" w:color="auto" w:fill="auto"/>
            <w:noWrap/>
            <w:vAlign w:val="center"/>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Polderdijkweg</w:t>
            </w:r>
          </w:p>
        </w:tc>
        <w:tc>
          <w:tcPr>
            <w:tcW w:w="1396" w:type="dxa"/>
            <w:shd w:val="clear" w:color="auto" w:fill="auto"/>
            <w:noWrap/>
            <w:vAlign w:val="center"/>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Scheldelaan</w:t>
            </w:r>
          </w:p>
        </w:tc>
        <w:tc>
          <w:tcPr>
            <w:tcW w:w="1396" w:type="dxa"/>
            <w:shd w:val="clear" w:color="auto" w:fill="auto"/>
            <w:noWrap/>
            <w:vAlign w:val="center"/>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p>
        </w:tc>
        <w:tc>
          <w:tcPr>
            <w:tcW w:w="1396" w:type="dxa"/>
            <w:shd w:val="clear" w:color="auto" w:fill="auto"/>
            <w:noWrap/>
            <w:vAlign w:val="center"/>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p>
        </w:tc>
        <w:tc>
          <w:tcPr>
            <w:tcW w:w="1372" w:type="dxa"/>
            <w:vAlign w:val="center"/>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Opslag-hoeveelheden</w:t>
            </w:r>
          </w:p>
        </w:tc>
      </w:tr>
      <w:tr w:rsidR="004D60A6" w:rsidRPr="00E37235" w:rsidTr="004D60A6">
        <w:trPr>
          <w:trHeight w:val="300"/>
        </w:trPr>
        <w:tc>
          <w:tcPr>
            <w:tcW w:w="2140" w:type="dxa"/>
            <w:shd w:val="clear" w:color="auto" w:fill="auto"/>
            <w:noWrap/>
            <w:vAlign w:val="center"/>
            <w:hideMark/>
          </w:tcPr>
          <w:p w:rsidR="004D60A6" w:rsidRPr="00E37235" w:rsidRDefault="004D60A6" w:rsidP="00E37235">
            <w:pPr>
              <w:keepNext/>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Windrichting</w:t>
            </w:r>
          </w:p>
        </w:tc>
        <w:tc>
          <w:tcPr>
            <w:tcW w:w="1412" w:type="dxa"/>
            <w:shd w:val="clear" w:color="auto" w:fill="auto"/>
            <w:noWrap/>
            <w:vAlign w:val="center"/>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Ten NW</w:t>
            </w:r>
          </w:p>
        </w:tc>
        <w:tc>
          <w:tcPr>
            <w:tcW w:w="1396" w:type="dxa"/>
            <w:shd w:val="clear" w:color="auto" w:fill="auto"/>
            <w:noWrap/>
            <w:vAlign w:val="center"/>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ZW</w:t>
            </w:r>
          </w:p>
        </w:tc>
        <w:tc>
          <w:tcPr>
            <w:tcW w:w="1396" w:type="dxa"/>
            <w:shd w:val="clear" w:color="auto" w:fill="auto"/>
            <w:noWrap/>
            <w:vAlign w:val="center"/>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N</w:t>
            </w:r>
          </w:p>
        </w:tc>
        <w:tc>
          <w:tcPr>
            <w:tcW w:w="1396" w:type="dxa"/>
            <w:shd w:val="clear" w:color="auto" w:fill="auto"/>
            <w:noWrap/>
            <w:vAlign w:val="center"/>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O</w:t>
            </w:r>
          </w:p>
        </w:tc>
        <w:tc>
          <w:tcPr>
            <w:tcW w:w="1372" w:type="dxa"/>
            <w:vAlign w:val="center"/>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ton</w:t>
            </w:r>
          </w:p>
        </w:tc>
      </w:tr>
      <w:tr w:rsidR="004D60A6" w:rsidRPr="00E37235" w:rsidTr="004D60A6">
        <w:trPr>
          <w:trHeight w:val="300"/>
        </w:trPr>
        <w:tc>
          <w:tcPr>
            <w:tcW w:w="2140" w:type="dxa"/>
            <w:shd w:val="clear" w:color="auto" w:fill="auto"/>
            <w:noWrap/>
            <w:vAlign w:val="center"/>
            <w:hideMark/>
          </w:tcPr>
          <w:p w:rsidR="004D60A6" w:rsidRPr="00E37235" w:rsidRDefault="004D60A6" w:rsidP="00E37235">
            <w:pPr>
              <w:keepNext/>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coördinaten</w:t>
            </w:r>
          </w:p>
        </w:tc>
        <w:tc>
          <w:tcPr>
            <w:tcW w:w="1412" w:type="dxa"/>
            <w:shd w:val="clear" w:color="auto" w:fill="auto"/>
            <w:noWrap/>
            <w:vAlign w:val="center"/>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148350;216000</w:t>
            </w:r>
          </w:p>
        </w:tc>
        <w:tc>
          <w:tcPr>
            <w:tcW w:w="1396" w:type="dxa"/>
            <w:shd w:val="clear" w:color="auto" w:fill="auto"/>
            <w:noWrap/>
            <w:vAlign w:val="center"/>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148500;215200</w:t>
            </w:r>
          </w:p>
        </w:tc>
        <w:tc>
          <w:tcPr>
            <w:tcW w:w="1396" w:type="dxa"/>
            <w:shd w:val="clear" w:color="auto" w:fill="auto"/>
            <w:noWrap/>
            <w:vAlign w:val="center"/>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148900;215050</w:t>
            </w:r>
          </w:p>
        </w:tc>
        <w:tc>
          <w:tcPr>
            <w:tcW w:w="1396" w:type="dxa"/>
            <w:shd w:val="clear" w:color="auto" w:fill="auto"/>
            <w:noWrap/>
            <w:vAlign w:val="center"/>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149600;215450</w:t>
            </w:r>
          </w:p>
        </w:tc>
        <w:tc>
          <w:tcPr>
            <w:tcW w:w="1372" w:type="dxa"/>
            <w:vAlign w:val="center"/>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p>
        </w:tc>
      </w:tr>
      <w:tr w:rsidR="004D60A6" w:rsidRPr="00E37235" w:rsidTr="004D60A6">
        <w:trPr>
          <w:trHeight w:val="300"/>
        </w:trPr>
        <w:tc>
          <w:tcPr>
            <w:tcW w:w="2140" w:type="dxa"/>
            <w:shd w:val="clear" w:color="auto" w:fill="auto"/>
            <w:noWrap/>
            <w:vAlign w:val="bottom"/>
            <w:hideMark/>
          </w:tcPr>
          <w:p w:rsidR="004D60A6" w:rsidRPr="00E37235" w:rsidRDefault="004D60A6" w:rsidP="00E37235">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crotonaldehyde</w:t>
            </w:r>
          </w:p>
        </w:tc>
        <w:tc>
          <w:tcPr>
            <w:tcW w:w="1412"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0,05</w:t>
            </w:r>
          </w:p>
        </w:tc>
        <w:tc>
          <w:tcPr>
            <w:tcW w:w="1396"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0,12</w:t>
            </w:r>
          </w:p>
        </w:tc>
        <w:tc>
          <w:tcPr>
            <w:tcW w:w="1396"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0,14</w:t>
            </w:r>
          </w:p>
        </w:tc>
        <w:tc>
          <w:tcPr>
            <w:tcW w:w="1396"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0,16</w:t>
            </w:r>
          </w:p>
        </w:tc>
        <w:tc>
          <w:tcPr>
            <w:tcW w:w="1372" w:type="dxa"/>
            <w:vAlign w:val="bottom"/>
          </w:tcPr>
          <w:p w:rsidR="004D60A6" w:rsidRPr="00E37235" w:rsidRDefault="004D60A6" w:rsidP="00E37235">
            <w:pPr>
              <w:keepNext/>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10.000</w:t>
            </w:r>
          </w:p>
        </w:tc>
      </w:tr>
      <w:tr w:rsidR="004D60A6" w:rsidRPr="00E37235" w:rsidTr="004D60A6">
        <w:trPr>
          <w:trHeight w:val="300"/>
        </w:trPr>
        <w:tc>
          <w:tcPr>
            <w:tcW w:w="2140" w:type="dxa"/>
            <w:shd w:val="clear" w:color="auto" w:fill="auto"/>
            <w:noWrap/>
            <w:vAlign w:val="bottom"/>
            <w:hideMark/>
          </w:tcPr>
          <w:p w:rsidR="004D60A6" w:rsidRPr="00E37235" w:rsidRDefault="004D60A6" w:rsidP="00E37235">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benzeen</w:t>
            </w:r>
          </w:p>
        </w:tc>
        <w:tc>
          <w:tcPr>
            <w:tcW w:w="1412"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w:t>
            </w:r>
          </w:p>
        </w:tc>
        <w:tc>
          <w:tcPr>
            <w:tcW w:w="1396"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w:t>
            </w:r>
          </w:p>
        </w:tc>
        <w:tc>
          <w:tcPr>
            <w:tcW w:w="1396"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w:t>
            </w:r>
          </w:p>
        </w:tc>
        <w:tc>
          <w:tcPr>
            <w:tcW w:w="1396"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w:t>
            </w:r>
          </w:p>
        </w:tc>
        <w:tc>
          <w:tcPr>
            <w:tcW w:w="1372" w:type="dxa"/>
            <w:vAlign w:val="bottom"/>
          </w:tcPr>
          <w:p w:rsidR="004D60A6" w:rsidRPr="00E37235" w:rsidRDefault="004D60A6" w:rsidP="00E37235">
            <w:pPr>
              <w:keepNext/>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10.000</w:t>
            </w:r>
          </w:p>
        </w:tc>
      </w:tr>
      <w:tr w:rsidR="004D60A6" w:rsidRPr="00E37235" w:rsidTr="004D60A6">
        <w:trPr>
          <w:trHeight w:val="300"/>
        </w:trPr>
        <w:tc>
          <w:tcPr>
            <w:tcW w:w="2140" w:type="dxa"/>
            <w:shd w:val="clear" w:color="auto" w:fill="auto"/>
            <w:noWrap/>
            <w:vAlign w:val="bottom"/>
            <w:hideMark/>
          </w:tcPr>
          <w:p w:rsidR="004D60A6" w:rsidRPr="00E37235" w:rsidRDefault="004D60A6" w:rsidP="00E37235">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chloroform</w:t>
            </w:r>
          </w:p>
        </w:tc>
        <w:tc>
          <w:tcPr>
            <w:tcW w:w="1412"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0,33</w:t>
            </w:r>
          </w:p>
        </w:tc>
        <w:tc>
          <w:tcPr>
            <w:tcW w:w="1396"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0,76</w:t>
            </w:r>
          </w:p>
        </w:tc>
        <w:tc>
          <w:tcPr>
            <w:tcW w:w="1396"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0,86</w:t>
            </w:r>
          </w:p>
        </w:tc>
        <w:tc>
          <w:tcPr>
            <w:tcW w:w="1396"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1,00</w:t>
            </w:r>
          </w:p>
        </w:tc>
        <w:tc>
          <w:tcPr>
            <w:tcW w:w="1372" w:type="dxa"/>
            <w:vAlign w:val="bottom"/>
          </w:tcPr>
          <w:p w:rsidR="004D60A6" w:rsidRPr="00E37235" w:rsidRDefault="004D60A6" w:rsidP="00E37235">
            <w:pPr>
              <w:keepNext/>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10.000</w:t>
            </w:r>
          </w:p>
        </w:tc>
      </w:tr>
      <w:tr w:rsidR="004D60A6" w:rsidRPr="00E37235" w:rsidTr="004D60A6">
        <w:trPr>
          <w:trHeight w:val="300"/>
        </w:trPr>
        <w:tc>
          <w:tcPr>
            <w:tcW w:w="2140" w:type="dxa"/>
            <w:shd w:val="clear" w:color="auto" w:fill="auto"/>
            <w:noWrap/>
            <w:vAlign w:val="bottom"/>
            <w:hideMark/>
          </w:tcPr>
          <w:p w:rsidR="004D60A6" w:rsidRPr="00E37235" w:rsidRDefault="004D60A6" w:rsidP="00E37235">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tetrachloorkoolstof</w:t>
            </w:r>
          </w:p>
        </w:tc>
        <w:tc>
          <w:tcPr>
            <w:tcW w:w="1412"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0,19</w:t>
            </w:r>
          </w:p>
        </w:tc>
        <w:tc>
          <w:tcPr>
            <w:tcW w:w="1396"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0,43</w:t>
            </w:r>
          </w:p>
        </w:tc>
        <w:tc>
          <w:tcPr>
            <w:tcW w:w="1396"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0,48</w:t>
            </w:r>
          </w:p>
        </w:tc>
        <w:tc>
          <w:tcPr>
            <w:tcW w:w="1396" w:type="dxa"/>
            <w:shd w:val="clear" w:color="auto" w:fill="auto"/>
            <w:noWrap/>
            <w:vAlign w:val="bottom"/>
            <w:hideMark/>
          </w:tcPr>
          <w:p w:rsidR="004D60A6" w:rsidRPr="00E37235" w:rsidRDefault="004D60A6" w:rsidP="00E37235">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0,56</w:t>
            </w:r>
          </w:p>
        </w:tc>
        <w:tc>
          <w:tcPr>
            <w:tcW w:w="1372" w:type="dxa"/>
            <w:vAlign w:val="bottom"/>
          </w:tcPr>
          <w:p w:rsidR="004D60A6" w:rsidRPr="00E37235" w:rsidRDefault="004D60A6" w:rsidP="00E37235">
            <w:pPr>
              <w:keepNext/>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10.000</w:t>
            </w:r>
          </w:p>
        </w:tc>
      </w:tr>
    </w:tbl>
    <w:p w:rsidR="00644C21" w:rsidRDefault="00644C21" w:rsidP="00644C21">
      <w:pPr>
        <w:pStyle w:val="Caption"/>
        <w:keepNext/>
      </w:pPr>
    </w:p>
    <w:p w:rsidR="005B5D40" w:rsidRPr="00644C21" w:rsidRDefault="00644C21" w:rsidP="00644C21">
      <w:pPr>
        <w:pStyle w:val="Caption"/>
        <w:keepNext/>
      </w:pPr>
      <w:r>
        <w:t xml:space="preserve">Tabel </w:t>
      </w:r>
      <w:r w:rsidR="00C325A0">
        <w:fldChar w:fldCharType="begin"/>
      </w:r>
      <w:r>
        <w:instrText xml:space="preserve"> REF t_lucht_TCMR_maximalistisch \h </w:instrText>
      </w:r>
      <w:r w:rsidR="00C325A0">
        <w:fldChar w:fldCharType="separate"/>
      </w:r>
      <w:r w:rsidR="008102D8">
        <w:t>VIII.2.20</w:t>
      </w:r>
      <w:r w:rsidR="00C325A0">
        <w:fldChar w:fldCharType="end"/>
      </w:r>
      <w:r>
        <w:t>.C</w:t>
      </w:r>
      <w:r w:rsidRPr="009C1E15">
        <w:rPr>
          <w:rFonts w:asciiTheme="minorHAnsi" w:hAnsiTheme="minorHAnsi" w:cstheme="minorHAnsi"/>
          <w:sz w:val="18"/>
          <w:szCs w:val="18"/>
        </w:rPr>
        <w:t xml:space="preserve"> </w:t>
      </w:r>
      <w:r w:rsidRPr="00E37235">
        <w:rPr>
          <w:rFonts w:asciiTheme="minorHAnsi" w:hAnsiTheme="minorHAnsi" w:cstheme="minorHAnsi"/>
          <w:sz w:val="18"/>
          <w:szCs w:val="18"/>
        </w:rPr>
        <w:t xml:space="preserve">Overzicht berekende </w:t>
      </w:r>
      <w:r w:rsidR="004D60A6">
        <w:rPr>
          <w:rFonts w:asciiTheme="minorHAnsi" w:hAnsiTheme="minorHAnsi" w:cstheme="minorHAnsi"/>
          <w:sz w:val="18"/>
          <w:szCs w:val="18"/>
        </w:rPr>
        <w:t>extra</w:t>
      </w:r>
      <w:r w:rsidR="004D60A6" w:rsidRPr="00E37235">
        <w:rPr>
          <w:rFonts w:asciiTheme="minorHAnsi" w:hAnsiTheme="minorHAnsi" w:cstheme="minorHAnsi"/>
          <w:sz w:val="18"/>
          <w:szCs w:val="18"/>
        </w:rPr>
        <w:t xml:space="preserve"> bijdrage</w:t>
      </w:r>
      <w:r w:rsidR="004D60A6">
        <w:rPr>
          <w:rFonts w:asciiTheme="minorHAnsi" w:hAnsiTheme="minorHAnsi" w:cstheme="minorHAnsi"/>
          <w:sz w:val="18"/>
          <w:szCs w:val="18"/>
        </w:rPr>
        <w:t xml:space="preserve"> te wijten aan uitbreiding</w:t>
      </w:r>
      <w:r w:rsidR="004D60A6" w:rsidRPr="00E37235">
        <w:rPr>
          <w:rFonts w:asciiTheme="minorHAnsi" w:hAnsiTheme="minorHAnsi" w:cstheme="minorHAnsi"/>
          <w:sz w:val="18"/>
          <w:szCs w:val="18"/>
        </w:rPr>
        <w:t xml:space="preserve"> </w:t>
      </w:r>
      <w:r w:rsidR="00D84356">
        <w:t xml:space="preserve">in µg/m³ </w:t>
      </w:r>
      <w:r w:rsidRPr="00E37235">
        <w:rPr>
          <w:rFonts w:asciiTheme="minorHAnsi" w:hAnsiTheme="minorHAnsi" w:cstheme="minorHAnsi"/>
          <w:sz w:val="18"/>
          <w:szCs w:val="18"/>
        </w:rPr>
        <w:t xml:space="preserve">giftige en carcinogene producten t.h.v. </w:t>
      </w:r>
      <w:r w:rsidR="00EF24D5">
        <w:rPr>
          <w:rFonts w:asciiTheme="minorHAnsi" w:hAnsiTheme="minorHAnsi" w:cstheme="minorHAnsi"/>
          <w:sz w:val="18"/>
          <w:szCs w:val="18"/>
        </w:rPr>
        <w:t>verschillende beoordelingspunten</w:t>
      </w:r>
      <w:r w:rsidR="004D60A6" w:rsidRPr="004D60A6">
        <w:rPr>
          <w:rFonts w:asciiTheme="minorHAnsi" w:hAnsiTheme="minorHAnsi" w:cstheme="minorHAnsi"/>
          <w:sz w:val="18"/>
          <w:szCs w:val="18"/>
        </w:rPr>
        <w:t xml:space="preserve"> </w:t>
      </w:r>
      <w:r w:rsidR="004D60A6">
        <w:rPr>
          <w:rFonts w:asciiTheme="minorHAnsi" w:hAnsiTheme="minorHAnsi" w:cstheme="minorHAnsi"/>
          <w:sz w:val="18"/>
          <w:szCs w:val="18"/>
        </w:rPr>
        <w:t>in industriegebied/onmiddellijke omgeving van het bedrijf (</w:t>
      </w:r>
      <w:r w:rsidR="004D60A6" w:rsidRPr="00E37235">
        <w:rPr>
          <w:rFonts w:asciiTheme="minorHAnsi" w:hAnsiTheme="minorHAnsi" w:cstheme="minorHAnsi"/>
          <w:sz w:val="18"/>
          <w:szCs w:val="18"/>
          <w:lang w:val="nl-NL" w:eastAsia="nl-NL"/>
        </w:rPr>
        <w:t xml:space="preserve">Verschil toekomstige situatie fase </w:t>
      </w:r>
      <w:r w:rsidR="004D60A6">
        <w:rPr>
          <w:rFonts w:asciiTheme="minorHAnsi" w:hAnsiTheme="minorHAnsi" w:cstheme="minorHAnsi"/>
          <w:sz w:val="18"/>
          <w:szCs w:val="18"/>
          <w:lang w:val="nl-NL" w:eastAsia="nl-NL"/>
        </w:rPr>
        <w:t xml:space="preserve">1 of </w:t>
      </w:r>
      <w:r w:rsidR="004D60A6" w:rsidRPr="00E37235">
        <w:rPr>
          <w:rFonts w:asciiTheme="minorHAnsi" w:hAnsiTheme="minorHAnsi" w:cstheme="minorHAnsi"/>
          <w:sz w:val="18"/>
          <w:szCs w:val="18"/>
          <w:lang w:val="nl-NL" w:eastAsia="nl-NL"/>
        </w:rPr>
        <w:t>2 min referentie situatie</w:t>
      </w:r>
      <w:r w:rsidR="004D60A6">
        <w:rPr>
          <w:rFonts w:asciiTheme="minorHAnsi" w:hAnsiTheme="minorHAnsi" w:cstheme="minorHAnsi"/>
          <w:sz w:val="18"/>
          <w:szCs w:val="18"/>
          <w:lang w:val="nl-NL" w:eastAsia="nl-NL"/>
        </w:rPr>
        <w:t>)</w:t>
      </w:r>
    </w:p>
    <w:tbl>
      <w:tblPr>
        <w:tblW w:w="91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40"/>
        <w:gridCol w:w="1412"/>
        <w:gridCol w:w="1396"/>
        <w:gridCol w:w="1396"/>
        <w:gridCol w:w="1396"/>
        <w:gridCol w:w="1372"/>
      </w:tblGrid>
      <w:tr w:rsidR="004D60A6" w:rsidRPr="00E37235" w:rsidTr="004D60A6">
        <w:trPr>
          <w:trHeight w:val="300"/>
        </w:trPr>
        <w:tc>
          <w:tcPr>
            <w:tcW w:w="2140" w:type="dxa"/>
            <w:shd w:val="clear" w:color="auto" w:fill="auto"/>
            <w:noWrap/>
            <w:vAlign w:val="center"/>
            <w:hideMark/>
          </w:tcPr>
          <w:p w:rsidR="004D60A6" w:rsidRPr="00E37235" w:rsidRDefault="004D60A6" w:rsidP="005B5D40">
            <w:pPr>
              <w:keepLines w:val="0"/>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Locatie</w:t>
            </w:r>
          </w:p>
        </w:tc>
        <w:tc>
          <w:tcPr>
            <w:tcW w:w="1412" w:type="dxa"/>
            <w:shd w:val="clear" w:color="auto" w:fill="auto"/>
            <w:noWrap/>
            <w:vAlign w:val="center"/>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Polderdijkweg</w:t>
            </w:r>
          </w:p>
        </w:tc>
        <w:tc>
          <w:tcPr>
            <w:tcW w:w="1396" w:type="dxa"/>
            <w:shd w:val="clear" w:color="auto" w:fill="auto"/>
            <w:noWrap/>
            <w:vAlign w:val="center"/>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Scheldelaan</w:t>
            </w:r>
          </w:p>
        </w:tc>
        <w:tc>
          <w:tcPr>
            <w:tcW w:w="1396" w:type="dxa"/>
            <w:shd w:val="clear" w:color="auto" w:fill="auto"/>
            <w:noWrap/>
            <w:vAlign w:val="center"/>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p>
        </w:tc>
        <w:tc>
          <w:tcPr>
            <w:tcW w:w="1396" w:type="dxa"/>
            <w:shd w:val="clear" w:color="auto" w:fill="auto"/>
            <w:noWrap/>
            <w:vAlign w:val="center"/>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p>
        </w:tc>
        <w:tc>
          <w:tcPr>
            <w:tcW w:w="1372" w:type="dxa"/>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toetsingswaarde</w:t>
            </w:r>
          </w:p>
        </w:tc>
      </w:tr>
      <w:tr w:rsidR="004D60A6" w:rsidRPr="00E37235" w:rsidTr="004D60A6">
        <w:trPr>
          <w:trHeight w:val="300"/>
        </w:trPr>
        <w:tc>
          <w:tcPr>
            <w:tcW w:w="2140" w:type="dxa"/>
            <w:shd w:val="clear" w:color="auto" w:fill="auto"/>
            <w:noWrap/>
            <w:vAlign w:val="center"/>
            <w:hideMark/>
          </w:tcPr>
          <w:p w:rsidR="004D60A6" w:rsidRPr="00E37235" w:rsidRDefault="004D60A6" w:rsidP="005B5D40">
            <w:pPr>
              <w:keepLines w:val="0"/>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Windrichting</w:t>
            </w:r>
          </w:p>
        </w:tc>
        <w:tc>
          <w:tcPr>
            <w:tcW w:w="1412" w:type="dxa"/>
            <w:shd w:val="clear" w:color="auto" w:fill="auto"/>
            <w:noWrap/>
            <w:vAlign w:val="center"/>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Ten NW</w:t>
            </w:r>
          </w:p>
        </w:tc>
        <w:tc>
          <w:tcPr>
            <w:tcW w:w="1396" w:type="dxa"/>
            <w:shd w:val="clear" w:color="auto" w:fill="auto"/>
            <w:noWrap/>
            <w:vAlign w:val="center"/>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ZW</w:t>
            </w:r>
          </w:p>
        </w:tc>
        <w:tc>
          <w:tcPr>
            <w:tcW w:w="1396" w:type="dxa"/>
            <w:shd w:val="clear" w:color="auto" w:fill="auto"/>
            <w:noWrap/>
            <w:vAlign w:val="center"/>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N</w:t>
            </w:r>
          </w:p>
        </w:tc>
        <w:tc>
          <w:tcPr>
            <w:tcW w:w="1396" w:type="dxa"/>
            <w:shd w:val="clear" w:color="auto" w:fill="auto"/>
            <w:noWrap/>
            <w:vAlign w:val="center"/>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O</w:t>
            </w:r>
          </w:p>
        </w:tc>
        <w:tc>
          <w:tcPr>
            <w:tcW w:w="1372" w:type="dxa"/>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p>
        </w:tc>
      </w:tr>
      <w:tr w:rsidR="004D60A6" w:rsidRPr="00E37235" w:rsidTr="004D60A6">
        <w:trPr>
          <w:trHeight w:val="300"/>
        </w:trPr>
        <w:tc>
          <w:tcPr>
            <w:tcW w:w="2140" w:type="dxa"/>
            <w:shd w:val="clear" w:color="auto" w:fill="auto"/>
            <w:noWrap/>
            <w:vAlign w:val="center"/>
            <w:hideMark/>
          </w:tcPr>
          <w:p w:rsidR="004D60A6" w:rsidRPr="00E37235" w:rsidRDefault="004D60A6" w:rsidP="005B5D40">
            <w:pPr>
              <w:keepLines w:val="0"/>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coördinaten</w:t>
            </w:r>
          </w:p>
        </w:tc>
        <w:tc>
          <w:tcPr>
            <w:tcW w:w="1412" w:type="dxa"/>
            <w:shd w:val="clear" w:color="auto" w:fill="auto"/>
            <w:noWrap/>
            <w:vAlign w:val="center"/>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148350;216000</w:t>
            </w:r>
          </w:p>
        </w:tc>
        <w:tc>
          <w:tcPr>
            <w:tcW w:w="1396" w:type="dxa"/>
            <w:shd w:val="clear" w:color="auto" w:fill="auto"/>
            <w:noWrap/>
            <w:vAlign w:val="center"/>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148500;215200</w:t>
            </w:r>
          </w:p>
        </w:tc>
        <w:tc>
          <w:tcPr>
            <w:tcW w:w="1396" w:type="dxa"/>
            <w:shd w:val="clear" w:color="auto" w:fill="auto"/>
            <w:noWrap/>
            <w:vAlign w:val="center"/>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148900;215050</w:t>
            </w:r>
          </w:p>
        </w:tc>
        <w:tc>
          <w:tcPr>
            <w:tcW w:w="1396" w:type="dxa"/>
            <w:shd w:val="clear" w:color="auto" w:fill="auto"/>
            <w:noWrap/>
            <w:vAlign w:val="center"/>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149600;215450</w:t>
            </w:r>
          </w:p>
        </w:tc>
        <w:tc>
          <w:tcPr>
            <w:tcW w:w="1372" w:type="dxa"/>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p>
        </w:tc>
      </w:tr>
      <w:tr w:rsidR="004D60A6" w:rsidRPr="00E37235" w:rsidTr="004D60A6">
        <w:trPr>
          <w:trHeight w:val="300"/>
        </w:trPr>
        <w:tc>
          <w:tcPr>
            <w:tcW w:w="2140" w:type="dxa"/>
            <w:shd w:val="clear" w:color="auto" w:fill="auto"/>
            <w:noWrap/>
            <w:vAlign w:val="bottom"/>
            <w:hideMark/>
          </w:tcPr>
          <w:p w:rsidR="004D60A6" w:rsidRPr="00E37235" w:rsidRDefault="004D60A6" w:rsidP="005B5D40">
            <w:pPr>
              <w:keepLines w:val="0"/>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crotonaldehyde</w:t>
            </w:r>
          </w:p>
        </w:tc>
        <w:tc>
          <w:tcPr>
            <w:tcW w:w="1412"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0,003</w:t>
            </w:r>
          </w:p>
        </w:tc>
        <w:tc>
          <w:tcPr>
            <w:tcW w:w="1396"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0,004</w:t>
            </w:r>
          </w:p>
        </w:tc>
        <w:tc>
          <w:tcPr>
            <w:tcW w:w="1396"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0,011</w:t>
            </w:r>
          </w:p>
        </w:tc>
        <w:tc>
          <w:tcPr>
            <w:tcW w:w="1396"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0,000</w:t>
            </w:r>
          </w:p>
        </w:tc>
        <w:tc>
          <w:tcPr>
            <w:tcW w:w="1372" w:type="dxa"/>
            <w:vAlign w:val="bottom"/>
          </w:tcPr>
          <w:p w:rsidR="004D60A6" w:rsidRPr="00E37235" w:rsidRDefault="004D60A6" w:rsidP="005B5D40">
            <w:pPr>
              <w:keepLines w:val="0"/>
              <w:spacing w:before="0" w:after="0" w:line="240" w:lineRule="auto"/>
              <w:jc w:val="center"/>
              <w:rPr>
                <w:rFonts w:asciiTheme="minorHAnsi" w:hAnsiTheme="minorHAnsi" w:cstheme="minorHAnsi"/>
                <w:sz w:val="18"/>
                <w:szCs w:val="18"/>
              </w:rPr>
            </w:pPr>
            <w:r>
              <w:t>27</w:t>
            </w:r>
          </w:p>
        </w:tc>
      </w:tr>
      <w:tr w:rsidR="004D60A6" w:rsidRPr="00E37235" w:rsidTr="004D60A6">
        <w:trPr>
          <w:trHeight w:val="300"/>
        </w:trPr>
        <w:tc>
          <w:tcPr>
            <w:tcW w:w="2140" w:type="dxa"/>
            <w:shd w:val="clear" w:color="auto" w:fill="auto"/>
            <w:noWrap/>
            <w:vAlign w:val="bottom"/>
            <w:hideMark/>
          </w:tcPr>
          <w:p w:rsidR="004D60A6" w:rsidRPr="00E37235" w:rsidRDefault="004D60A6" w:rsidP="005B5D40">
            <w:pPr>
              <w:keepLines w:val="0"/>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benzeen</w:t>
            </w:r>
          </w:p>
        </w:tc>
        <w:tc>
          <w:tcPr>
            <w:tcW w:w="1412"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0,001</w:t>
            </w:r>
          </w:p>
        </w:tc>
        <w:tc>
          <w:tcPr>
            <w:tcW w:w="1396"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0,001</w:t>
            </w:r>
          </w:p>
        </w:tc>
        <w:tc>
          <w:tcPr>
            <w:tcW w:w="1396"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0,002</w:t>
            </w:r>
          </w:p>
        </w:tc>
        <w:tc>
          <w:tcPr>
            <w:tcW w:w="1396"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0,002</w:t>
            </w:r>
          </w:p>
        </w:tc>
        <w:tc>
          <w:tcPr>
            <w:tcW w:w="1372" w:type="dxa"/>
            <w:vAlign w:val="bottom"/>
          </w:tcPr>
          <w:p w:rsidR="004D60A6" w:rsidRPr="00E37235" w:rsidRDefault="004D60A6" w:rsidP="005B5D40">
            <w:pPr>
              <w:keepLines w:val="0"/>
              <w:spacing w:before="0" w:after="0" w:line="240" w:lineRule="auto"/>
              <w:jc w:val="center"/>
              <w:rPr>
                <w:rFonts w:asciiTheme="minorHAnsi" w:hAnsiTheme="minorHAnsi" w:cstheme="minorHAnsi"/>
                <w:sz w:val="18"/>
                <w:szCs w:val="18"/>
              </w:rPr>
            </w:pPr>
            <w:r>
              <w:t>5</w:t>
            </w:r>
          </w:p>
        </w:tc>
      </w:tr>
      <w:tr w:rsidR="004D60A6" w:rsidRPr="00E37235" w:rsidTr="004D60A6">
        <w:trPr>
          <w:trHeight w:val="300"/>
        </w:trPr>
        <w:tc>
          <w:tcPr>
            <w:tcW w:w="2140" w:type="dxa"/>
            <w:shd w:val="clear" w:color="auto" w:fill="auto"/>
            <w:noWrap/>
            <w:vAlign w:val="bottom"/>
            <w:hideMark/>
          </w:tcPr>
          <w:p w:rsidR="004D60A6" w:rsidRPr="00E37235" w:rsidRDefault="004D60A6" w:rsidP="005B5D40">
            <w:pPr>
              <w:keepLines w:val="0"/>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chloroform</w:t>
            </w:r>
          </w:p>
        </w:tc>
        <w:tc>
          <w:tcPr>
            <w:tcW w:w="1412"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0,034</w:t>
            </w:r>
          </w:p>
        </w:tc>
        <w:tc>
          <w:tcPr>
            <w:tcW w:w="1396"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0,064</w:t>
            </w:r>
          </w:p>
        </w:tc>
        <w:tc>
          <w:tcPr>
            <w:tcW w:w="1396"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0,109</w:t>
            </w:r>
          </w:p>
        </w:tc>
        <w:tc>
          <w:tcPr>
            <w:tcW w:w="1396"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0,053</w:t>
            </w:r>
          </w:p>
        </w:tc>
        <w:tc>
          <w:tcPr>
            <w:tcW w:w="1372" w:type="dxa"/>
            <w:vAlign w:val="bottom"/>
          </w:tcPr>
          <w:p w:rsidR="004D60A6" w:rsidRPr="00E37235" w:rsidRDefault="004D60A6" w:rsidP="005B5D40">
            <w:pPr>
              <w:keepLines w:val="0"/>
              <w:spacing w:before="0" w:after="0" w:line="240" w:lineRule="auto"/>
              <w:jc w:val="center"/>
              <w:rPr>
                <w:rFonts w:asciiTheme="minorHAnsi" w:hAnsiTheme="minorHAnsi" w:cstheme="minorHAnsi"/>
                <w:sz w:val="18"/>
                <w:szCs w:val="18"/>
              </w:rPr>
            </w:pPr>
            <w:r>
              <w:t>100</w:t>
            </w:r>
          </w:p>
        </w:tc>
      </w:tr>
      <w:tr w:rsidR="004D60A6" w:rsidRPr="00E37235" w:rsidTr="004D60A6">
        <w:trPr>
          <w:trHeight w:val="300"/>
        </w:trPr>
        <w:tc>
          <w:tcPr>
            <w:tcW w:w="2140" w:type="dxa"/>
            <w:shd w:val="clear" w:color="auto" w:fill="auto"/>
            <w:noWrap/>
            <w:vAlign w:val="bottom"/>
            <w:hideMark/>
          </w:tcPr>
          <w:p w:rsidR="004D60A6" w:rsidRPr="00E37235" w:rsidRDefault="004D60A6" w:rsidP="005B5D40">
            <w:pPr>
              <w:keepLines w:val="0"/>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tetrachloorkoolstof</w:t>
            </w:r>
          </w:p>
        </w:tc>
        <w:tc>
          <w:tcPr>
            <w:tcW w:w="1412"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0,016</w:t>
            </w:r>
          </w:p>
        </w:tc>
        <w:tc>
          <w:tcPr>
            <w:tcW w:w="1396"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0,030</w:t>
            </w:r>
          </w:p>
        </w:tc>
        <w:tc>
          <w:tcPr>
            <w:tcW w:w="1396"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0,055</w:t>
            </w:r>
          </w:p>
        </w:tc>
        <w:tc>
          <w:tcPr>
            <w:tcW w:w="1396" w:type="dxa"/>
            <w:shd w:val="clear" w:color="auto" w:fill="auto"/>
            <w:noWrap/>
            <w:vAlign w:val="bottom"/>
            <w:hideMark/>
          </w:tcPr>
          <w:p w:rsidR="004D60A6" w:rsidRPr="00E37235" w:rsidRDefault="004D60A6" w:rsidP="005B5D40">
            <w:pPr>
              <w:keepLines w:val="0"/>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0,021</w:t>
            </w:r>
          </w:p>
        </w:tc>
        <w:tc>
          <w:tcPr>
            <w:tcW w:w="1372" w:type="dxa"/>
            <w:vAlign w:val="bottom"/>
          </w:tcPr>
          <w:p w:rsidR="004D60A6" w:rsidRPr="00E37235" w:rsidRDefault="004D60A6" w:rsidP="005B5D40">
            <w:pPr>
              <w:keepLines w:val="0"/>
              <w:spacing w:before="0" w:after="0" w:line="240" w:lineRule="auto"/>
              <w:jc w:val="center"/>
              <w:rPr>
                <w:rFonts w:asciiTheme="minorHAnsi" w:hAnsiTheme="minorHAnsi" w:cstheme="minorHAnsi"/>
                <w:sz w:val="18"/>
                <w:szCs w:val="18"/>
              </w:rPr>
            </w:pPr>
            <w:r>
              <w:t>60</w:t>
            </w:r>
          </w:p>
        </w:tc>
      </w:tr>
    </w:tbl>
    <w:p w:rsidR="00644C21" w:rsidRDefault="00644C21" w:rsidP="00644C21">
      <w:pPr>
        <w:pStyle w:val="Caption"/>
        <w:keepNext/>
      </w:pPr>
    </w:p>
    <w:p w:rsidR="005B5D40" w:rsidRPr="00644C21" w:rsidRDefault="00644C21" w:rsidP="004D60A6">
      <w:pPr>
        <w:pStyle w:val="Caption"/>
        <w:keepNext/>
      </w:pPr>
      <w:r>
        <w:t xml:space="preserve">Tabel </w:t>
      </w:r>
      <w:r w:rsidR="00C325A0">
        <w:fldChar w:fldCharType="begin"/>
      </w:r>
      <w:r>
        <w:instrText xml:space="preserve"> REF t_lucht_TCMR_maximalistisch \h </w:instrText>
      </w:r>
      <w:r w:rsidR="00C325A0">
        <w:fldChar w:fldCharType="separate"/>
      </w:r>
      <w:r w:rsidR="008102D8">
        <w:t>VIII.2.20</w:t>
      </w:r>
      <w:r w:rsidR="00C325A0">
        <w:fldChar w:fldCharType="end"/>
      </w:r>
      <w:r>
        <w:t>.D</w:t>
      </w:r>
      <w:r w:rsidRPr="009C1E15">
        <w:rPr>
          <w:rFonts w:asciiTheme="minorHAnsi" w:hAnsiTheme="minorHAnsi" w:cstheme="minorHAnsi"/>
          <w:sz w:val="18"/>
          <w:szCs w:val="18"/>
        </w:rPr>
        <w:t xml:space="preserve"> </w:t>
      </w:r>
      <w:r w:rsidRPr="00E37235">
        <w:rPr>
          <w:rFonts w:asciiTheme="minorHAnsi" w:hAnsiTheme="minorHAnsi" w:cstheme="minorHAnsi"/>
          <w:sz w:val="18"/>
          <w:szCs w:val="18"/>
        </w:rPr>
        <w:t xml:space="preserve">Overzicht berekende </w:t>
      </w:r>
      <w:r w:rsidR="004D60A6">
        <w:rPr>
          <w:rFonts w:asciiTheme="minorHAnsi" w:hAnsiTheme="minorHAnsi" w:cstheme="minorHAnsi"/>
          <w:sz w:val="18"/>
          <w:szCs w:val="18"/>
        </w:rPr>
        <w:t xml:space="preserve">totale relatieve </w:t>
      </w:r>
      <w:r w:rsidRPr="00E37235">
        <w:rPr>
          <w:rFonts w:asciiTheme="minorHAnsi" w:hAnsiTheme="minorHAnsi" w:cstheme="minorHAnsi"/>
          <w:sz w:val="18"/>
          <w:szCs w:val="18"/>
        </w:rPr>
        <w:t xml:space="preserve">bijdrage giftige en carcinogene producten t.h.v. </w:t>
      </w:r>
      <w:r w:rsidR="00EF24D5">
        <w:rPr>
          <w:rFonts w:asciiTheme="minorHAnsi" w:hAnsiTheme="minorHAnsi" w:cstheme="minorHAnsi"/>
          <w:sz w:val="18"/>
          <w:szCs w:val="18"/>
        </w:rPr>
        <w:t xml:space="preserve">verschillende beoordelingspunten </w:t>
      </w:r>
      <w:r w:rsidR="004D60A6">
        <w:rPr>
          <w:rFonts w:asciiTheme="minorHAnsi" w:hAnsiTheme="minorHAnsi" w:cstheme="minorHAnsi"/>
          <w:sz w:val="18"/>
          <w:szCs w:val="18"/>
        </w:rPr>
        <w:t xml:space="preserve">in industriegebied/onmiddellijke omgeving van het bedrijf (impact </w:t>
      </w:r>
      <w:r w:rsidR="004D60A6" w:rsidRPr="00E37235">
        <w:rPr>
          <w:rFonts w:asciiTheme="minorHAnsi" w:hAnsiTheme="minorHAnsi" w:cstheme="minorHAnsi"/>
          <w:sz w:val="18"/>
          <w:szCs w:val="18"/>
          <w:lang w:val="nl-NL" w:eastAsia="nl-NL"/>
        </w:rPr>
        <w:t xml:space="preserve">toekomstige situatie fase </w:t>
      </w:r>
      <w:r w:rsidR="004D60A6">
        <w:rPr>
          <w:rFonts w:asciiTheme="minorHAnsi" w:hAnsiTheme="minorHAnsi" w:cstheme="minorHAnsi"/>
          <w:sz w:val="18"/>
          <w:szCs w:val="18"/>
          <w:lang w:val="nl-NL" w:eastAsia="nl-NL"/>
        </w:rPr>
        <w:t xml:space="preserve">1 of </w:t>
      </w:r>
      <w:r w:rsidR="004D60A6" w:rsidRPr="00E37235">
        <w:rPr>
          <w:rFonts w:asciiTheme="minorHAnsi" w:hAnsiTheme="minorHAnsi" w:cstheme="minorHAnsi"/>
          <w:sz w:val="18"/>
          <w:szCs w:val="18"/>
          <w:lang w:val="nl-NL" w:eastAsia="nl-NL"/>
        </w:rPr>
        <w:t>2, uitgedrukt in % t.o.v. de doelstellingen</w:t>
      </w:r>
      <w:r w:rsidR="004D60A6">
        <w:rPr>
          <w:rFonts w:asciiTheme="minorHAnsi" w:hAnsiTheme="minorHAnsi" w:cstheme="minorHAnsi"/>
          <w:sz w:val="18"/>
          <w:szCs w:val="18"/>
          <w:lang w:val="nl-NL" w:eastAsia="nl-NL"/>
        </w:rPr>
        <w:t>)</w:t>
      </w:r>
    </w:p>
    <w:tbl>
      <w:tblPr>
        <w:tblW w:w="77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40"/>
        <w:gridCol w:w="1412"/>
        <w:gridCol w:w="1396"/>
        <w:gridCol w:w="1396"/>
        <w:gridCol w:w="1396"/>
      </w:tblGrid>
      <w:tr w:rsidR="005B5D40" w:rsidRPr="00E37235" w:rsidTr="005B5D40">
        <w:trPr>
          <w:trHeight w:val="300"/>
        </w:trPr>
        <w:tc>
          <w:tcPr>
            <w:tcW w:w="2140" w:type="dxa"/>
            <w:shd w:val="clear" w:color="auto" w:fill="auto"/>
            <w:noWrap/>
            <w:vAlign w:val="center"/>
            <w:hideMark/>
          </w:tcPr>
          <w:p w:rsidR="00F077DA" w:rsidRDefault="005B5D40" w:rsidP="00F077DA">
            <w:pPr>
              <w:keepNext/>
              <w:spacing w:before="0" w:after="0" w:line="240" w:lineRule="auto"/>
              <w:rPr>
                <w:rFonts w:asciiTheme="minorHAnsi" w:hAnsiTheme="minorHAnsi" w:cstheme="minorHAnsi"/>
                <w:b/>
                <w:caps/>
                <w:color w:val="808080"/>
                <w:spacing w:val="26"/>
                <w:kern w:val="28"/>
                <w:sz w:val="18"/>
                <w:szCs w:val="18"/>
                <w:lang w:val="nl" w:eastAsia="nl-NL"/>
              </w:rPr>
            </w:pPr>
            <w:r w:rsidRPr="00E37235">
              <w:rPr>
                <w:rFonts w:asciiTheme="minorHAnsi" w:hAnsiTheme="minorHAnsi" w:cstheme="minorHAnsi"/>
                <w:sz w:val="18"/>
                <w:szCs w:val="18"/>
                <w:lang w:val="nl-NL" w:eastAsia="nl-NL"/>
              </w:rPr>
              <w:t>Locatie</w:t>
            </w:r>
          </w:p>
        </w:tc>
        <w:tc>
          <w:tcPr>
            <w:tcW w:w="1412" w:type="dxa"/>
            <w:shd w:val="clear" w:color="auto" w:fill="auto"/>
            <w:noWrap/>
            <w:vAlign w:val="center"/>
            <w:hideMark/>
          </w:tcPr>
          <w:p w:rsidR="00F077DA" w:rsidRDefault="005B5D40" w:rsidP="00F077DA">
            <w:pPr>
              <w:keepNext/>
              <w:spacing w:before="0" w:after="0" w:line="240" w:lineRule="auto"/>
              <w:jc w:val="center"/>
              <w:rPr>
                <w:rFonts w:asciiTheme="minorHAnsi" w:hAnsiTheme="minorHAnsi" w:cstheme="minorHAnsi"/>
                <w:b/>
                <w:caps/>
                <w:color w:val="808080"/>
                <w:spacing w:val="26"/>
                <w:kern w:val="28"/>
                <w:sz w:val="18"/>
                <w:szCs w:val="18"/>
                <w:lang w:val="nl-NL" w:eastAsia="nl-NL"/>
              </w:rPr>
            </w:pPr>
            <w:r w:rsidRPr="00E37235">
              <w:rPr>
                <w:rFonts w:asciiTheme="minorHAnsi" w:hAnsiTheme="minorHAnsi" w:cstheme="minorHAnsi"/>
                <w:sz w:val="18"/>
                <w:szCs w:val="18"/>
                <w:lang w:val="nl-NL" w:eastAsia="nl-NL"/>
              </w:rPr>
              <w:t>Polderdijkweg</w:t>
            </w:r>
          </w:p>
        </w:tc>
        <w:tc>
          <w:tcPr>
            <w:tcW w:w="1396" w:type="dxa"/>
            <w:shd w:val="clear" w:color="auto" w:fill="auto"/>
            <w:noWrap/>
            <w:vAlign w:val="center"/>
            <w:hideMark/>
          </w:tcPr>
          <w:p w:rsidR="00F077DA" w:rsidRDefault="005B5D40" w:rsidP="00F077DA">
            <w:pPr>
              <w:keepNext/>
              <w:spacing w:before="0" w:after="0" w:line="240" w:lineRule="auto"/>
              <w:jc w:val="center"/>
              <w:rPr>
                <w:rFonts w:asciiTheme="minorHAnsi" w:hAnsiTheme="minorHAnsi" w:cstheme="minorHAnsi"/>
                <w:b/>
                <w:caps/>
                <w:color w:val="808080"/>
                <w:spacing w:val="26"/>
                <w:kern w:val="28"/>
                <w:sz w:val="18"/>
                <w:szCs w:val="18"/>
                <w:lang w:val="nl-NL" w:eastAsia="nl-NL"/>
              </w:rPr>
            </w:pPr>
            <w:r w:rsidRPr="00E37235">
              <w:rPr>
                <w:rFonts w:asciiTheme="minorHAnsi" w:hAnsiTheme="minorHAnsi" w:cstheme="minorHAnsi"/>
                <w:sz w:val="18"/>
                <w:szCs w:val="18"/>
                <w:lang w:val="nl-NL" w:eastAsia="nl-NL"/>
              </w:rPr>
              <w:t>Scheldelaan</w:t>
            </w:r>
          </w:p>
        </w:tc>
        <w:tc>
          <w:tcPr>
            <w:tcW w:w="1396" w:type="dxa"/>
            <w:shd w:val="clear" w:color="auto" w:fill="auto"/>
            <w:noWrap/>
            <w:vAlign w:val="center"/>
            <w:hideMark/>
          </w:tcPr>
          <w:p w:rsidR="00F077DA" w:rsidRDefault="00F077DA" w:rsidP="00F077DA">
            <w:pPr>
              <w:keepNext/>
              <w:spacing w:before="0" w:after="0" w:line="240" w:lineRule="auto"/>
              <w:jc w:val="center"/>
              <w:rPr>
                <w:rFonts w:asciiTheme="minorHAnsi" w:hAnsiTheme="minorHAnsi" w:cstheme="minorHAnsi"/>
                <w:sz w:val="18"/>
                <w:szCs w:val="18"/>
                <w:lang w:val="nl-NL" w:eastAsia="nl-NL"/>
              </w:rPr>
            </w:pPr>
          </w:p>
        </w:tc>
        <w:tc>
          <w:tcPr>
            <w:tcW w:w="1396" w:type="dxa"/>
            <w:shd w:val="clear" w:color="auto" w:fill="auto"/>
            <w:noWrap/>
            <w:vAlign w:val="center"/>
            <w:hideMark/>
          </w:tcPr>
          <w:p w:rsidR="00F077DA" w:rsidRDefault="00F077DA" w:rsidP="00F077DA">
            <w:pPr>
              <w:keepNext/>
              <w:spacing w:before="0" w:after="0" w:line="240" w:lineRule="auto"/>
              <w:jc w:val="center"/>
              <w:rPr>
                <w:rFonts w:asciiTheme="minorHAnsi" w:hAnsiTheme="minorHAnsi" w:cstheme="minorHAnsi"/>
                <w:sz w:val="18"/>
                <w:szCs w:val="18"/>
                <w:lang w:val="nl-NL" w:eastAsia="nl-NL"/>
              </w:rPr>
            </w:pPr>
          </w:p>
        </w:tc>
      </w:tr>
      <w:tr w:rsidR="005B5D40" w:rsidRPr="00E37235" w:rsidTr="005B5D40">
        <w:trPr>
          <w:trHeight w:val="300"/>
        </w:trPr>
        <w:tc>
          <w:tcPr>
            <w:tcW w:w="2140" w:type="dxa"/>
            <w:shd w:val="clear" w:color="auto" w:fill="auto"/>
            <w:noWrap/>
            <w:vAlign w:val="center"/>
            <w:hideMark/>
          </w:tcPr>
          <w:p w:rsidR="00F077DA" w:rsidRDefault="005B5D40" w:rsidP="00F077DA">
            <w:pPr>
              <w:keepNext/>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Windrichting</w:t>
            </w:r>
          </w:p>
        </w:tc>
        <w:tc>
          <w:tcPr>
            <w:tcW w:w="1412" w:type="dxa"/>
            <w:shd w:val="clear" w:color="auto" w:fill="auto"/>
            <w:noWrap/>
            <w:vAlign w:val="center"/>
            <w:hideMark/>
          </w:tcPr>
          <w:p w:rsidR="00F077DA" w:rsidRDefault="005B5D40"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Ten NW</w:t>
            </w:r>
          </w:p>
        </w:tc>
        <w:tc>
          <w:tcPr>
            <w:tcW w:w="1396" w:type="dxa"/>
            <w:shd w:val="clear" w:color="auto" w:fill="auto"/>
            <w:noWrap/>
            <w:vAlign w:val="center"/>
            <w:hideMark/>
          </w:tcPr>
          <w:p w:rsidR="00F077DA" w:rsidRDefault="005B5D40"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ZW</w:t>
            </w:r>
          </w:p>
        </w:tc>
        <w:tc>
          <w:tcPr>
            <w:tcW w:w="1396" w:type="dxa"/>
            <w:shd w:val="clear" w:color="auto" w:fill="auto"/>
            <w:noWrap/>
            <w:vAlign w:val="center"/>
            <w:hideMark/>
          </w:tcPr>
          <w:p w:rsidR="00F077DA" w:rsidRDefault="005B5D40"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N</w:t>
            </w:r>
          </w:p>
        </w:tc>
        <w:tc>
          <w:tcPr>
            <w:tcW w:w="1396" w:type="dxa"/>
            <w:shd w:val="clear" w:color="auto" w:fill="auto"/>
            <w:noWrap/>
            <w:vAlign w:val="center"/>
            <w:hideMark/>
          </w:tcPr>
          <w:p w:rsidR="00F077DA" w:rsidRDefault="005B5D40"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O</w:t>
            </w:r>
          </w:p>
        </w:tc>
      </w:tr>
      <w:tr w:rsidR="005B5D40" w:rsidRPr="00E37235" w:rsidTr="005B5D40">
        <w:trPr>
          <w:trHeight w:val="300"/>
        </w:trPr>
        <w:tc>
          <w:tcPr>
            <w:tcW w:w="2140" w:type="dxa"/>
            <w:shd w:val="clear" w:color="auto" w:fill="auto"/>
            <w:noWrap/>
            <w:vAlign w:val="center"/>
            <w:hideMark/>
          </w:tcPr>
          <w:p w:rsidR="00F077DA" w:rsidRDefault="005B5D40" w:rsidP="00F077DA">
            <w:pPr>
              <w:keepNext/>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coördinaten</w:t>
            </w:r>
          </w:p>
        </w:tc>
        <w:tc>
          <w:tcPr>
            <w:tcW w:w="1412" w:type="dxa"/>
            <w:shd w:val="clear" w:color="auto" w:fill="auto"/>
            <w:noWrap/>
            <w:vAlign w:val="center"/>
            <w:hideMark/>
          </w:tcPr>
          <w:p w:rsidR="00F077DA" w:rsidRDefault="005B5D40"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148350;216000</w:t>
            </w:r>
          </w:p>
        </w:tc>
        <w:tc>
          <w:tcPr>
            <w:tcW w:w="1396" w:type="dxa"/>
            <w:shd w:val="clear" w:color="auto" w:fill="auto"/>
            <w:noWrap/>
            <w:vAlign w:val="center"/>
            <w:hideMark/>
          </w:tcPr>
          <w:p w:rsidR="00F077DA" w:rsidRDefault="005B5D40"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148500;215200</w:t>
            </w:r>
          </w:p>
        </w:tc>
        <w:tc>
          <w:tcPr>
            <w:tcW w:w="1396" w:type="dxa"/>
            <w:shd w:val="clear" w:color="auto" w:fill="auto"/>
            <w:noWrap/>
            <w:vAlign w:val="center"/>
            <w:hideMark/>
          </w:tcPr>
          <w:p w:rsidR="00F077DA" w:rsidRDefault="005B5D40"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148900;215050</w:t>
            </w:r>
          </w:p>
        </w:tc>
        <w:tc>
          <w:tcPr>
            <w:tcW w:w="1396" w:type="dxa"/>
            <w:shd w:val="clear" w:color="auto" w:fill="auto"/>
            <w:noWrap/>
            <w:vAlign w:val="center"/>
            <w:hideMark/>
          </w:tcPr>
          <w:p w:rsidR="00F077DA" w:rsidRDefault="005B5D40" w:rsidP="00F077DA">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lang w:val="nl-NL" w:eastAsia="nl-NL"/>
              </w:rPr>
              <w:t>149600;215450</w:t>
            </w:r>
          </w:p>
        </w:tc>
      </w:tr>
      <w:tr w:rsidR="004D60A6" w:rsidRPr="00E37235" w:rsidTr="005B5D40">
        <w:trPr>
          <w:trHeight w:val="300"/>
        </w:trPr>
        <w:tc>
          <w:tcPr>
            <w:tcW w:w="2140" w:type="dxa"/>
            <w:shd w:val="clear" w:color="auto" w:fill="auto"/>
            <w:noWrap/>
            <w:vAlign w:val="bottom"/>
            <w:hideMark/>
          </w:tcPr>
          <w:p w:rsidR="00F077DA" w:rsidRDefault="004D60A6" w:rsidP="00F077DA">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crotonaldehyde</w:t>
            </w:r>
          </w:p>
        </w:tc>
        <w:tc>
          <w:tcPr>
            <w:tcW w:w="1412"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0,2</w:t>
            </w:r>
          </w:p>
        </w:tc>
        <w:tc>
          <w:tcPr>
            <w:tcW w:w="1396"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0,4</w:t>
            </w:r>
          </w:p>
        </w:tc>
        <w:tc>
          <w:tcPr>
            <w:tcW w:w="1396"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0,5</w:t>
            </w:r>
          </w:p>
        </w:tc>
        <w:tc>
          <w:tcPr>
            <w:tcW w:w="1396"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0,6</w:t>
            </w:r>
          </w:p>
        </w:tc>
      </w:tr>
      <w:tr w:rsidR="004D60A6" w:rsidRPr="00E37235" w:rsidTr="005B5D40">
        <w:trPr>
          <w:trHeight w:val="300"/>
        </w:trPr>
        <w:tc>
          <w:tcPr>
            <w:tcW w:w="2140" w:type="dxa"/>
            <w:shd w:val="clear" w:color="auto" w:fill="auto"/>
            <w:noWrap/>
            <w:vAlign w:val="bottom"/>
            <w:hideMark/>
          </w:tcPr>
          <w:p w:rsidR="00F077DA" w:rsidRDefault="004D60A6" w:rsidP="00F077DA">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benzeen</w:t>
            </w:r>
          </w:p>
        </w:tc>
        <w:tc>
          <w:tcPr>
            <w:tcW w:w="1412"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0,01</w:t>
            </w:r>
          </w:p>
        </w:tc>
        <w:tc>
          <w:tcPr>
            <w:tcW w:w="1396"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0,03</w:t>
            </w:r>
          </w:p>
        </w:tc>
        <w:tc>
          <w:tcPr>
            <w:tcW w:w="1396"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0,03</w:t>
            </w:r>
          </w:p>
        </w:tc>
        <w:tc>
          <w:tcPr>
            <w:tcW w:w="1396"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0,04</w:t>
            </w:r>
          </w:p>
        </w:tc>
      </w:tr>
      <w:tr w:rsidR="004D60A6" w:rsidRPr="00E37235" w:rsidTr="005B5D40">
        <w:trPr>
          <w:trHeight w:val="300"/>
        </w:trPr>
        <w:tc>
          <w:tcPr>
            <w:tcW w:w="2140" w:type="dxa"/>
            <w:shd w:val="clear" w:color="auto" w:fill="auto"/>
            <w:noWrap/>
            <w:vAlign w:val="bottom"/>
            <w:hideMark/>
          </w:tcPr>
          <w:p w:rsidR="00F077DA" w:rsidRDefault="004D60A6" w:rsidP="00F077DA">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chloroform</w:t>
            </w:r>
          </w:p>
        </w:tc>
        <w:tc>
          <w:tcPr>
            <w:tcW w:w="1412"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0,3</w:t>
            </w:r>
          </w:p>
        </w:tc>
        <w:tc>
          <w:tcPr>
            <w:tcW w:w="1396"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b/>
                <w:sz w:val="18"/>
                <w:szCs w:val="18"/>
                <w:lang w:val="nl-NL" w:eastAsia="nl-NL"/>
              </w:rPr>
            </w:pPr>
            <w:r>
              <w:t>0,8</w:t>
            </w:r>
          </w:p>
        </w:tc>
        <w:tc>
          <w:tcPr>
            <w:tcW w:w="1396"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b/>
                <w:sz w:val="18"/>
                <w:szCs w:val="18"/>
                <w:lang w:val="nl-NL" w:eastAsia="nl-NL"/>
              </w:rPr>
            </w:pPr>
            <w:r>
              <w:t>0,9</w:t>
            </w:r>
          </w:p>
        </w:tc>
        <w:tc>
          <w:tcPr>
            <w:tcW w:w="1396"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1,0</w:t>
            </w:r>
          </w:p>
        </w:tc>
      </w:tr>
      <w:tr w:rsidR="004D60A6" w:rsidRPr="00E37235" w:rsidTr="005B5D40">
        <w:trPr>
          <w:trHeight w:val="300"/>
        </w:trPr>
        <w:tc>
          <w:tcPr>
            <w:tcW w:w="2140" w:type="dxa"/>
            <w:shd w:val="clear" w:color="auto" w:fill="auto"/>
            <w:noWrap/>
            <w:vAlign w:val="bottom"/>
            <w:hideMark/>
          </w:tcPr>
          <w:p w:rsidR="00F077DA" w:rsidRDefault="004D60A6" w:rsidP="00F077DA">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tetrachloorkoolstof</w:t>
            </w:r>
          </w:p>
        </w:tc>
        <w:tc>
          <w:tcPr>
            <w:tcW w:w="1412"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0,3</w:t>
            </w:r>
          </w:p>
        </w:tc>
        <w:tc>
          <w:tcPr>
            <w:tcW w:w="1396"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0,7</w:t>
            </w:r>
          </w:p>
        </w:tc>
        <w:tc>
          <w:tcPr>
            <w:tcW w:w="1396"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0,8</w:t>
            </w:r>
          </w:p>
        </w:tc>
        <w:tc>
          <w:tcPr>
            <w:tcW w:w="1396" w:type="dxa"/>
            <w:shd w:val="clear" w:color="auto" w:fill="auto"/>
            <w:noWrap/>
            <w:vAlign w:val="bottom"/>
            <w:hideMark/>
          </w:tcPr>
          <w:p w:rsidR="00F077DA" w:rsidRDefault="004D60A6" w:rsidP="00F077DA">
            <w:pPr>
              <w:keepNext/>
              <w:spacing w:before="0" w:after="0" w:line="240" w:lineRule="auto"/>
              <w:jc w:val="center"/>
              <w:rPr>
                <w:rFonts w:asciiTheme="minorHAnsi" w:hAnsiTheme="minorHAnsi" w:cstheme="minorHAnsi"/>
                <w:sz w:val="18"/>
                <w:szCs w:val="18"/>
                <w:lang w:val="nl-NL" w:eastAsia="nl-NL"/>
              </w:rPr>
            </w:pPr>
            <w:r>
              <w:t>0,9</w:t>
            </w:r>
          </w:p>
        </w:tc>
      </w:tr>
    </w:tbl>
    <w:p w:rsidR="004D60A6" w:rsidRDefault="004D60A6" w:rsidP="004D60A6">
      <w:pPr>
        <w:rPr>
          <w:lang w:val="nl-NL"/>
        </w:rPr>
      </w:pPr>
    </w:p>
    <w:p w:rsidR="004D60A6" w:rsidRDefault="004D60A6" w:rsidP="004D60A6">
      <w:pPr>
        <w:rPr>
          <w:lang w:val="nl-NL"/>
        </w:rPr>
      </w:pPr>
      <w:r>
        <w:rPr>
          <w:lang w:val="nl-NL"/>
        </w:rPr>
        <w:t>Uit de berekeningen voor dit maximalistisch scenario (</w:t>
      </w:r>
      <w:r>
        <w:t xml:space="preserve">zeer) </w:t>
      </w:r>
      <w:r w:rsidRPr="003601F6">
        <w:t xml:space="preserve">giftige en </w:t>
      </w:r>
      <w:r>
        <w:t xml:space="preserve">CMR-stoffen, </w:t>
      </w:r>
      <w:r>
        <w:rPr>
          <w:lang w:val="nl-NL"/>
        </w:rPr>
        <w:t xml:space="preserve"> blijkt dat zelfs na de uitbreiding de impact t.h.v. de beoordelingspunten </w:t>
      </w:r>
      <w:r>
        <w:rPr>
          <w:rFonts w:asciiTheme="minorHAnsi" w:hAnsiTheme="minorHAnsi" w:cstheme="minorHAnsi"/>
          <w:sz w:val="18"/>
          <w:szCs w:val="18"/>
        </w:rPr>
        <w:t xml:space="preserve">in industriegebied (in de onmiddellijke omgeving van het bedrijf) </w:t>
      </w:r>
      <w:r>
        <w:rPr>
          <w:lang w:val="nl-NL"/>
        </w:rPr>
        <w:t>als beperkt/verwaarloosbaar mag beschouwd worden.</w:t>
      </w:r>
    </w:p>
    <w:p w:rsidR="004D60A6" w:rsidRDefault="004D60A6" w:rsidP="004D60A6">
      <w:pPr>
        <w:rPr>
          <w:lang w:val="nl-NL"/>
        </w:rPr>
      </w:pPr>
      <w:r>
        <w:rPr>
          <w:lang w:val="nl-NL"/>
        </w:rPr>
        <w:t>Uitgaande van de berekende emissies en de uitgevoerde modelberekeningen worden t.h.v. de woongebieden de impactbijdragen berekend voor fase 1 en 2.</w:t>
      </w:r>
    </w:p>
    <w:p w:rsidR="00D729DF" w:rsidRDefault="00D729DF" w:rsidP="004D60A6">
      <w:pPr>
        <w:pStyle w:val="Caption"/>
        <w:keepNext/>
        <w:rPr>
          <w:highlight w:val="yellow"/>
        </w:rPr>
      </w:pPr>
    </w:p>
    <w:p w:rsidR="004D60A6" w:rsidRDefault="00F077DA" w:rsidP="004D60A6">
      <w:pPr>
        <w:pStyle w:val="Caption"/>
        <w:keepNext/>
      </w:pPr>
      <w:r w:rsidRPr="00F077DA">
        <w:t xml:space="preserve">Tabel </w:t>
      </w:r>
      <w:fldSimple w:instr=" REF t_lucht_TCMR_max_berekend_woonzone \h  \* MERGEFORMAT ">
        <w:r w:rsidR="008102D8">
          <w:t>VIII.2.21</w:t>
        </w:r>
      </w:fldSimple>
      <w:r w:rsidR="000615B1">
        <w:t xml:space="preserve">.A </w:t>
      </w:r>
      <w:r w:rsidR="000615B1">
        <w:rPr>
          <w:rFonts w:asciiTheme="minorHAnsi" w:hAnsiTheme="minorHAnsi" w:cstheme="minorHAnsi"/>
          <w:sz w:val="18"/>
          <w:szCs w:val="18"/>
        </w:rPr>
        <w:t>Overzicht</w:t>
      </w:r>
      <w:r w:rsidR="004D60A6" w:rsidRPr="00E37235">
        <w:rPr>
          <w:rFonts w:asciiTheme="minorHAnsi" w:hAnsiTheme="minorHAnsi" w:cstheme="minorHAnsi"/>
          <w:sz w:val="18"/>
          <w:szCs w:val="18"/>
        </w:rPr>
        <w:t xml:space="preserve"> berekende </w:t>
      </w:r>
      <w:r w:rsidR="004D60A6">
        <w:rPr>
          <w:rFonts w:asciiTheme="minorHAnsi" w:hAnsiTheme="minorHAnsi" w:cstheme="minorHAnsi"/>
          <w:sz w:val="18"/>
          <w:szCs w:val="18"/>
        </w:rPr>
        <w:t xml:space="preserve">totale </w:t>
      </w:r>
      <w:r w:rsidR="004D60A6" w:rsidRPr="00E37235">
        <w:rPr>
          <w:rFonts w:asciiTheme="minorHAnsi" w:hAnsiTheme="minorHAnsi" w:cstheme="minorHAnsi"/>
          <w:sz w:val="18"/>
          <w:szCs w:val="18"/>
        </w:rPr>
        <w:t xml:space="preserve">bijdrage </w:t>
      </w:r>
      <w:r w:rsidR="004D60A6">
        <w:t xml:space="preserve">in µg/m³ </w:t>
      </w:r>
      <w:r w:rsidR="004D60A6" w:rsidRPr="00E37235">
        <w:rPr>
          <w:rFonts w:asciiTheme="minorHAnsi" w:hAnsiTheme="minorHAnsi" w:cstheme="minorHAnsi"/>
          <w:sz w:val="18"/>
          <w:szCs w:val="18"/>
        </w:rPr>
        <w:t xml:space="preserve">giftige en carcinogene producten t.h.v. </w:t>
      </w:r>
      <w:r w:rsidR="004D60A6">
        <w:rPr>
          <w:rFonts w:asciiTheme="minorHAnsi" w:hAnsiTheme="minorHAnsi" w:cstheme="minorHAnsi"/>
          <w:sz w:val="18"/>
          <w:szCs w:val="18"/>
        </w:rPr>
        <w:t>verschillende beoordelingspunten t.h.v. de meest nabijgelegen woongebieden (</w:t>
      </w:r>
      <w:r w:rsidR="004D60A6">
        <w:rPr>
          <w:rFonts w:asciiTheme="minorHAnsi" w:hAnsiTheme="minorHAnsi" w:cstheme="minorHAnsi"/>
          <w:sz w:val="18"/>
          <w:szCs w:val="18"/>
          <w:lang w:val="nl-NL" w:eastAsia="nl-NL"/>
        </w:rPr>
        <w:t>toekomstige</w:t>
      </w:r>
      <w:r w:rsidR="004D60A6" w:rsidRPr="00E37235">
        <w:rPr>
          <w:rFonts w:asciiTheme="minorHAnsi" w:hAnsiTheme="minorHAnsi" w:cstheme="minorHAnsi"/>
          <w:sz w:val="18"/>
          <w:szCs w:val="18"/>
          <w:lang w:val="nl-NL" w:eastAsia="nl-NL"/>
        </w:rPr>
        <w:t xml:space="preserve"> situatie</w:t>
      </w:r>
      <w:r w:rsidR="004D60A6">
        <w:rPr>
          <w:rFonts w:asciiTheme="minorHAnsi" w:hAnsiTheme="minorHAnsi" w:cstheme="minorHAnsi"/>
          <w:sz w:val="18"/>
          <w:szCs w:val="18"/>
          <w:lang w:val="nl-NL" w:eastAsia="nl-NL"/>
        </w:rPr>
        <w:t>, fase 1 en 2)</w:t>
      </w:r>
    </w:p>
    <w:tbl>
      <w:tblPr>
        <w:tblW w:w="91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40"/>
        <w:gridCol w:w="1412"/>
        <w:gridCol w:w="1396"/>
        <w:gridCol w:w="1396"/>
        <w:gridCol w:w="1396"/>
        <w:gridCol w:w="1372"/>
      </w:tblGrid>
      <w:tr w:rsidR="004D60A6" w:rsidRPr="00E37235" w:rsidTr="004D60A6">
        <w:trPr>
          <w:trHeight w:val="300"/>
        </w:trPr>
        <w:tc>
          <w:tcPr>
            <w:tcW w:w="2140" w:type="dxa"/>
            <w:shd w:val="clear" w:color="auto" w:fill="auto"/>
            <w:noWrap/>
            <w:vAlign w:val="center"/>
            <w:hideMark/>
          </w:tcPr>
          <w:p w:rsidR="004D60A6" w:rsidRPr="00E37235" w:rsidRDefault="004D60A6" w:rsidP="004D60A6">
            <w:pPr>
              <w:keepNext/>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Locatie</w:t>
            </w:r>
          </w:p>
        </w:tc>
        <w:tc>
          <w:tcPr>
            <w:tcW w:w="1412"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LO (St-Anna)</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Kallo</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Ekeren</w:t>
            </w:r>
          </w:p>
        </w:tc>
        <w:tc>
          <w:tcPr>
            <w:tcW w:w="1396" w:type="dxa"/>
            <w:shd w:val="clear" w:color="auto" w:fill="auto"/>
            <w:noWrap/>
            <w:vAlign w:val="center"/>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p>
        </w:tc>
        <w:tc>
          <w:tcPr>
            <w:tcW w:w="1372" w:type="dxa"/>
            <w:vAlign w:val="center"/>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Opslag-hoeveelheden</w:t>
            </w:r>
          </w:p>
        </w:tc>
      </w:tr>
      <w:tr w:rsidR="004D60A6" w:rsidRPr="00E37235" w:rsidTr="004D60A6">
        <w:trPr>
          <w:trHeight w:val="300"/>
        </w:trPr>
        <w:tc>
          <w:tcPr>
            <w:tcW w:w="2140" w:type="dxa"/>
            <w:shd w:val="clear" w:color="auto" w:fill="auto"/>
            <w:noWrap/>
            <w:vAlign w:val="center"/>
            <w:hideMark/>
          </w:tcPr>
          <w:p w:rsidR="004D60A6" w:rsidRPr="00E37235" w:rsidRDefault="004D60A6" w:rsidP="004D60A6">
            <w:pPr>
              <w:keepNext/>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Windrichting</w:t>
            </w:r>
          </w:p>
        </w:tc>
        <w:tc>
          <w:tcPr>
            <w:tcW w:w="1412"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Ten ZO</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Ten W</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Ten NO</w:t>
            </w:r>
          </w:p>
        </w:tc>
        <w:tc>
          <w:tcPr>
            <w:tcW w:w="1396" w:type="dxa"/>
            <w:shd w:val="clear" w:color="auto" w:fill="auto"/>
            <w:noWrap/>
            <w:vAlign w:val="center"/>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p>
        </w:tc>
        <w:tc>
          <w:tcPr>
            <w:tcW w:w="1372" w:type="dxa"/>
            <w:vAlign w:val="center"/>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rFonts w:asciiTheme="minorHAnsi" w:hAnsiTheme="minorHAnsi" w:cstheme="minorHAnsi"/>
                <w:sz w:val="18"/>
                <w:szCs w:val="18"/>
                <w:lang w:val="nl-NL" w:eastAsia="nl-NL"/>
              </w:rPr>
              <w:t>ton</w:t>
            </w:r>
          </w:p>
        </w:tc>
      </w:tr>
      <w:tr w:rsidR="004D60A6" w:rsidRPr="00E37235" w:rsidTr="004D60A6">
        <w:trPr>
          <w:trHeight w:val="300"/>
        </w:trPr>
        <w:tc>
          <w:tcPr>
            <w:tcW w:w="2140" w:type="dxa"/>
            <w:shd w:val="clear" w:color="auto" w:fill="auto"/>
            <w:noWrap/>
            <w:vAlign w:val="center"/>
            <w:hideMark/>
          </w:tcPr>
          <w:p w:rsidR="004D60A6" w:rsidRPr="00E37235" w:rsidRDefault="004D60A6" w:rsidP="004D60A6">
            <w:pPr>
              <w:keepNext/>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coördinaten</w:t>
            </w:r>
          </w:p>
        </w:tc>
        <w:tc>
          <w:tcPr>
            <w:tcW w:w="1412"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151.500;213.900</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144.300;215.900</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153.200;218.400</w:t>
            </w:r>
          </w:p>
        </w:tc>
        <w:tc>
          <w:tcPr>
            <w:tcW w:w="1396" w:type="dxa"/>
            <w:shd w:val="clear" w:color="auto" w:fill="auto"/>
            <w:noWrap/>
            <w:vAlign w:val="center"/>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p>
        </w:tc>
        <w:tc>
          <w:tcPr>
            <w:tcW w:w="1372" w:type="dxa"/>
            <w:vAlign w:val="center"/>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p>
        </w:tc>
      </w:tr>
      <w:tr w:rsidR="004D60A6" w:rsidRPr="00E37235" w:rsidTr="004D60A6">
        <w:trPr>
          <w:trHeight w:val="300"/>
        </w:trPr>
        <w:tc>
          <w:tcPr>
            <w:tcW w:w="2140" w:type="dxa"/>
            <w:shd w:val="clear" w:color="auto" w:fill="auto"/>
            <w:noWrap/>
            <w:vAlign w:val="bottom"/>
            <w:hideMark/>
          </w:tcPr>
          <w:p w:rsidR="004D60A6" w:rsidRPr="00E37235" w:rsidRDefault="004D60A6" w:rsidP="004D60A6">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crotonaldehyde</w:t>
            </w:r>
          </w:p>
        </w:tc>
        <w:tc>
          <w:tcPr>
            <w:tcW w:w="1412"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0,009</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0,002</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0,006</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p>
        </w:tc>
        <w:tc>
          <w:tcPr>
            <w:tcW w:w="1372" w:type="dxa"/>
            <w:vAlign w:val="bottom"/>
          </w:tcPr>
          <w:p w:rsidR="004D60A6" w:rsidRPr="00E37235" w:rsidRDefault="004D60A6" w:rsidP="004D60A6">
            <w:pPr>
              <w:keepNext/>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10.000</w:t>
            </w:r>
          </w:p>
        </w:tc>
      </w:tr>
      <w:tr w:rsidR="004D60A6" w:rsidRPr="00E37235" w:rsidTr="004D60A6">
        <w:trPr>
          <w:trHeight w:val="300"/>
        </w:trPr>
        <w:tc>
          <w:tcPr>
            <w:tcW w:w="2140" w:type="dxa"/>
            <w:shd w:val="clear" w:color="auto" w:fill="auto"/>
            <w:noWrap/>
            <w:vAlign w:val="bottom"/>
            <w:hideMark/>
          </w:tcPr>
          <w:p w:rsidR="004D60A6" w:rsidRPr="00E37235" w:rsidRDefault="004D60A6" w:rsidP="004D60A6">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benzeen</w:t>
            </w:r>
          </w:p>
        </w:tc>
        <w:tc>
          <w:tcPr>
            <w:tcW w:w="1412"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0,00010</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0,00003</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0,00007</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p>
        </w:tc>
        <w:tc>
          <w:tcPr>
            <w:tcW w:w="1372" w:type="dxa"/>
            <w:vAlign w:val="bottom"/>
          </w:tcPr>
          <w:p w:rsidR="004D60A6" w:rsidRPr="00E37235" w:rsidRDefault="004D60A6" w:rsidP="004D60A6">
            <w:pPr>
              <w:keepNext/>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10.000</w:t>
            </w:r>
          </w:p>
        </w:tc>
      </w:tr>
      <w:tr w:rsidR="004D60A6" w:rsidRPr="00E37235" w:rsidTr="004D60A6">
        <w:trPr>
          <w:trHeight w:val="300"/>
        </w:trPr>
        <w:tc>
          <w:tcPr>
            <w:tcW w:w="2140" w:type="dxa"/>
            <w:shd w:val="clear" w:color="auto" w:fill="auto"/>
            <w:noWrap/>
            <w:vAlign w:val="bottom"/>
            <w:hideMark/>
          </w:tcPr>
          <w:p w:rsidR="004D60A6" w:rsidRPr="00E37235" w:rsidRDefault="004D60A6" w:rsidP="004D60A6">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chloroform</w:t>
            </w:r>
          </w:p>
        </w:tc>
        <w:tc>
          <w:tcPr>
            <w:tcW w:w="1412"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0,054</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0,015</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0,039</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p>
        </w:tc>
        <w:tc>
          <w:tcPr>
            <w:tcW w:w="1372" w:type="dxa"/>
            <w:vAlign w:val="bottom"/>
          </w:tcPr>
          <w:p w:rsidR="004D60A6" w:rsidRPr="00E37235" w:rsidRDefault="004D60A6" w:rsidP="004D60A6">
            <w:pPr>
              <w:keepNext/>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10.000</w:t>
            </w:r>
          </w:p>
        </w:tc>
      </w:tr>
      <w:tr w:rsidR="004D60A6" w:rsidRPr="00E37235" w:rsidTr="004D60A6">
        <w:trPr>
          <w:trHeight w:val="300"/>
        </w:trPr>
        <w:tc>
          <w:tcPr>
            <w:tcW w:w="2140" w:type="dxa"/>
            <w:shd w:val="clear" w:color="auto" w:fill="auto"/>
            <w:noWrap/>
            <w:vAlign w:val="bottom"/>
            <w:hideMark/>
          </w:tcPr>
          <w:p w:rsidR="004D60A6" w:rsidRPr="00E37235" w:rsidRDefault="004D60A6" w:rsidP="004D60A6">
            <w:pPr>
              <w:keepNext/>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tetrachloorkoolstof</w:t>
            </w:r>
          </w:p>
        </w:tc>
        <w:tc>
          <w:tcPr>
            <w:tcW w:w="1412"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0,030</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0,009</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r>
              <w:rPr>
                <w:sz w:val="18"/>
                <w:szCs w:val="18"/>
              </w:rPr>
              <w:t>0,022</w:t>
            </w:r>
          </w:p>
        </w:tc>
        <w:tc>
          <w:tcPr>
            <w:tcW w:w="1396" w:type="dxa"/>
            <w:shd w:val="clear" w:color="auto" w:fill="auto"/>
            <w:noWrap/>
            <w:vAlign w:val="bottom"/>
            <w:hideMark/>
          </w:tcPr>
          <w:p w:rsidR="004D60A6" w:rsidRPr="00E37235" w:rsidRDefault="004D60A6" w:rsidP="004D60A6">
            <w:pPr>
              <w:keepNext/>
              <w:spacing w:before="0" w:after="0" w:line="240" w:lineRule="auto"/>
              <w:jc w:val="center"/>
              <w:rPr>
                <w:rFonts w:asciiTheme="minorHAnsi" w:hAnsiTheme="minorHAnsi" w:cstheme="minorHAnsi"/>
                <w:sz w:val="18"/>
                <w:szCs w:val="18"/>
                <w:lang w:val="nl-NL" w:eastAsia="nl-NL"/>
              </w:rPr>
            </w:pPr>
          </w:p>
        </w:tc>
        <w:tc>
          <w:tcPr>
            <w:tcW w:w="1372" w:type="dxa"/>
            <w:vAlign w:val="bottom"/>
          </w:tcPr>
          <w:p w:rsidR="004D60A6" w:rsidRPr="00E37235" w:rsidRDefault="004D60A6" w:rsidP="004D60A6">
            <w:pPr>
              <w:keepNext/>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10.000</w:t>
            </w:r>
          </w:p>
        </w:tc>
      </w:tr>
    </w:tbl>
    <w:p w:rsidR="00D729DF" w:rsidRDefault="00D729DF" w:rsidP="004D60A6">
      <w:pPr>
        <w:pStyle w:val="Caption"/>
        <w:keepNext/>
        <w:rPr>
          <w:highlight w:val="yellow"/>
        </w:rPr>
      </w:pPr>
    </w:p>
    <w:p w:rsidR="004D60A6" w:rsidRPr="00644C21" w:rsidRDefault="00F077DA" w:rsidP="004D60A6">
      <w:pPr>
        <w:pStyle w:val="Caption"/>
        <w:keepNext/>
      </w:pPr>
      <w:r w:rsidRPr="00F077DA">
        <w:t xml:space="preserve">Tabel </w:t>
      </w:r>
      <w:fldSimple w:instr=" REF t_lucht_TCMR_max_berekend_woonzone \h  \* MERGEFORMAT ">
        <w:r w:rsidR="008102D8">
          <w:t>VIII.2.21</w:t>
        </w:r>
      </w:fldSimple>
      <w:r w:rsidRPr="00F077DA">
        <w:t xml:space="preserve">.B </w:t>
      </w:r>
      <w:r w:rsidR="000615B1">
        <w:rPr>
          <w:rFonts w:asciiTheme="minorHAnsi" w:hAnsiTheme="minorHAnsi" w:cstheme="minorHAnsi"/>
          <w:sz w:val="18"/>
          <w:szCs w:val="18"/>
        </w:rPr>
        <w:t>Overzicht</w:t>
      </w:r>
      <w:r w:rsidR="004D60A6" w:rsidRPr="00E37235">
        <w:rPr>
          <w:rFonts w:asciiTheme="minorHAnsi" w:hAnsiTheme="minorHAnsi" w:cstheme="minorHAnsi"/>
          <w:sz w:val="18"/>
          <w:szCs w:val="18"/>
        </w:rPr>
        <w:t xml:space="preserve"> berekende </w:t>
      </w:r>
      <w:r w:rsidR="004D60A6">
        <w:rPr>
          <w:rFonts w:asciiTheme="minorHAnsi" w:hAnsiTheme="minorHAnsi" w:cstheme="minorHAnsi"/>
          <w:sz w:val="18"/>
          <w:szCs w:val="18"/>
        </w:rPr>
        <w:t xml:space="preserve">totale relatieve </w:t>
      </w:r>
      <w:r w:rsidR="004D60A6" w:rsidRPr="00E37235">
        <w:rPr>
          <w:rFonts w:asciiTheme="minorHAnsi" w:hAnsiTheme="minorHAnsi" w:cstheme="minorHAnsi"/>
          <w:sz w:val="18"/>
          <w:szCs w:val="18"/>
        </w:rPr>
        <w:t xml:space="preserve">bijdrage </w:t>
      </w:r>
      <w:r w:rsidR="004D60A6">
        <w:t xml:space="preserve"> </w:t>
      </w:r>
      <w:r w:rsidR="004D60A6" w:rsidRPr="00E37235">
        <w:rPr>
          <w:rFonts w:asciiTheme="minorHAnsi" w:hAnsiTheme="minorHAnsi" w:cstheme="minorHAnsi"/>
          <w:sz w:val="18"/>
          <w:szCs w:val="18"/>
        </w:rPr>
        <w:t xml:space="preserve">giftige en carcinogene producten t.h.v. </w:t>
      </w:r>
      <w:r w:rsidR="004D60A6">
        <w:rPr>
          <w:rFonts w:asciiTheme="minorHAnsi" w:hAnsiTheme="minorHAnsi" w:cstheme="minorHAnsi"/>
          <w:sz w:val="18"/>
          <w:szCs w:val="18"/>
        </w:rPr>
        <w:t xml:space="preserve">verschillende beoordelingspunten t.h.v. de meest nabijgelegen woongebieden  (impact </w:t>
      </w:r>
      <w:r w:rsidR="004D60A6" w:rsidRPr="00E37235">
        <w:rPr>
          <w:rFonts w:asciiTheme="minorHAnsi" w:hAnsiTheme="minorHAnsi" w:cstheme="minorHAnsi"/>
          <w:sz w:val="18"/>
          <w:szCs w:val="18"/>
          <w:lang w:val="nl-NL" w:eastAsia="nl-NL"/>
        </w:rPr>
        <w:t xml:space="preserve">toekomstige situatie fase </w:t>
      </w:r>
      <w:r w:rsidR="004D60A6">
        <w:rPr>
          <w:rFonts w:asciiTheme="minorHAnsi" w:hAnsiTheme="minorHAnsi" w:cstheme="minorHAnsi"/>
          <w:sz w:val="18"/>
          <w:szCs w:val="18"/>
          <w:lang w:val="nl-NL" w:eastAsia="nl-NL"/>
        </w:rPr>
        <w:t xml:space="preserve">1 of </w:t>
      </w:r>
      <w:r w:rsidR="004D60A6" w:rsidRPr="00E37235">
        <w:rPr>
          <w:rFonts w:asciiTheme="minorHAnsi" w:hAnsiTheme="minorHAnsi" w:cstheme="minorHAnsi"/>
          <w:sz w:val="18"/>
          <w:szCs w:val="18"/>
          <w:lang w:val="nl-NL" w:eastAsia="nl-NL"/>
        </w:rPr>
        <w:t>2, uitgedrukt in % t.o.v. de doelstellingen</w:t>
      </w:r>
      <w:r w:rsidR="004D60A6">
        <w:rPr>
          <w:rFonts w:asciiTheme="minorHAnsi" w:hAnsiTheme="minorHAnsi" w:cstheme="minorHAnsi"/>
          <w:sz w:val="18"/>
          <w:szCs w:val="18"/>
          <w:lang w:val="nl-NL" w:eastAsia="nl-NL"/>
        </w:rPr>
        <w:t>)</w:t>
      </w:r>
    </w:p>
    <w:tbl>
      <w:tblPr>
        <w:tblW w:w="91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40"/>
        <w:gridCol w:w="1412"/>
        <w:gridCol w:w="1396"/>
        <w:gridCol w:w="1396"/>
        <w:gridCol w:w="1396"/>
        <w:gridCol w:w="1372"/>
      </w:tblGrid>
      <w:tr w:rsidR="004D60A6" w:rsidRPr="00E37235" w:rsidTr="004D60A6">
        <w:trPr>
          <w:trHeight w:val="300"/>
        </w:trPr>
        <w:tc>
          <w:tcPr>
            <w:tcW w:w="2140" w:type="dxa"/>
            <w:shd w:val="clear" w:color="auto" w:fill="auto"/>
            <w:noWrap/>
            <w:vAlign w:val="center"/>
            <w:hideMark/>
          </w:tcPr>
          <w:p w:rsidR="004D60A6" w:rsidRPr="00E37235" w:rsidRDefault="004D60A6" w:rsidP="004D60A6">
            <w:pPr>
              <w:keepLines w:val="0"/>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Locatie</w:t>
            </w:r>
          </w:p>
        </w:tc>
        <w:tc>
          <w:tcPr>
            <w:tcW w:w="1412"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LO (St-Anna)</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Kallo</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Ekeren</w:t>
            </w:r>
          </w:p>
        </w:tc>
        <w:tc>
          <w:tcPr>
            <w:tcW w:w="1396" w:type="dxa"/>
            <w:shd w:val="clear" w:color="auto" w:fill="auto"/>
            <w:noWrap/>
            <w:vAlign w:val="center"/>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p>
        </w:tc>
        <w:tc>
          <w:tcPr>
            <w:tcW w:w="1372" w:type="dxa"/>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toetsingswaarde</w:t>
            </w:r>
          </w:p>
        </w:tc>
      </w:tr>
      <w:tr w:rsidR="004D60A6" w:rsidRPr="00E37235" w:rsidTr="004D60A6">
        <w:trPr>
          <w:trHeight w:val="300"/>
        </w:trPr>
        <w:tc>
          <w:tcPr>
            <w:tcW w:w="2140" w:type="dxa"/>
            <w:shd w:val="clear" w:color="auto" w:fill="auto"/>
            <w:noWrap/>
            <w:vAlign w:val="center"/>
            <w:hideMark/>
          </w:tcPr>
          <w:p w:rsidR="004D60A6" w:rsidRPr="00E37235" w:rsidRDefault="004D60A6" w:rsidP="004D60A6">
            <w:pPr>
              <w:keepLines w:val="0"/>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Windrichting</w:t>
            </w:r>
          </w:p>
        </w:tc>
        <w:tc>
          <w:tcPr>
            <w:tcW w:w="1412"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Ten ZO</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Ten W</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Ten NO</w:t>
            </w:r>
          </w:p>
        </w:tc>
        <w:tc>
          <w:tcPr>
            <w:tcW w:w="1396" w:type="dxa"/>
            <w:shd w:val="clear" w:color="auto" w:fill="auto"/>
            <w:noWrap/>
            <w:vAlign w:val="center"/>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p>
        </w:tc>
        <w:tc>
          <w:tcPr>
            <w:tcW w:w="1372" w:type="dxa"/>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µg/m³</w:t>
            </w:r>
          </w:p>
        </w:tc>
      </w:tr>
      <w:tr w:rsidR="004D60A6" w:rsidRPr="00E37235" w:rsidTr="004D60A6">
        <w:trPr>
          <w:trHeight w:val="300"/>
        </w:trPr>
        <w:tc>
          <w:tcPr>
            <w:tcW w:w="2140" w:type="dxa"/>
            <w:shd w:val="clear" w:color="auto" w:fill="auto"/>
            <w:noWrap/>
            <w:vAlign w:val="center"/>
            <w:hideMark/>
          </w:tcPr>
          <w:p w:rsidR="004D60A6" w:rsidRPr="00E37235" w:rsidRDefault="004D60A6" w:rsidP="004D60A6">
            <w:pPr>
              <w:keepLines w:val="0"/>
              <w:spacing w:before="0" w:after="0" w:line="240" w:lineRule="auto"/>
              <w:rPr>
                <w:rFonts w:asciiTheme="minorHAnsi" w:hAnsiTheme="minorHAnsi" w:cstheme="minorHAnsi"/>
                <w:sz w:val="18"/>
                <w:szCs w:val="18"/>
                <w:lang w:eastAsia="nl-NL"/>
              </w:rPr>
            </w:pPr>
            <w:r w:rsidRPr="00E37235">
              <w:rPr>
                <w:rFonts w:asciiTheme="minorHAnsi" w:hAnsiTheme="minorHAnsi" w:cstheme="minorHAnsi"/>
                <w:sz w:val="18"/>
                <w:szCs w:val="18"/>
                <w:lang w:val="nl-NL" w:eastAsia="nl-NL"/>
              </w:rPr>
              <w:t>coördinaten</w:t>
            </w:r>
          </w:p>
        </w:tc>
        <w:tc>
          <w:tcPr>
            <w:tcW w:w="1412"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151.500;213.900</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144.300;215.900</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153.200;218.400</w:t>
            </w:r>
          </w:p>
        </w:tc>
        <w:tc>
          <w:tcPr>
            <w:tcW w:w="1396" w:type="dxa"/>
            <w:shd w:val="clear" w:color="auto" w:fill="auto"/>
            <w:noWrap/>
            <w:vAlign w:val="center"/>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p>
        </w:tc>
        <w:tc>
          <w:tcPr>
            <w:tcW w:w="1372" w:type="dxa"/>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 </w:t>
            </w:r>
          </w:p>
        </w:tc>
      </w:tr>
      <w:tr w:rsidR="004D60A6" w:rsidRPr="00E37235" w:rsidTr="004D60A6">
        <w:trPr>
          <w:trHeight w:val="300"/>
        </w:trPr>
        <w:tc>
          <w:tcPr>
            <w:tcW w:w="2140" w:type="dxa"/>
            <w:shd w:val="clear" w:color="auto" w:fill="auto"/>
            <w:noWrap/>
            <w:vAlign w:val="bottom"/>
            <w:hideMark/>
          </w:tcPr>
          <w:p w:rsidR="004D60A6" w:rsidRPr="00E37235" w:rsidRDefault="004D60A6" w:rsidP="004D60A6">
            <w:pPr>
              <w:keepLines w:val="0"/>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crotonaldehyde</w:t>
            </w:r>
          </w:p>
        </w:tc>
        <w:tc>
          <w:tcPr>
            <w:tcW w:w="1412"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0,6</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0,2</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0,4</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p>
        </w:tc>
        <w:tc>
          <w:tcPr>
            <w:tcW w:w="1372" w:type="dxa"/>
            <w:vAlign w:val="bottom"/>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1,4</w:t>
            </w:r>
          </w:p>
        </w:tc>
      </w:tr>
      <w:tr w:rsidR="004D60A6" w:rsidRPr="00E37235" w:rsidTr="004D60A6">
        <w:trPr>
          <w:trHeight w:val="300"/>
        </w:trPr>
        <w:tc>
          <w:tcPr>
            <w:tcW w:w="2140" w:type="dxa"/>
            <w:shd w:val="clear" w:color="auto" w:fill="auto"/>
            <w:noWrap/>
            <w:vAlign w:val="bottom"/>
            <w:hideMark/>
          </w:tcPr>
          <w:p w:rsidR="004D60A6" w:rsidRPr="00E37235" w:rsidRDefault="004D60A6" w:rsidP="004D60A6">
            <w:pPr>
              <w:keepLines w:val="0"/>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benzeen</w:t>
            </w:r>
          </w:p>
        </w:tc>
        <w:tc>
          <w:tcPr>
            <w:tcW w:w="1412"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0,06</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0,02</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0,04</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p>
        </w:tc>
        <w:tc>
          <w:tcPr>
            <w:tcW w:w="1372" w:type="dxa"/>
            <w:vAlign w:val="bottom"/>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0,17</w:t>
            </w:r>
          </w:p>
        </w:tc>
      </w:tr>
      <w:tr w:rsidR="004D60A6" w:rsidRPr="00E37235" w:rsidTr="004D60A6">
        <w:trPr>
          <w:trHeight w:val="300"/>
        </w:trPr>
        <w:tc>
          <w:tcPr>
            <w:tcW w:w="2140" w:type="dxa"/>
            <w:shd w:val="clear" w:color="auto" w:fill="auto"/>
            <w:noWrap/>
            <w:vAlign w:val="bottom"/>
            <w:hideMark/>
          </w:tcPr>
          <w:p w:rsidR="004D60A6" w:rsidRPr="00E37235" w:rsidRDefault="004D60A6" w:rsidP="004D60A6">
            <w:pPr>
              <w:keepLines w:val="0"/>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chloroform</w:t>
            </w:r>
          </w:p>
        </w:tc>
        <w:tc>
          <w:tcPr>
            <w:tcW w:w="1412"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5,4</w:t>
            </w:r>
          </w:p>
        </w:tc>
        <w:tc>
          <w:tcPr>
            <w:tcW w:w="1396" w:type="dxa"/>
            <w:shd w:val="clear" w:color="auto" w:fill="auto"/>
            <w:noWrap/>
            <w:vAlign w:val="bottom"/>
            <w:hideMark/>
          </w:tcPr>
          <w:p w:rsidR="004D60A6" w:rsidRPr="00644C21" w:rsidRDefault="004D60A6" w:rsidP="004D60A6">
            <w:pPr>
              <w:keepLines w:val="0"/>
              <w:spacing w:before="0" w:after="0" w:line="240" w:lineRule="auto"/>
              <w:jc w:val="center"/>
              <w:rPr>
                <w:rFonts w:asciiTheme="minorHAnsi" w:hAnsiTheme="minorHAnsi" w:cstheme="minorHAnsi"/>
                <w:b/>
                <w:sz w:val="18"/>
                <w:szCs w:val="18"/>
                <w:lang w:val="nl-NL" w:eastAsia="nl-NL"/>
              </w:rPr>
            </w:pPr>
            <w:r>
              <w:rPr>
                <w:sz w:val="18"/>
                <w:szCs w:val="18"/>
              </w:rPr>
              <w:t>1,5</w:t>
            </w:r>
          </w:p>
        </w:tc>
        <w:tc>
          <w:tcPr>
            <w:tcW w:w="1396" w:type="dxa"/>
            <w:shd w:val="clear" w:color="auto" w:fill="auto"/>
            <w:noWrap/>
            <w:vAlign w:val="bottom"/>
            <w:hideMark/>
          </w:tcPr>
          <w:p w:rsidR="004D60A6" w:rsidRPr="00644C21" w:rsidRDefault="004D60A6" w:rsidP="004D60A6">
            <w:pPr>
              <w:keepLines w:val="0"/>
              <w:spacing w:before="0" w:after="0" w:line="240" w:lineRule="auto"/>
              <w:jc w:val="center"/>
              <w:rPr>
                <w:rFonts w:asciiTheme="minorHAnsi" w:hAnsiTheme="minorHAnsi" w:cstheme="minorHAnsi"/>
                <w:b/>
                <w:sz w:val="18"/>
                <w:szCs w:val="18"/>
                <w:lang w:val="nl-NL" w:eastAsia="nl-NL"/>
              </w:rPr>
            </w:pPr>
            <w:r>
              <w:rPr>
                <w:sz w:val="18"/>
                <w:szCs w:val="18"/>
              </w:rPr>
              <w:t>3,9</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p>
        </w:tc>
        <w:tc>
          <w:tcPr>
            <w:tcW w:w="1372" w:type="dxa"/>
            <w:vAlign w:val="bottom"/>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1</w:t>
            </w:r>
          </w:p>
        </w:tc>
      </w:tr>
      <w:tr w:rsidR="004D60A6" w:rsidRPr="00E37235" w:rsidTr="004D60A6">
        <w:trPr>
          <w:trHeight w:val="300"/>
        </w:trPr>
        <w:tc>
          <w:tcPr>
            <w:tcW w:w="2140" w:type="dxa"/>
            <w:shd w:val="clear" w:color="auto" w:fill="auto"/>
            <w:noWrap/>
            <w:vAlign w:val="bottom"/>
            <w:hideMark/>
          </w:tcPr>
          <w:p w:rsidR="004D60A6" w:rsidRPr="00E37235" w:rsidRDefault="004D60A6" w:rsidP="004D60A6">
            <w:pPr>
              <w:keepLines w:val="0"/>
              <w:spacing w:before="0" w:after="0" w:line="240" w:lineRule="auto"/>
              <w:rPr>
                <w:rFonts w:asciiTheme="minorHAnsi" w:hAnsiTheme="minorHAnsi" w:cstheme="minorHAnsi"/>
                <w:sz w:val="18"/>
                <w:szCs w:val="18"/>
                <w:lang w:val="nl-NL" w:eastAsia="nl-NL"/>
              </w:rPr>
            </w:pPr>
            <w:r w:rsidRPr="00E37235">
              <w:rPr>
                <w:rFonts w:asciiTheme="minorHAnsi" w:hAnsiTheme="minorHAnsi" w:cstheme="minorHAnsi"/>
                <w:sz w:val="18"/>
                <w:szCs w:val="18"/>
                <w:lang w:eastAsia="nl-NL"/>
              </w:rPr>
              <w:t>tetrachloorkoolstof</w:t>
            </w:r>
          </w:p>
        </w:tc>
        <w:tc>
          <w:tcPr>
            <w:tcW w:w="1412"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3,0</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0,9</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2,2</w:t>
            </w:r>
          </w:p>
        </w:tc>
        <w:tc>
          <w:tcPr>
            <w:tcW w:w="1396" w:type="dxa"/>
            <w:shd w:val="clear" w:color="auto" w:fill="auto"/>
            <w:noWrap/>
            <w:vAlign w:val="bottom"/>
            <w:hideMark/>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p>
        </w:tc>
        <w:tc>
          <w:tcPr>
            <w:tcW w:w="1372" w:type="dxa"/>
            <w:vAlign w:val="bottom"/>
          </w:tcPr>
          <w:p w:rsidR="004D60A6" w:rsidRPr="00E37235" w:rsidRDefault="004D60A6" w:rsidP="004D60A6">
            <w:pPr>
              <w:keepLines w:val="0"/>
              <w:spacing w:before="0" w:after="0" w:line="240" w:lineRule="auto"/>
              <w:jc w:val="center"/>
              <w:rPr>
                <w:rFonts w:asciiTheme="minorHAnsi" w:hAnsiTheme="minorHAnsi" w:cstheme="minorHAnsi"/>
                <w:sz w:val="18"/>
                <w:szCs w:val="18"/>
                <w:lang w:val="nl-NL" w:eastAsia="nl-NL"/>
              </w:rPr>
            </w:pPr>
            <w:r>
              <w:rPr>
                <w:sz w:val="18"/>
                <w:szCs w:val="18"/>
              </w:rPr>
              <w:t>1</w:t>
            </w:r>
          </w:p>
        </w:tc>
      </w:tr>
    </w:tbl>
    <w:p w:rsidR="004D60A6" w:rsidRDefault="004D60A6" w:rsidP="004D60A6">
      <w:pPr>
        <w:rPr>
          <w:lang w:val="nl-NL"/>
        </w:rPr>
      </w:pPr>
      <w:r>
        <w:rPr>
          <w:lang w:val="nl-NL"/>
        </w:rPr>
        <w:t xml:space="preserve">Uit de berekende impact kan de totale bijdrage van het bedrijf inzake chloroform t.h.v. L.O. –St-Anneke als belangrijk, en t.h.v. Ekeren als relevant aanzien worden bij vergelijking met de in Nederland gehanteerde streefwaarden (die beschouwd worden als een niveau van duurzame milieukwaliteit op lange termijn). </w:t>
      </w:r>
    </w:p>
    <w:p w:rsidR="00C447E8" w:rsidRDefault="00C447E8" w:rsidP="004D60A6">
      <w:pPr>
        <w:rPr>
          <w:lang w:val="nl-NL"/>
        </w:rPr>
      </w:pPr>
      <w:r>
        <w:rPr>
          <w:lang w:val="nl-NL"/>
        </w:rPr>
        <w:lastRenderedPageBreak/>
        <w:t>Indien de opgeslagen hoeveelheid chloroform waarmee de emissies berekend worden kleiner is dan ca. 9.260 ton</w:t>
      </w:r>
      <w:r>
        <w:rPr>
          <w:rStyle w:val="FootnoteReference"/>
          <w:lang w:val="nl-NL"/>
        </w:rPr>
        <w:footnoteReference w:id="61"/>
      </w:r>
      <w:r>
        <w:rPr>
          <w:lang w:val="nl-NL"/>
        </w:rPr>
        <w:t xml:space="preserve"> is de totale bijdrage van het bedrijf t.h.v. L.O.–St-Anneke niet meer als belangrijk te aanzien (&lt; 5% t.o.v. de Nederlandse streefwaarde).</w:t>
      </w:r>
    </w:p>
    <w:p w:rsidR="004D60A6" w:rsidRDefault="004D60A6" w:rsidP="004D60A6">
      <w:pPr>
        <w:rPr>
          <w:lang w:val="nl-NL"/>
        </w:rPr>
      </w:pPr>
      <w:r>
        <w:rPr>
          <w:lang w:val="nl-NL"/>
        </w:rPr>
        <w:t xml:space="preserve">Wordt bij de beoordeling rekening gehouden met de MTR- waarde op zich, dan kan de bijdrage als verwaarloosbaar beschouwd worden. De MTR waarde is cfr de definiëring in Nederland te aanzien als een concentratie waaronder geen negatief effect te verwachten is of waarbij toelaatbare risico’s optreden (voor beoordeling van kankerverwekkende stoffen wordt over een toelaatbaar risico gesproken). </w:t>
      </w:r>
    </w:p>
    <w:p w:rsidR="004D60A6" w:rsidRDefault="004D60A6" w:rsidP="004D60A6">
      <w:pPr>
        <w:rPr>
          <w:lang w:val="nl-NL"/>
        </w:rPr>
      </w:pPr>
      <w:r>
        <w:rPr>
          <w:lang w:val="nl-NL"/>
        </w:rPr>
        <w:t>Voor de andere stoffen zijn de bijdragen minder relevant tot verwaarloosbaar bij toetsing aan de streefwaarden, en verwaarloosbaar bij vergelijking met de MTR waarden.</w:t>
      </w:r>
    </w:p>
    <w:p w:rsidR="005B5D40" w:rsidRDefault="005B5D40" w:rsidP="005B5D40">
      <w:pPr>
        <w:rPr>
          <w:lang w:val="nl-NL"/>
        </w:rPr>
      </w:pPr>
    </w:p>
    <w:p w:rsidR="005B5D40" w:rsidRDefault="005B5D40" w:rsidP="005B5D40">
      <w:pPr>
        <w:rPr>
          <w:lang w:val="nl-NL"/>
        </w:rPr>
      </w:pPr>
      <w:r>
        <w:rPr>
          <w:lang w:val="nl-NL"/>
        </w:rPr>
        <w:t xml:space="preserve">Hierbij dient er wel nog op gewezen te worden dat </w:t>
      </w:r>
      <w:r w:rsidRPr="00EF4F02">
        <w:rPr>
          <w:lang w:val="nl-NL"/>
        </w:rPr>
        <w:t>bij de berekeningen</w:t>
      </w:r>
      <w:r>
        <w:rPr>
          <w:lang w:val="nl-NL"/>
        </w:rPr>
        <w:t xml:space="preserve"> voor de toekomstige situatie</w:t>
      </w:r>
      <w:r w:rsidRPr="00EF4F02">
        <w:rPr>
          <w:lang w:val="nl-NL"/>
        </w:rPr>
        <w:t xml:space="preserve"> met éénzelfde verliesfactor gerekend wordt als toegepast bij d</w:t>
      </w:r>
      <w:r>
        <w:rPr>
          <w:lang w:val="nl-NL"/>
        </w:rPr>
        <w:t>e actuele situatie, waarbij de</w:t>
      </w:r>
      <w:r w:rsidRPr="00EF4F02">
        <w:rPr>
          <w:lang w:val="nl-NL"/>
        </w:rPr>
        <w:t xml:space="preserve"> hoge drukvalven van 100 mbar </w:t>
      </w:r>
      <w:r>
        <w:rPr>
          <w:lang w:val="nl-NL"/>
        </w:rPr>
        <w:t xml:space="preserve">die voorzien worden bij de nieuwe tanks </w:t>
      </w:r>
      <w:r w:rsidRPr="00EF4F02">
        <w:rPr>
          <w:lang w:val="nl-NL"/>
        </w:rPr>
        <w:t>nauwelijks in gebruik zijn. Hierdoor wordt een aanzienlijke overschatting van de te verwachten verliezen bij de nieuwe tanks meegenomen bij de impactberekening.</w:t>
      </w:r>
    </w:p>
    <w:p w:rsidR="005B5D40" w:rsidRPr="00EF4F02" w:rsidRDefault="005B5D40" w:rsidP="005B5D40">
      <w:pPr>
        <w:pStyle w:val="Heading5"/>
        <w:jc w:val="left"/>
      </w:pPr>
      <w:bookmarkStart w:id="877" w:name="_Toc312069306"/>
      <w:r>
        <w:t>Maximalistisch scenario geurstoffen</w:t>
      </w:r>
      <w:bookmarkEnd w:id="877"/>
    </w:p>
    <w:p w:rsidR="005B5D40" w:rsidRDefault="005B5D40" w:rsidP="005B5D40">
      <w:pPr>
        <w:rPr>
          <w:lang w:val="nl-NL"/>
        </w:rPr>
      </w:pPr>
      <w:r>
        <w:rPr>
          <w:lang w:val="nl-NL"/>
        </w:rPr>
        <w:t xml:space="preserve">Op basis van de berekeningen van de potentiële </w:t>
      </w:r>
      <w:r w:rsidRPr="00DF21FD">
        <w:rPr>
          <w:lang w:val="nl-NL"/>
        </w:rPr>
        <w:t xml:space="preserve">emissies van  </w:t>
      </w:r>
      <w:r w:rsidR="000615B1" w:rsidRPr="00DF21FD">
        <w:rPr>
          <w:lang w:val="nl-NL"/>
        </w:rPr>
        <w:t>ethylacrylaten</w:t>
      </w:r>
      <w:r w:rsidRPr="00DF21FD">
        <w:rPr>
          <w:lang w:val="nl-NL"/>
        </w:rPr>
        <w:t xml:space="preserve"> w</w:t>
      </w:r>
      <w:r w:rsidR="00C530F5">
        <w:rPr>
          <w:lang w:val="nl-NL"/>
        </w:rPr>
        <w:t>ordt nauwelijks</w:t>
      </w:r>
      <w:r>
        <w:rPr>
          <w:lang w:val="nl-NL"/>
        </w:rPr>
        <w:t xml:space="preserve"> een verschil aangetoond tussen de berekende emissies in de actuele vergunde situatie (voor zover dit product zou gebruikt worden wat de laatste jaren niet het geval was) en de gepl</w:t>
      </w:r>
      <w:r w:rsidR="00B24B90">
        <w:rPr>
          <w:lang w:val="nl-NL"/>
        </w:rPr>
        <w:t>a</w:t>
      </w:r>
      <w:r>
        <w:rPr>
          <w:lang w:val="nl-NL"/>
        </w:rPr>
        <w:t xml:space="preserve">nde situatie fase 2. Het gebruik van nieuwe druktanks met ademventielen van 100 mbar in de plaats van bestaande tanks met ademventielen van 18 mbar leidt zelfs tot een afname van de geuremissie. </w:t>
      </w:r>
    </w:p>
    <w:p w:rsidR="005B5D40" w:rsidRPr="00EF4F02" w:rsidRDefault="005B5D40" w:rsidP="005B5D40">
      <w:pPr>
        <w:rPr>
          <w:lang w:val="nl-NL"/>
        </w:rPr>
      </w:pPr>
      <w:r w:rsidRPr="00EF4F02">
        <w:rPr>
          <w:lang w:val="nl-NL"/>
        </w:rPr>
        <w:t xml:space="preserve">Gezien de evaluatie van geur niet op jaargemiddelde basis kan uitgevoerd worden (een jaargemiddelde zegt hierbij totaal niets) </w:t>
      </w:r>
      <w:r>
        <w:rPr>
          <w:lang w:val="nl-NL"/>
        </w:rPr>
        <w:t>dient in principe</w:t>
      </w:r>
      <w:r w:rsidRPr="00EF4F02">
        <w:rPr>
          <w:lang w:val="nl-NL"/>
        </w:rPr>
        <w:t xml:space="preserve"> voor deze parameter een </w:t>
      </w:r>
      <w:r>
        <w:rPr>
          <w:lang w:val="nl-NL"/>
        </w:rPr>
        <w:t xml:space="preserve">hogere percentielwaarde (zoals </w:t>
      </w:r>
      <w:r w:rsidRPr="00EF4F02">
        <w:rPr>
          <w:lang w:val="nl-NL"/>
        </w:rPr>
        <w:t xml:space="preserve">98P en 99P waarde </w:t>
      </w:r>
      <w:r>
        <w:rPr>
          <w:lang w:val="nl-NL"/>
        </w:rPr>
        <w:t>gehanteerd te worden)</w:t>
      </w:r>
      <w:r w:rsidRPr="00EF4F02">
        <w:rPr>
          <w:lang w:val="nl-NL"/>
        </w:rPr>
        <w:t xml:space="preserve">. De resultaten van dergelijke berekeningen </w:t>
      </w:r>
      <w:r>
        <w:rPr>
          <w:lang w:val="nl-NL"/>
        </w:rPr>
        <w:t>kunnen</w:t>
      </w:r>
      <w:r w:rsidRPr="00EF4F02">
        <w:rPr>
          <w:lang w:val="nl-NL"/>
        </w:rPr>
        <w:t xml:space="preserve"> gezien de onzekerheden die met deze berekeningen gepaard gaan</w:t>
      </w:r>
      <w:r>
        <w:rPr>
          <w:lang w:val="nl-NL"/>
        </w:rPr>
        <w:t>, dan ook</w:t>
      </w:r>
      <w:r w:rsidRPr="00EF4F02">
        <w:rPr>
          <w:lang w:val="nl-NL"/>
        </w:rPr>
        <w:t xml:space="preserve"> louter als indicatief </w:t>
      </w:r>
      <w:r>
        <w:rPr>
          <w:lang w:val="nl-NL"/>
        </w:rPr>
        <w:t>aanzien worden</w:t>
      </w:r>
      <w:r w:rsidRPr="00EF4F02">
        <w:rPr>
          <w:lang w:val="nl-NL"/>
        </w:rPr>
        <w:t>. Enkel op basis van postmonitoring door uitvoeren van meetcampagnes kan ten aanzien van de geurbelasting een onderbouwde beoordeling geformuleerd worden.</w:t>
      </w:r>
      <w:r>
        <w:rPr>
          <w:lang w:val="nl-NL"/>
        </w:rPr>
        <w:t xml:space="preserve"> Omwille van de voorziene afname van de potentiële geuremissies wordt het dan ook niet noodzakelijk geacht een dergelijke indicatieve berekening uit te voeren.</w:t>
      </w:r>
    </w:p>
    <w:p w:rsidR="005B5D40" w:rsidRDefault="005B5D40" w:rsidP="005B5D40">
      <w:pPr>
        <w:pStyle w:val="Heading5"/>
        <w:jc w:val="left"/>
      </w:pPr>
      <w:bookmarkStart w:id="878" w:name="_Ref311457236"/>
      <w:bookmarkStart w:id="879" w:name="_Toc312069307"/>
      <w:r>
        <w:t>Transportemissies</w:t>
      </w:r>
      <w:bookmarkEnd w:id="878"/>
      <w:bookmarkEnd w:id="879"/>
    </w:p>
    <w:p w:rsidR="00E37235" w:rsidRPr="00E37235" w:rsidRDefault="005B5D40" w:rsidP="00E37235">
      <w:bookmarkStart w:id="880" w:name="OLE_LINK16"/>
      <w:bookmarkStart w:id="881" w:name="OLE_LINK17"/>
      <w:r>
        <w:t xml:space="preserve">De toename van het vrachtverkeer leidt niet tot dermate wijzigingen dat een verschillende impact aangetoond wordt in vergelijking met de referentie situatie. </w:t>
      </w:r>
      <w:r w:rsidRPr="00441F75">
        <w:t>Bij een dergelijke verkeersstroom aan zware vrachtwagens wordt</w:t>
      </w:r>
      <w:r>
        <w:t xml:space="preserve"> met de emissiekengetallen voor 2010 langsheen de Polderdijkweg een </w:t>
      </w:r>
      <w:r w:rsidRPr="00441F75">
        <w:t xml:space="preserve"> impact berekend van </w:t>
      </w:r>
      <w:r>
        <w:t>0,4</w:t>
      </w:r>
      <w:r w:rsidRPr="00441F75">
        <w:t xml:space="preserve"> µg/m³ NO</w:t>
      </w:r>
      <w:r w:rsidRPr="00A77C2D">
        <w:rPr>
          <w:vertAlign w:val="subscript"/>
        </w:rPr>
        <w:t>2</w:t>
      </w:r>
      <w:r w:rsidRPr="00441F75">
        <w:t xml:space="preserve"> op 15 m afstand van de weg. Voor fijn stof wordt evenmin een bijdrage berekend </w:t>
      </w:r>
      <w:r>
        <w:t>van 0,1 µg/m³. Deze bijdragen zijn als beperkt tot verwaarloosbaar te aanzien t.o.v. de actuele luchtkwaliteitsdoelstellingen. In de mate dat in de toekomst de kwaliteit van de uitlaatgassen zal verbeteren (omwille van strengere Euro normen) zal de impact uiteraard nog afnemen.</w:t>
      </w:r>
      <w:bookmarkEnd w:id="880"/>
      <w:bookmarkEnd w:id="881"/>
    </w:p>
    <w:p w:rsidR="005B5D40" w:rsidRDefault="005B5D40" w:rsidP="005B5D40">
      <w:pPr>
        <w:pStyle w:val="Heading4"/>
        <w:jc w:val="left"/>
      </w:pPr>
      <w:bookmarkStart w:id="882" w:name="_Toc312069308"/>
      <w:r>
        <w:t>Besluit geplande situatie</w:t>
      </w:r>
      <w:bookmarkEnd w:id="882"/>
    </w:p>
    <w:p w:rsidR="005B5D40" w:rsidRDefault="005B5D40" w:rsidP="005B5D40">
      <w:pPr>
        <w:rPr>
          <w:lang w:val="nl-NL"/>
        </w:rPr>
      </w:pPr>
      <w:r>
        <w:rPr>
          <w:lang w:val="nl-NL"/>
        </w:rPr>
        <w:t xml:space="preserve">In het realistisch scenario wordt een afname van de emissies/impact verwacht t.o.v. de actuele situatie (zonder DVI). </w:t>
      </w:r>
    </w:p>
    <w:p w:rsidR="005B5D40" w:rsidRDefault="005B5D40" w:rsidP="005B5D40">
      <w:pPr>
        <w:rPr>
          <w:lang w:val="nl-NL"/>
        </w:rPr>
      </w:pPr>
      <w:r>
        <w:rPr>
          <w:lang w:val="nl-NL"/>
        </w:rPr>
        <w:t xml:space="preserve">Berekend t.o.v. de referentie situatie met DVI in </w:t>
      </w:r>
      <w:r w:rsidR="00D729DF">
        <w:rPr>
          <w:lang w:val="nl-NL"/>
        </w:rPr>
        <w:t xml:space="preserve">werking (is noodzakelijk om de wettelijk verplichte reductie doelstellingen te realiseren, ongeacht de voorziene uitbreiding) </w:t>
      </w:r>
      <w:r>
        <w:rPr>
          <w:lang w:val="nl-NL"/>
        </w:rPr>
        <w:t>treedt een beperkte toename op (score -1).</w:t>
      </w:r>
    </w:p>
    <w:p w:rsidR="00D729DF" w:rsidRDefault="005B5D40" w:rsidP="005B5D40">
      <w:pPr>
        <w:rPr>
          <w:lang w:val="nl-NL"/>
        </w:rPr>
      </w:pPr>
      <w:r>
        <w:rPr>
          <w:lang w:val="nl-NL"/>
        </w:rPr>
        <w:lastRenderedPageBreak/>
        <w:t xml:space="preserve">Voor het maximalistisch VOS scenario wordt een emissie toename van iets meer dan 25% verwacht, die zich dan ook in een  toename van de impact zal vertalen. </w:t>
      </w:r>
    </w:p>
    <w:p w:rsidR="00D729DF" w:rsidRDefault="00D729DF" w:rsidP="00D729DF">
      <w:pPr>
        <w:rPr>
          <w:lang w:val="nl-NL"/>
        </w:rPr>
      </w:pPr>
      <w:r>
        <w:rPr>
          <w:lang w:val="nl-NL"/>
        </w:rPr>
        <w:t>Er wordt nauwelijks een onderscheidend effect verwacht tussen de fase 1 en fase 2.</w:t>
      </w:r>
    </w:p>
    <w:p w:rsidR="00D729DF" w:rsidRDefault="00D729DF" w:rsidP="00D729DF">
      <w:pPr>
        <w:rPr>
          <w:lang w:val="nl-NL"/>
        </w:rPr>
      </w:pPr>
      <w:r>
        <w:rPr>
          <w:lang w:val="nl-NL"/>
        </w:rPr>
        <w:t>De berekende impactbijdragen leiden niet tot te verwachten overschrijdingen van wettelijk vastgelegde grenswaarden en doelstellingen.</w:t>
      </w:r>
    </w:p>
    <w:p w:rsidR="00D729DF" w:rsidRDefault="00D729DF" w:rsidP="005B5D40">
      <w:pPr>
        <w:rPr>
          <w:lang w:val="nl-NL"/>
        </w:rPr>
      </w:pPr>
    </w:p>
    <w:p w:rsidR="005B5D40" w:rsidRDefault="005B5D40" w:rsidP="005B5D40">
      <w:pPr>
        <w:rPr>
          <w:lang w:val="nl-NL"/>
        </w:rPr>
      </w:pPr>
      <w:r>
        <w:rPr>
          <w:lang w:val="nl-NL"/>
        </w:rPr>
        <w:t xml:space="preserve">De </w:t>
      </w:r>
      <w:r w:rsidR="00D729DF">
        <w:rPr>
          <w:lang w:val="nl-NL"/>
        </w:rPr>
        <w:t>totale VOS</w:t>
      </w:r>
      <w:r>
        <w:rPr>
          <w:lang w:val="nl-NL"/>
        </w:rPr>
        <w:t xml:space="preserve"> bijdrage </w:t>
      </w:r>
      <w:r w:rsidR="00D729DF">
        <w:rPr>
          <w:lang w:val="nl-NL"/>
        </w:rPr>
        <w:t xml:space="preserve">in het realistisch scenario </w:t>
      </w:r>
      <w:r>
        <w:rPr>
          <w:lang w:val="nl-NL"/>
        </w:rPr>
        <w:t xml:space="preserve">berekend t.o.v. de gehanteerde </w:t>
      </w:r>
      <w:r w:rsidR="00D729DF">
        <w:rPr>
          <w:lang w:val="nl-NL"/>
        </w:rPr>
        <w:t xml:space="preserve">indicatieve </w:t>
      </w:r>
      <w:r>
        <w:rPr>
          <w:lang w:val="nl-NL"/>
        </w:rPr>
        <w:t>doelstelling kan als verwaarloosbaar tot beperkt omschreven worden (score -1).</w:t>
      </w:r>
      <w:r w:rsidR="00D729DF" w:rsidRPr="00D729DF">
        <w:rPr>
          <w:lang w:val="nl-NL"/>
        </w:rPr>
        <w:t xml:space="preserve"> </w:t>
      </w:r>
      <w:r w:rsidR="00D729DF">
        <w:rPr>
          <w:lang w:val="nl-NL"/>
        </w:rPr>
        <w:t>T.h.v. de meest nabijgelegen woongebieden is deze impactbijdrage verwaarloosbaar. In die zin kan men stellen dat bij het realistisch scenario er geen bijkomende milderende maatregelen meer nodig zijn. Hierbij kan ook aangegeven worden dat na het in dienst nemen van de DVI, er reeds een meer vergaande VOS emissiereductie gerealiseerd wordt dan wettelijk opgelegd.</w:t>
      </w:r>
    </w:p>
    <w:p w:rsidR="00D729DF" w:rsidRDefault="00D729DF" w:rsidP="005B5D40">
      <w:pPr>
        <w:rPr>
          <w:lang w:val="nl-NL"/>
        </w:rPr>
      </w:pPr>
      <w:r>
        <w:rPr>
          <w:lang w:val="nl-NL"/>
        </w:rPr>
        <w:t>Bij de maximalistische VOS evaluatie wordt nabij enkele beoordelingspunten in industriegebied een belangrijke impactbijdrage berekend t.o.v. de toegepaste indicatieve toetsingswaarde. T.h.v. de meest nabijgelegen woongebieden is deze impactbijdrage verwaarloosbaar.</w:t>
      </w:r>
    </w:p>
    <w:p w:rsidR="00703A85" w:rsidRDefault="005B5D40" w:rsidP="00703A85">
      <w:pPr>
        <w:rPr>
          <w:lang w:val="nl-NL"/>
        </w:rPr>
      </w:pPr>
      <w:r>
        <w:rPr>
          <w:lang w:val="nl-NL"/>
        </w:rPr>
        <w:t>De in kaart gebrachte maximalistische benadering inzake CMR stoffen leidt, rekening houdend met de gehanteerde aannames</w:t>
      </w:r>
      <w:r w:rsidR="00D729DF" w:rsidRPr="00D729DF">
        <w:rPr>
          <w:lang w:val="nl-NL"/>
        </w:rPr>
        <w:t xml:space="preserve"> </w:t>
      </w:r>
      <w:r w:rsidR="00D729DF">
        <w:rPr>
          <w:lang w:val="nl-NL"/>
        </w:rPr>
        <w:t>en de streefwaarden als toetsingswaarden</w:t>
      </w:r>
      <w:r>
        <w:rPr>
          <w:lang w:val="nl-NL"/>
        </w:rPr>
        <w:t>, tot een belangrijke impacttoename inzake chloroform</w:t>
      </w:r>
      <w:r w:rsidR="00703A85" w:rsidRPr="00703A85">
        <w:rPr>
          <w:lang w:val="nl-NL"/>
        </w:rPr>
        <w:t xml:space="preserve"> </w:t>
      </w:r>
      <w:r w:rsidR="00703A85">
        <w:rPr>
          <w:lang w:val="nl-NL"/>
        </w:rPr>
        <w:t xml:space="preserve">t.h.v. L.O.-St-Anneke (score -3). In die zin zouden milderende maatregelen  dan ook aangewezen zijn, op het ogenblik dat dit maximalistisch scenario zich zou voordoen. Wordt bij de beoordeling evenwel rekening gehouden met de MTR waarden, en niet met de streefwaarden, dan blijkt de impact op die locatie echter verwaarloosbaar te zijn. </w:t>
      </w:r>
    </w:p>
    <w:p w:rsidR="005B5D40" w:rsidRDefault="00703A85" w:rsidP="005B5D40">
      <w:pPr>
        <w:rPr>
          <w:lang w:val="nl-NL"/>
        </w:rPr>
      </w:pPr>
      <w:r>
        <w:rPr>
          <w:lang w:val="nl-NL"/>
        </w:rPr>
        <w:t>De relevante bijdrage inzake tetrachloorkoolstof op deze locatie (bij vergelijking met de streefwaarden) daalt eveneens tot een verwaarloosbare impact indien gebruik gemaakt wordt van de MTR waarden, waarvan in Nederland gesteld wordt dan deze een maat zijn voor een aanvaardbaar risico.</w:t>
      </w:r>
    </w:p>
    <w:p w:rsidR="005B5D40" w:rsidRDefault="005B5D40" w:rsidP="005B5D40">
      <w:pPr>
        <w:rPr>
          <w:lang w:val="nl-NL"/>
        </w:rPr>
      </w:pPr>
      <w:r>
        <w:rPr>
          <w:lang w:val="nl-NL"/>
        </w:rPr>
        <w:t>Het gebruik van nieuwe druktanks met ademventielen van 100 mbar in de plaats van bestaande tanks met ademventielen van 18 mbar leidt tot een beperkte afname van de potentiële geuremissie. De afname is evenwel niet van die mate dat van een aanzienlijke afname van de potentiële impact kan gesproken worden. Uiteraard zijn de aard van de opgeslagen stoffen bepalend voor een eventuele impact (score 0).</w:t>
      </w:r>
    </w:p>
    <w:p w:rsidR="002C5D44" w:rsidRDefault="005B5D40">
      <w:r>
        <w:t>Ten aanzien van het vrachtwagentransport kan gesteld worden dat de impact verwaarloosbaar is (score 0).</w:t>
      </w:r>
    </w:p>
    <w:p w:rsidR="00EF4F02" w:rsidRDefault="00EF4F02" w:rsidP="005B5D40">
      <w:pPr>
        <w:pStyle w:val="Heading3"/>
      </w:pPr>
      <w:bookmarkStart w:id="883" w:name="_Toc312069309"/>
      <w:r>
        <w:t>Evaluatie kostenefficiëntie van bijkomende emissiereducerende maatregelen</w:t>
      </w:r>
      <w:bookmarkEnd w:id="864"/>
      <w:bookmarkEnd w:id="883"/>
    </w:p>
    <w:p w:rsidR="00595C2A" w:rsidRDefault="00595C2A" w:rsidP="00595C2A">
      <w:pPr>
        <w:pStyle w:val="Heading4"/>
        <w:jc w:val="left"/>
      </w:pPr>
      <w:bookmarkStart w:id="884" w:name="_Toc312069310"/>
      <w:bookmarkStart w:id="885" w:name="_Toc196645341"/>
      <w:r>
        <w:t>Nieuwe opslagtanks</w:t>
      </w:r>
      <w:bookmarkEnd w:id="884"/>
    </w:p>
    <w:p w:rsidR="00595C2A" w:rsidRPr="00EF4F02" w:rsidRDefault="00595C2A" w:rsidP="00595C2A">
      <w:pPr>
        <w:rPr>
          <w:lang w:val="nl-NL"/>
        </w:rPr>
      </w:pPr>
      <w:r w:rsidRPr="00EF4F02">
        <w:rPr>
          <w:lang w:val="nl-NL"/>
        </w:rPr>
        <w:t>Bij de bedrijfsvoering wordt reeds damp-retour voorzien bij overslag van vluchtige stoffen met een dampspanning groter dan 13,3 kPa bij 35°C als tevens ook bij de overslag van (zeer) giftige en carcinogene stoffen (waardoor de verdijvingsverliezen reeds in zeer grote mate vermeden worden).</w:t>
      </w:r>
    </w:p>
    <w:p w:rsidR="00595C2A" w:rsidRPr="00EF4F02" w:rsidRDefault="00595C2A" w:rsidP="00595C2A">
      <w:pPr>
        <w:rPr>
          <w:lang w:val="nl-NL"/>
        </w:rPr>
      </w:pPr>
      <w:r w:rsidRPr="00EF4F02">
        <w:rPr>
          <w:lang w:val="nl-NL"/>
        </w:rPr>
        <w:t>Daarnaast zullen de nieuwe opslagtanks voorzien worden van hoge druk ontluchtingsvalven (waardoor de ademhalingsverliezen reeds uitermate sterk beperkt worden).</w:t>
      </w:r>
    </w:p>
    <w:p w:rsidR="00595C2A" w:rsidRPr="00EF4F02" w:rsidRDefault="00595C2A" w:rsidP="00595C2A">
      <w:pPr>
        <w:rPr>
          <w:lang w:val="nl-NL"/>
        </w:rPr>
      </w:pPr>
      <w:r w:rsidRPr="00EF4F02">
        <w:rPr>
          <w:lang w:val="nl-NL"/>
        </w:rPr>
        <w:t>De opslag van zeer vluchtige stoffen in de nieuwe tanks zal dan relatief gezien in veel geringere mate aanleiding geven tot VOS verliezen dan hierboven berekend. Dit omwille van het feit dat bij de berekeningen met éénzelfde verliesfactor gerekend wordt als toegepast bij de actuele situatie, waarbij deze hoge drukvalven van 100 mbar nauwelijks in gebruik zijn. Hierdoor wordt een aanzienlijke overschatting van de te verwachten verliezen bij de nieuwe tanks meegenomen bij de impactberekening.</w:t>
      </w:r>
    </w:p>
    <w:p w:rsidR="00595C2A" w:rsidRPr="00EF4F02" w:rsidRDefault="00595C2A" w:rsidP="00595C2A">
      <w:pPr>
        <w:rPr>
          <w:lang w:val="nl-NL"/>
        </w:rPr>
      </w:pPr>
      <w:r w:rsidRPr="00EF4F02">
        <w:rPr>
          <w:lang w:val="nl-NL"/>
        </w:rPr>
        <w:lastRenderedPageBreak/>
        <w:t>Omwille van deze reeds vergaande maatregelen wordt het niet mogelijk geacht om nog bijkomende kosten-effectieve maatregelen voor te stellen voor de nieuwe opslagtanks.</w:t>
      </w:r>
    </w:p>
    <w:p w:rsidR="00595C2A" w:rsidRDefault="00595C2A" w:rsidP="00595C2A">
      <w:pPr>
        <w:rPr>
          <w:lang w:val="nl-NL"/>
        </w:rPr>
      </w:pPr>
      <w:r w:rsidRPr="00EF4F02">
        <w:rPr>
          <w:lang w:val="nl-NL"/>
        </w:rPr>
        <w:t>Het installeren van nieuwe opslagtanks met (interne) vlottende daken wordt niet als een beter alternatief aanzien gezien bij dergelijke tanks er zeer grote ademhalingsverliezen kunnen ontstaan op het ogenblik dat het vloeistofniveau onder een bepaald niveau zakt (waarbij het “drijvende” dak op dat ogenblik “vast “ komt te staan waardoor er een damplaag in de tank ontstaat). Ook bij het vullen van deze tanks zal er onder deze omstandigheden een beduidend verdrijvingsverlies kunnen optreden. Hierbij mag evenmin uit het oog verloren worden dat bij tanks met drijvende daken er geen damp-retour kan toegepast worden.</w:t>
      </w:r>
    </w:p>
    <w:p w:rsidR="00595C2A" w:rsidRPr="00EF4F02" w:rsidRDefault="00595C2A" w:rsidP="00595C2A">
      <w:pPr>
        <w:pStyle w:val="Heading4"/>
        <w:jc w:val="left"/>
      </w:pPr>
      <w:bookmarkStart w:id="886" w:name="_Toc298161800"/>
      <w:bookmarkStart w:id="887" w:name="_Toc312069311"/>
      <w:bookmarkEnd w:id="886"/>
      <w:r w:rsidRPr="00EF4F02">
        <w:t>Gebruik van damp-retour bij overslag</w:t>
      </w:r>
      <w:bookmarkEnd w:id="887"/>
    </w:p>
    <w:p w:rsidR="00595C2A" w:rsidRPr="00EF4F02" w:rsidRDefault="00595C2A" w:rsidP="00595C2A">
      <w:pPr>
        <w:rPr>
          <w:lang w:val="nl-NL"/>
        </w:rPr>
      </w:pPr>
      <w:r w:rsidRPr="00EF4F02">
        <w:rPr>
          <w:lang w:val="nl-NL"/>
        </w:rPr>
        <w:t>Hier kan ook nog gewezen worden op een milderende maatregel welke in het project geïntegreerd is, m.n. het toepassen van damp-retour leidingen voor producten met een dampspanning van meer dan 13,3 kPa bij 35°C, en dit niet alleen voor de T, T+ en Xn producten met dergelijke dampspanning zoals in Vlarem-II voorgeschreven maar voor alle producten met een dergelijke dampspanning.</w:t>
      </w:r>
    </w:p>
    <w:p w:rsidR="00595C2A" w:rsidRPr="00EF4F02" w:rsidRDefault="00595C2A" w:rsidP="00595C2A">
      <w:pPr>
        <w:pStyle w:val="Heading4"/>
        <w:jc w:val="left"/>
      </w:pPr>
      <w:bookmarkStart w:id="888" w:name="_Toc312069312"/>
      <w:r w:rsidRPr="00EF4F02">
        <w:t>Gebruik van opslagtanks met vlottende daken</w:t>
      </w:r>
      <w:bookmarkEnd w:id="888"/>
    </w:p>
    <w:p w:rsidR="00595C2A" w:rsidRPr="00EF4F02" w:rsidRDefault="00595C2A" w:rsidP="00595C2A">
      <w:pPr>
        <w:rPr>
          <w:lang w:val="nl-NL"/>
        </w:rPr>
      </w:pPr>
      <w:r w:rsidRPr="00EF4F02">
        <w:rPr>
          <w:lang w:val="nl-NL"/>
        </w:rPr>
        <w:t xml:space="preserve">Het aanpassen van bestaande tanks naar tanks met interne vlottende daken is niet evident. </w:t>
      </w:r>
    </w:p>
    <w:p w:rsidR="00595C2A" w:rsidRDefault="00595C2A" w:rsidP="00595C2A">
      <w:pPr>
        <w:rPr>
          <w:lang w:val="nl-NL"/>
        </w:rPr>
      </w:pPr>
      <w:r w:rsidRPr="00EF4F02">
        <w:rPr>
          <w:lang w:val="nl-NL"/>
        </w:rPr>
        <w:t>Hierbij mag evenmin uit het oog verloren worden dat door de aard van de activiteiten van het bedrijf in éénzelfde tank wisselende producten opgeslagen worden. Door de aanwezigheid van interne vlottende daken zullen de werkingskosten  bij reinigen toenemen in vergelijking met tanks met vaste daken. Door de wisselende productopslag kunnen de verpompings-, verladings- en ademhalingsverliezen als beperkter ingeschat worden in vergelijking met de opslag van steeds hetzelfde product zoals dat bij raffinaderijen, brandstofopslagplaatsen en (petro)chemische procesinstallaties steeds het geval is.</w:t>
      </w:r>
    </w:p>
    <w:p w:rsidR="00F70BB3" w:rsidRPr="005A4D7F" w:rsidRDefault="00F07A81" w:rsidP="00604556">
      <w:pPr>
        <w:pStyle w:val="Heading4"/>
      </w:pPr>
      <w:bookmarkStart w:id="889" w:name="_Toc312069313"/>
      <w:r>
        <w:t>Bestaande opslagtanks: maximalisatie gebruik dampretour + aansluiting op nabehandeling</w:t>
      </w:r>
      <w:bookmarkEnd w:id="885"/>
      <w:bookmarkEnd w:id="889"/>
    </w:p>
    <w:p w:rsidR="00F07A81" w:rsidRDefault="002D2CAD" w:rsidP="00604556">
      <w:pPr>
        <w:pStyle w:val="Heading5"/>
      </w:pPr>
      <w:bookmarkStart w:id="890" w:name="_Toc312069314"/>
      <w:r>
        <w:t>Algemeen</w:t>
      </w:r>
      <w:bookmarkEnd w:id="890"/>
    </w:p>
    <w:p w:rsidR="002D2CAD" w:rsidRDefault="002D2CAD" w:rsidP="00604556">
      <w:pPr>
        <w:keepNext/>
        <w:rPr>
          <w:lang w:val="nl-NL"/>
        </w:rPr>
      </w:pPr>
      <w:r>
        <w:rPr>
          <w:lang w:val="nl-NL"/>
        </w:rPr>
        <w:t xml:space="preserve">Indien bijkomende milderende maatregelen noodzakelijk zouden zijn (deze worden op basis van rechtstreekse impactberekeningen niet noodzakelijk geacht omwille van het voldoen aan de doelstellingen) dan dient men deze toe te passen op de bestaande tanks. </w:t>
      </w:r>
    </w:p>
    <w:p w:rsidR="002D2CAD" w:rsidRDefault="00764941" w:rsidP="00604556">
      <w:pPr>
        <w:keepNext/>
        <w:rPr>
          <w:lang w:val="nl-NL"/>
        </w:rPr>
      </w:pPr>
      <w:r>
        <w:rPr>
          <w:lang w:val="nl-NL"/>
        </w:rPr>
        <w:t>Gezien dat vnl. de op- en overslag van P1-producten met een P</w:t>
      </w:r>
      <w:r w:rsidRPr="00764941">
        <w:rPr>
          <w:vertAlign w:val="subscript"/>
          <w:lang w:val="nl-NL"/>
        </w:rPr>
        <w:t>damp@35°C</w:t>
      </w:r>
      <w:r>
        <w:rPr>
          <w:lang w:val="nl-NL"/>
        </w:rPr>
        <w:t xml:space="preserve"> </w:t>
      </w:r>
      <w:r>
        <w:rPr>
          <w:rFonts w:cs="Calibri"/>
          <w:lang w:val="nl-NL"/>
        </w:rPr>
        <w:t>≤</w:t>
      </w:r>
      <w:r>
        <w:rPr>
          <w:lang w:val="nl-NL"/>
        </w:rPr>
        <w:t xml:space="preserve"> 13,3 kPa bepalend is voor de VOS-emissie,</w:t>
      </w:r>
      <w:r w:rsidR="002D2CAD">
        <w:rPr>
          <w:lang w:val="nl-NL"/>
        </w:rPr>
        <w:t xml:space="preserve"> </w:t>
      </w:r>
      <w:r>
        <w:rPr>
          <w:lang w:val="nl-NL"/>
        </w:rPr>
        <w:t>is</w:t>
      </w:r>
      <w:r w:rsidR="002D2CAD">
        <w:rPr>
          <w:lang w:val="nl-NL"/>
        </w:rPr>
        <w:t xml:space="preserve"> de kosteneffectiviteit geëvalueerd voor </w:t>
      </w:r>
      <w:r w:rsidR="00F70BB3">
        <w:rPr>
          <w:lang w:val="nl-NL"/>
        </w:rPr>
        <w:t>maatregelen die specifiek betrekking hebben op de op- en overslag van P1-producten.</w:t>
      </w:r>
    </w:p>
    <w:p w:rsidR="00F70BB3" w:rsidRDefault="00F70BB3" w:rsidP="00AF3F9E">
      <w:pPr>
        <w:rPr>
          <w:lang w:val="nl-NL"/>
        </w:rPr>
      </w:pPr>
      <w:r>
        <w:rPr>
          <w:lang w:val="nl-NL"/>
        </w:rPr>
        <w:t>In concreto omvatten de geëvalueerde maatregelen:</w:t>
      </w:r>
    </w:p>
    <w:p w:rsidR="002D2CAD" w:rsidRDefault="002D2CAD" w:rsidP="00321EEB">
      <w:pPr>
        <w:pStyle w:val="ListParagraph"/>
        <w:numPr>
          <w:ilvl w:val="0"/>
          <w:numId w:val="106"/>
        </w:numPr>
        <w:rPr>
          <w:lang w:val="nl-NL"/>
        </w:rPr>
      </w:pPr>
      <w:r w:rsidRPr="002D2CAD">
        <w:rPr>
          <w:lang w:val="nl-NL"/>
        </w:rPr>
        <w:t>het uitrusten van alle tanks</w:t>
      </w:r>
      <w:r>
        <w:rPr>
          <w:lang w:val="nl-NL"/>
        </w:rPr>
        <w:t xml:space="preserve"> die in aanmerking komen voor de opslag van P1-producten </w:t>
      </w:r>
      <w:r w:rsidR="00F70BB3">
        <w:rPr>
          <w:lang w:val="nl-NL"/>
        </w:rPr>
        <w:t xml:space="preserve">(excl. tanks met een extern vlottend dak) </w:t>
      </w:r>
      <w:r>
        <w:rPr>
          <w:lang w:val="nl-NL"/>
        </w:rPr>
        <w:t>met dampretourleidingen;</w:t>
      </w:r>
    </w:p>
    <w:p w:rsidR="002D2CAD" w:rsidRDefault="002D2CAD" w:rsidP="00321EEB">
      <w:pPr>
        <w:pStyle w:val="ListParagraph"/>
        <w:numPr>
          <w:ilvl w:val="0"/>
          <w:numId w:val="106"/>
        </w:numPr>
        <w:rPr>
          <w:lang w:val="nl-NL"/>
        </w:rPr>
      </w:pPr>
      <w:r w:rsidRPr="002D2CAD">
        <w:rPr>
          <w:lang w:val="nl-NL"/>
        </w:rPr>
        <w:t>het uitrusten van alle tanks</w:t>
      </w:r>
      <w:r>
        <w:rPr>
          <w:lang w:val="nl-NL"/>
        </w:rPr>
        <w:t xml:space="preserve"> die in aanmerking komen voor de opslag van P1-producten </w:t>
      </w:r>
      <w:r w:rsidR="00F70BB3">
        <w:rPr>
          <w:lang w:val="nl-NL"/>
        </w:rPr>
        <w:t xml:space="preserve">(excl. tanks met een extern vlottend dak) </w:t>
      </w:r>
      <w:r>
        <w:rPr>
          <w:lang w:val="nl-NL"/>
        </w:rPr>
        <w:t>met dampretourleidingen + aansluiting op een dampbehandelingséénheid (type huidige DVI).</w:t>
      </w:r>
    </w:p>
    <w:p w:rsidR="002D6FC9" w:rsidRPr="002D6FC9" w:rsidRDefault="002D6FC9" w:rsidP="002D6FC9">
      <w:pPr>
        <w:rPr>
          <w:lang w:val="nl-NL"/>
        </w:rPr>
      </w:pPr>
      <w:r>
        <w:rPr>
          <w:lang w:val="nl-NL"/>
        </w:rPr>
        <w:t xml:space="preserve">In bijlage </w:t>
      </w:r>
      <w:r w:rsidR="00C325A0">
        <w:rPr>
          <w:lang w:val="nl-NL"/>
        </w:rPr>
        <w:fldChar w:fldCharType="begin"/>
      </w:r>
      <w:r>
        <w:rPr>
          <w:lang w:val="nl-NL"/>
        </w:rPr>
        <w:instrText xml:space="preserve"> REF b_kostenefficientie \h </w:instrText>
      </w:r>
      <w:r w:rsidR="00C325A0">
        <w:rPr>
          <w:lang w:val="nl-NL"/>
        </w:rPr>
      </w:r>
      <w:r w:rsidR="00C325A0">
        <w:rPr>
          <w:lang w:val="nl-NL"/>
        </w:rPr>
        <w:fldChar w:fldCharType="separate"/>
      </w:r>
      <w:r w:rsidR="008102D8">
        <w:t>5</w:t>
      </w:r>
      <w:r w:rsidR="00C325A0">
        <w:rPr>
          <w:lang w:val="nl-NL"/>
        </w:rPr>
        <w:fldChar w:fldCharType="end"/>
      </w:r>
      <w:r>
        <w:rPr>
          <w:lang w:val="nl-NL"/>
        </w:rPr>
        <w:t xml:space="preserve"> wordt meer uitleg gegeven bij de berekeningen rond kostenefficiëntie.</w:t>
      </w:r>
    </w:p>
    <w:p w:rsidR="002D6FC9" w:rsidRDefault="002D6FC9">
      <w:pPr>
        <w:keepLines w:val="0"/>
        <w:spacing w:before="0" w:after="0" w:line="240" w:lineRule="auto"/>
        <w:jc w:val="left"/>
        <w:rPr>
          <w:spacing w:val="24"/>
          <w:kern w:val="16"/>
          <w:szCs w:val="16"/>
          <w:lang w:val="nl-NL"/>
        </w:rPr>
      </w:pPr>
      <w:bookmarkStart w:id="891" w:name="_Toc196645344"/>
      <w:bookmarkStart w:id="892" w:name="_Ref225853084"/>
      <w:bookmarkStart w:id="893" w:name="_Ref225853115"/>
      <w:r>
        <w:br w:type="page"/>
      </w:r>
    </w:p>
    <w:p w:rsidR="007C57D4" w:rsidRDefault="00EA56C1" w:rsidP="004F40A7">
      <w:pPr>
        <w:pStyle w:val="Heading5"/>
      </w:pPr>
      <w:bookmarkStart w:id="894" w:name="_Toc312069315"/>
      <w:r>
        <w:lastRenderedPageBreak/>
        <w:t>Gehanteerde uitgangsgegevens voor de kostenevaluatie</w:t>
      </w:r>
      <w:bookmarkEnd w:id="891"/>
      <w:bookmarkEnd w:id="894"/>
    </w:p>
    <w:p w:rsidR="00EA56C1" w:rsidRDefault="00EA56C1" w:rsidP="00AF3F9E">
      <w:pPr>
        <w:pStyle w:val="tit-5"/>
      </w:pPr>
      <w:r>
        <w:t>Gehanteerde afschrijftermijnen en interne rentevoet</w:t>
      </w:r>
    </w:p>
    <w:p w:rsidR="00EA56C1" w:rsidRDefault="00EA56C1" w:rsidP="00AF3F9E">
      <w:r>
        <w:t xml:space="preserve">De hierna opgenomen bepalingen zijn geen exacte berekeningen maar enkel  ramingen van de kostprijs voor het realiseren van een eventuele bijkomende emissiereductie. De gehanteerde uitgangspunten kunnen uiteraard voor discussie vatbaar zijn, maar laten toch toe om een grootteorde inschatting te maken. Exacte berekeningen zijn enkel mogelijk na detailengineering en zijn in het kader van deze studie dan ook niet mogelijk. Bij de berekening van de jaarlijkse kostprijs dient niet alleen de investeringskost maar eveneens de onderhouds- en werkingskost mee beoordeeld te worden. </w:t>
      </w:r>
    </w:p>
    <w:p w:rsidR="00EA56C1" w:rsidRDefault="00EA56C1" w:rsidP="00AF3F9E">
      <w:r>
        <w:t>Ook de keuze van de  afschrijvingstermijn en de de interne rentevoet hebben uiteraard een grote invloed op het resultaat:</w:t>
      </w:r>
    </w:p>
    <w:p w:rsidR="00EA56C1" w:rsidRDefault="00EA56C1" w:rsidP="00AF3F9E">
      <w:pPr>
        <w:pStyle w:val="ListParagraph"/>
      </w:pPr>
      <w:r>
        <w:t xml:space="preserve">Cfr.  </w:t>
      </w:r>
      <w:r w:rsidRPr="004B5162">
        <w:t>Owen Plaisier en David Knight (Dienst Lucht en Klimaat; 2006</w:t>
      </w:r>
      <w:r w:rsidRPr="002D4D87">
        <w:t xml:space="preserve">) zou </w:t>
      </w:r>
      <w:r>
        <w:t>een</w:t>
      </w:r>
      <w:r w:rsidRPr="00B60B7F">
        <w:t xml:space="preserve"> </w:t>
      </w:r>
      <w:r>
        <w:t xml:space="preserve">afschrijftermijn van 15 jaar </w:t>
      </w:r>
      <w:r w:rsidRPr="00B60B7F">
        <w:t>in de stuurgroep van de sectorstudie gehanteerd zijn. Het lijkt ook weinig waarschijnlijk dat alle dampretourleidingen elke 1</w:t>
      </w:r>
      <w:r>
        <w:t>0</w:t>
      </w:r>
      <w:r w:rsidRPr="00B60B7F">
        <w:t xml:space="preserve"> jaar vervangen worden.</w:t>
      </w:r>
      <w:r w:rsidRPr="00C71761">
        <w:t xml:space="preserve"> </w:t>
      </w:r>
      <w:r>
        <w:t>In de BAT studie wordt echter een afschrijvingstermijn van 10 jaar gehanteerd.</w:t>
      </w:r>
    </w:p>
    <w:p w:rsidR="00EA56C1" w:rsidRDefault="00EA56C1" w:rsidP="00AF3F9E">
      <w:pPr>
        <w:pStyle w:val="ListParagraph"/>
      </w:pPr>
      <w:r>
        <w:t xml:space="preserve">Verder dient ook de te gebruiken interne rentevoet vastgelegd te worden. Ten aanzien van de waarde  van 5 % zoals gehanteerd door de Dienst Lucht van LNE dient men te stellen dat een dergelijke waarde als laag, en zeker niet gebruikelijk bij industriële projecten kan beschouwd worden. Hier zal men eerder een waarde van 10; </w:t>
      </w:r>
      <w:r w:rsidRPr="006D6B58">
        <w:t>12,5 tot zelfs 15</w:t>
      </w:r>
      <w:r>
        <w:t xml:space="preserve"> % in rekening brengen. Bij de berekeningen worden enkel de lagere interne rentevoeten van 5; 7,5 en van 10 % gehanteerd. Bij toepassen van de interne rentevoeten van 12,5 en 15%, welke ook bij andere (milieu)studies</w:t>
      </w:r>
      <w:r>
        <w:rPr>
          <w:rStyle w:val="FootnoteReference"/>
        </w:rPr>
        <w:footnoteReference w:id="62"/>
      </w:r>
      <w:r>
        <w:t xml:space="preserve"> gebruikt worden, zal de eenheidskost per ton VOS-reductie uiteraard nog toenemen.  </w:t>
      </w:r>
    </w:p>
    <w:p w:rsidR="00EA56C1" w:rsidRDefault="00EA56C1" w:rsidP="00AF3F9E">
      <w:pPr>
        <w:pStyle w:val="ListParagraph"/>
      </w:pPr>
      <w:r w:rsidRPr="002876B7">
        <w:t xml:space="preserve">Cfr.  Owen Plaisier en David Knight (Dienst Lucht en Klimaat; 2006)  zou de 5% discontovoet  niet alleen gehanteerd </w:t>
      </w:r>
      <w:r>
        <w:t>worden</w:t>
      </w:r>
      <w:r w:rsidRPr="002876B7">
        <w:t xml:space="preserve"> in de sectorstudie, ook de </w:t>
      </w:r>
      <w:r>
        <w:t xml:space="preserve">oorspronkelijke </w:t>
      </w:r>
      <w:r w:rsidRPr="002876B7">
        <w:t>intersectorale afweging (3.100 euro/ton) werd met een intrestvoet van 5% berekend. Op Europees niveau (RAINS model) wordt zelfs een lagere intrestvoet gehanteerd (4</w:t>
      </w:r>
      <w:r>
        <w:t>%). Daarom wordt ook in het NEC-</w:t>
      </w:r>
      <w:r w:rsidRPr="002876B7">
        <w:t xml:space="preserve">reductieprogramma 5% gehanteerd. </w:t>
      </w:r>
      <w:r>
        <w:t>Hier dient opgemerkt dat bij de actualisatie van het NEC reductieprogramma (maart 2007) de te hanteren eenheidsreductiekost tot 5.000 euro/ton verhoogd werd.</w:t>
      </w:r>
    </w:p>
    <w:p w:rsidR="00EA56C1" w:rsidRDefault="00EA56C1" w:rsidP="00AF3F9E">
      <w:pPr>
        <w:rPr>
          <w:rFonts w:ascii="Arial" w:hAnsi="Arial" w:cs="Arial"/>
        </w:rPr>
      </w:pPr>
      <w:r>
        <w:t xml:space="preserve">Door de deskundige is bij onderhavige evaluatie een afschrijvingstermijn van 10 jaar (cfr BAT-studie) en een interne rentevoet van 10% (gebruikelijke rentevoet gehanteerd bij industriële investeringen en te aanzien als een gemiddelde waarde van de hierboven beschreven waarden) gehanteerd. </w:t>
      </w:r>
      <w:r w:rsidRPr="008C3177">
        <w:t xml:space="preserve">De </w:t>
      </w:r>
      <w:r>
        <w:t xml:space="preserve">hierna </w:t>
      </w:r>
      <w:r w:rsidRPr="008C3177">
        <w:t xml:space="preserve">vermelde gegevens laten geïnteresseerden </w:t>
      </w:r>
      <w:r>
        <w:t xml:space="preserve">echter </w:t>
      </w:r>
      <w:r w:rsidRPr="008C3177">
        <w:t>wel toe om aan de hand van eventuele andere aannames bijkomende evaluaties uit te voeren</w:t>
      </w:r>
      <w:r>
        <w:rPr>
          <w:rFonts w:ascii="Arial" w:hAnsi="Arial" w:cs="Arial"/>
        </w:rPr>
        <w:t>.</w:t>
      </w:r>
    </w:p>
    <w:p w:rsidR="00EA56C1" w:rsidRDefault="00EA56C1" w:rsidP="004F40A7">
      <w:pPr>
        <w:pStyle w:val="tit-5"/>
        <w:outlineLvl w:val="0"/>
      </w:pPr>
      <w:r>
        <w:t>Investerings- en exploitatiekost</w:t>
      </w:r>
    </w:p>
    <w:p w:rsidR="00EA56C1" w:rsidRDefault="00EA56C1" w:rsidP="004F40A7">
      <w:pPr>
        <w:outlineLvl w:val="0"/>
        <w:rPr>
          <w:lang w:val="nl-NL"/>
        </w:rPr>
      </w:pPr>
      <w:r>
        <w:rPr>
          <w:lang w:val="nl-NL"/>
        </w:rPr>
        <w:t xml:space="preserve">De investeringskost </w:t>
      </w:r>
      <w:r w:rsidR="00204A8B">
        <w:rPr>
          <w:lang w:val="nl-NL"/>
        </w:rPr>
        <w:t xml:space="preserve">om </w:t>
      </w:r>
      <w:r w:rsidR="006C45C1">
        <w:rPr>
          <w:lang w:val="nl-NL"/>
        </w:rPr>
        <w:t xml:space="preserve">de </w:t>
      </w:r>
      <w:r w:rsidR="00204A8B">
        <w:rPr>
          <w:lang w:val="nl-NL"/>
        </w:rPr>
        <w:t>P1-tanks op VTE ingegraal uit te rusten met dampretourleidingen wo</w:t>
      </w:r>
      <w:r w:rsidR="006A1CAD">
        <w:rPr>
          <w:lang w:val="nl-NL"/>
        </w:rPr>
        <w:t>rdt geraamd op 97.000 euro/tank, gebaseerd op een bestaande kostberekening gemaakt in 2011.</w:t>
      </w:r>
      <w:r w:rsidR="00204A8B">
        <w:rPr>
          <w:lang w:val="nl-NL"/>
        </w:rPr>
        <w:t xml:space="preserve"> Deze investering gaat uit van een totale leidinglengte van 15 m per tank, en is gezien de ligging van verschillende van de tanks ( &gt; 100 m) een </w:t>
      </w:r>
      <w:r w:rsidR="006C45C1">
        <w:rPr>
          <w:lang w:val="nl-NL"/>
        </w:rPr>
        <w:t>sterke</w:t>
      </w:r>
      <w:r w:rsidR="00204A8B">
        <w:rPr>
          <w:lang w:val="nl-NL"/>
        </w:rPr>
        <w:t xml:space="preserve"> onderschatting. Verder gaat deze raming er van uit dat de leidingen kunnen aansluiten op gemeenschappelijke </w:t>
      </w:r>
      <w:r w:rsidR="00321EEB">
        <w:rPr>
          <w:lang w:val="nl-NL"/>
        </w:rPr>
        <w:t xml:space="preserve">bestaande </w:t>
      </w:r>
      <w:r w:rsidR="00204A8B">
        <w:rPr>
          <w:lang w:val="nl-NL"/>
        </w:rPr>
        <w:t>collectorleidingen wat omwille van reactiviteit tussen verschillen</w:t>
      </w:r>
      <w:r w:rsidR="006C45C1">
        <w:rPr>
          <w:lang w:val="nl-NL"/>
        </w:rPr>
        <w:t xml:space="preserve">de producten </w:t>
      </w:r>
      <w:r w:rsidR="00321EEB">
        <w:rPr>
          <w:lang w:val="nl-NL"/>
        </w:rPr>
        <w:t xml:space="preserve">of afwezigheid van collectorleidingen </w:t>
      </w:r>
      <w:r w:rsidR="006C45C1">
        <w:rPr>
          <w:lang w:val="nl-NL"/>
        </w:rPr>
        <w:t xml:space="preserve">in realiteit niet haalbaar is. </w:t>
      </w:r>
      <w:r w:rsidR="00204A8B">
        <w:rPr>
          <w:lang w:val="nl-NL"/>
        </w:rPr>
        <w:t xml:space="preserve">Voor de 26 tanks die nog niet zijn uitgerust zou dit een totale investering van </w:t>
      </w:r>
      <w:r w:rsidR="00204A8B" w:rsidRPr="00204A8B">
        <w:rPr>
          <w:lang w:val="nl-NL"/>
        </w:rPr>
        <w:t>2</w:t>
      </w:r>
      <w:r w:rsidR="00204A8B">
        <w:rPr>
          <w:lang w:val="nl-NL"/>
        </w:rPr>
        <w:t>.</w:t>
      </w:r>
      <w:r w:rsidR="00204A8B" w:rsidRPr="00204A8B">
        <w:rPr>
          <w:lang w:val="nl-NL"/>
        </w:rPr>
        <w:t>522</w:t>
      </w:r>
      <w:r w:rsidR="00204A8B">
        <w:rPr>
          <w:lang w:val="nl-NL"/>
        </w:rPr>
        <w:t>.</w:t>
      </w:r>
      <w:r w:rsidR="00204A8B" w:rsidRPr="00204A8B">
        <w:rPr>
          <w:lang w:val="nl-NL"/>
        </w:rPr>
        <w:t>000</w:t>
      </w:r>
      <w:r w:rsidR="00204A8B">
        <w:rPr>
          <w:lang w:val="nl-NL"/>
        </w:rPr>
        <w:t xml:space="preserve"> euro betekenen. </w:t>
      </w:r>
    </w:p>
    <w:p w:rsidR="006C45C1" w:rsidRDefault="006C45C1" w:rsidP="004F40A7">
      <w:pPr>
        <w:outlineLvl w:val="0"/>
        <w:rPr>
          <w:lang w:val="nl-NL"/>
        </w:rPr>
      </w:pPr>
      <w:r>
        <w:rPr>
          <w:lang w:val="nl-NL"/>
        </w:rPr>
        <w:lastRenderedPageBreak/>
        <w:t>De investeringskost om de P1-tanks op VTE ingegraal uit te rusten met dampretourleidingen én aansluiting op de DVI  wordt geraamd op 330.000 euro/tank</w:t>
      </w:r>
      <w:r w:rsidR="006A1CAD">
        <w:rPr>
          <w:lang w:val="nl-NL"/>
        </w:rPr>
        <w:t xml:space="preserve"> gebaseerd op een bestaande kostberekening gemaakt in 2011.</w:t>
      </w:r>
      <w:r>
        <w:rPr>
          <w:lang w:val="nl-NL"/>
        </w:rPr>
        <w:t xml:space="preserve"> Hierbij worden voor het gedeelte van de dampretourleidingen dezelfde aannames gemaakt als in het geval hierboven. De meerkost voor de aansluiting op de DVI is voor het grootste gedeelte te wijten aan </w:t>
      </w:r>
      <w:r w:rsidR="0080737F">
        <w:rPr>
          <w:lang w:val="nl-NL"/>
        </w:rPr>
        <w:t xml:space="preserve">de </w:t>
      </w:r>
      <w:r>
        <w:rPr>
          <w:lang w:val="nl-NL"/>
        </w:rPr>
        <w:t>dimensionering van de bestaande DVI</w:t>
      </w:r>
      <w:r w:rsidR="00B07696">
        <w:rPr>
          <w:lang w:val="nl-NL"/>
        </w:rPr>
        <w:t xml:space="preserve"> (capaciteit van 500 Nm</w:t>
      </w:r>
      <w:r w:rsidR="00B07696" w:rsidRPr="00B07696">
        <w:rPr>
          <w:vertAlign w:val="superscript"/>
          <w:lang w:val="nl-NL"/>
        </w:rPr>
        <w:t>3</w:t>
      </w:r>
      <w:r w:rsidR="00B07696">
        <w:rPr>
          <w:lang w:val="nl-NL"/>
        </w:rPr>
        <w:t>/u). om de nodige 50 Nm</w:t>
      </w:r>
      <w:r w:rsidR="00B07696" w:rsidRPr="00B07696">
        <w:rPr>
          <w:vertAlign w:val="superscript"/>
          <w:lang w:val="nl-NL"/>
        </w:rPr>
        <w:t>3</w:t>
      </w:r>
      <w:r w:rsidR="00B07696">
        <w:rPr>
          <w:lang w:val="nl-NL"/>
        </w:rPr>
        <w:t xml:space="preserve">/u per tank </w:t>
      </w:r>
      <w:r w:rsidR="0080737F">
        <w:rPr>
          <w:lang w:val="nl-NL"/>
        </w:rPr>
        <w:t>t</w:t>
      </w:r>
      <w:r w:rsidR="00B07696">
        <w:rPr>
          <w:lang w:val="nl-NL"/>
        </w:rPr>
        <w:t>e halen zal moeten geïnvesteerd worden in een uitbreiding van de DV</w:t>
      </w:r>
      <w:r w:rsidR="004D0248">
        <w:rPr>
          <w:lang w:val="nl-NL"/>
        </w:rPr>
        <w:t>I</w:t>
      </w:r>
      <w:r w:rsidR="00B07696">
        <w:rPr>
          <w:rStyle w:val="FootnoteReference"/>
          <w:lang w:val="nl-NL"/>
        </w:rPr>
        <w:footnoteReference w:id="63"/>
      </w:r>
      <w:r w:rsidR="004D0248">
        <w:rPr>
          <w:lang w:val="nl-NL"/>
        </w:rPr>
        <w:t xml:space="preserve">. Voor de 26 tanks die nog niet zijn uitgerust zou dit een totale investering van </w:t>
      </w:r>
      <w:r w:rsidR="004D0248" w:rsidRPr="004D0248">
        <w:rPr>
          <w:lang w:val="nl-NL"/>
        </w:rPr>
        <w:t>8</w:t>
      </w:r>
      <w:r w:rsidR="004D0248">
        <w:rPr>
          <w:lang w:val="nl-NL"/>
        </w:rPr>
        <w:t>.</w:t>
      </w:r>
      <w:r w:rsidR="004D0248" w:rsidRPr="004D0248">
        <w:rPr>
          <w:lang w:val="nl-NL"/>
        </w:rPr>
        <w:t>580</w:t>
      </w:r>
      <w:r w:rsidR="004D0248">
        <w:rPr>
          <w:lang w:val="nl-NL"/>
        </w:rPr>
        <w:t>.</w:t>
      </w:r>
      <w:r w:rsidR="004D0248" w:rsidRPr="004D0248">
        <w:rPr>
          <w:lang w:val="nl-NL"/>
        </w:rPr>
        <w:t>000</w:t>
      </w:r>
      <w:r w:rsidR="004D0248">
        <w:rPr>
          <w:lang w:val="nl-NL"/>
        </w:rPr>
        <w:t xml:space="preserve"> euro betekenen.</w:t>
      </w:r>
    </w:p>
    <w:p w:rsidR="00EA56C1" w:rsidRDefault="00EA56C1" w:rsidP="00AF3F9E">
      <w:pPr>
        <w:rPr>
          <w:lang w:val="nl-NL"/>
        </w:rPr>
      </w:pPr>
      <w:r>
        <w:rPr>
          <w:lang w:val="nl-NL"/>
        </w:rPr>
        <w:t>Bijkomend dient nog rekening gehouden te worden met extra onderhoudskosten (geschat op 2% van de investeringskost) en extra kos</w:t>
      </w:r>
      <w:r w:rsidR="00944640">
        <w:rPr>
          <w:lang w:val="nl-NL"/>
        </w:rPr>
        <w:t>ten voor het aardgasverbruik DVI</w:t>
      </w:r>
      <w:r>
        <w:rPr>
          <w:lang w:val="nl-NL"/>
        </w:rPr>
        <w:t xml:space="preserve"> (geschat op 65.000€). </w:t>
      </w:r>
      <w:r w:rsidRPr="004D0248">
        <w:rPr>
          <w:lang w:val="nl-NL"/>
        </w:rPr>
        <w:t xml:space="preserve">In feite zijn er ook nog bijkomende werkingskosten van de </w:t>
      </w:r>
      <w:r w:rsidR="00944640">
        <w:rPr>
          <w:lang w:val="nl-NL"/>
        </w:rPr>
        <w:t>DVI</w:t>
      </w:r>
      <w:r w:rsidRPr="004D0248">
        <w:rPr>
          <w:lang w:val="nl-NL"/>
        </w:rPr>
        <w:t xml:space="preserve"> toe te bedelen aan de te realiseren extra reductie maar omwille van de eenvoud wordt dit vooralsnog niet in rekening gebracht.</w:t>
      </w:r>
    </w:p>
    <w:p w:rsidR="00EA56C1" w:rsidRDefault="00EA56C1" w:rsidP="00AF3F9E">
      <w:r>
        <w:t>Het gebruik van dampbalans vereist volgens de BAT-studie eveneens meer inspecties van zgn. “detonatiation arresters”, druk/vacuüm ventielen en lektesten. Het systeem vereist eveneens dat individuele tanks kunnen afgesloten worden van het geheel (wat bijkomende potentiële lekbronnen impliceert) om inspectie en onderhoud mogelijk te maken. Ook wordt in deze BAT-studie gesteld dat condensaat kan opstapelen in lagere delen van de leidingen en in de zgn. “arrester” lichamen waardoor er problemen voor verwijdering van dit condensaat kan ontstaan.</w:t>
      </w:r>
    </w:p>
    <w:p w:rsidR="00EA56C1" w:rsidRDefault="00EA56C1" w:rsidP="00AF3F9E">
      <w:r>
        <w:t>Ook dient te worden opgemerkt, cfr de BAT-studie, dat bij het gebruik van dampbalans de potentiële veiligheidsrisico’s (asymptotisch met het aantal tanks) toenemen.</w:t>
      </w:r>
    </w:p>
    <w:p w:rsidR="00EA56C1" w:rsidRDefault="00EA56C1" w:rsidP="00AF3F9E">
      <w:r>
        <w:t>Uitvoeren van gedegen inspecties is dan ook absoluut noodzakelijk. Dat dit alles kosten met zich meebrengt is dan ook duidelijk. Ook door het feit dat wisselende producten in de specifieke tanks opgeslagen worden kan men redelijkerwijs aannemen dat bij productwisseling, zeker indien het gaat om “incompatibele” producten, er extra kosten zullen ontstaan te wijten aan extra nazicht/reiniging van bvb dampbalans installaties. Deze extra reinigingskosten die zullen ontstaan zijn net als de andere onderhouds- en inspectiekosten moeilijk nauwkeurig in te schatten.</w:t>
      </w:r>
    </w:p>
    <w:p w:rsidR="00EA56C1" w:rsidRDefault="00EA56C1" w:rsidP="00AF3F9E">
      <w:r>
        <w:t>De hierna opgenomen gegevens laten wel toe om op basis van een andere inschatting van de kostenstructuur eveneens de grootte orde van de mogelijke reductiekosten te schatten.</w:t>
      </w:r>
    </w:p>
    <w:p w:rsidR="00EA56C1" w:rsidRDefault="00EA56C1" w:rsidP="00AF3F9E">
      <w:r>
        <w:t>Gezien de evaluatie van de kosten voor VOS-reductie in deze MER-studie enkel als ruwe benadering kan aanzien worden (zoals reeds eerder gesteld kan enkel een detailengineering een duidelijk beeld opleveren van de werkelijke kostprijs; zo stelt de BAT-studie bij dampbalans dat de kostprijs sterk afhankelijk is van de layout van de installaties), wordt de uiteindelijke beoordeling wel uitgevoerd op basis van een afschrijvingsperiode van 10 jaar (cfr BAT-studie) en een interne rentevoet van 10% (gemiddelde van de hierboven geciteerde range qua intrestvoeten). De hierna opgenomen gegevens laten echter wel toe om op eenvoudige wijze ook andere aannames te checken.</w:t>
      </w:r>
    </w:p>
    <w:p w:rsidR="00EA56C1" w:rsidRDefault="00EA56C1" w:rsidP="00321EEB">
      <w:pPr>
        <w:pStyle w:val="Heading5"/>
      </w:pPr>
      <w:bookmarkStart w:id="895" w:name="_Toc312069316"/>
      <w:r>
        <w:lastRenderedPageBreak/>
        <w:t>Kosteneffectiviteit</w:t>
      </w:r>
      <w:bookmarkEnd w:id="895"/>
    </w:p>
    <w:p w:rsidR="00EA56C1" w:rsidRDefault="00EA56C1" w:rsidP="00321EEB">
      <w:pPr>
        <w:pStyle w:val="tit-5"/>
        <w:rPr>
          <w:lang w:val="nl-NL"/>
        </w:rPr>
      </w:pPr>
      <w:r>
        <w:rPr>
          <w:lang w:val="nl-NL"/>
        </w:rPr>
        <w:t>dampretour excl. DVI</w:t>
      </w:r>
    </w:p>
    <w:p w:rsidR="00764941" w:rsidRDefault="00764941" w:rsidP="00321EEB">
      <w:pPr>
        <w:keepNext/>
      </w:pPr>
      <w:r>
        <w:t>In onderstaande tabel worden de resultaten van de berekende kostenefficiëntie opgenomen.</w:t>
      </w:r>
    </w:p>
    <w:p w:rsidR="00764941" w:rsidRDefault="00764941" w:rsidP="00321EEB">
      <w:pPr>
        <w:keepNext/>
      </w:pPr>
      <w:r>
        <w:t>Hieruit blijkt dat uit de gehanteerde waar</w:t>
      </w:r>
      <w:r w:rsidR="004D0248">
        <w:t xml:space="preserve">den een extra VOS-reductie van 105 </w:t>
      </w:r>
      <w:r>
        <w:t>ton zou moeten gerealiseerd worden vooraleer deze als kosten effectief kan aanzien worden. Zelfs met alle andere gehanteerde aannames van afschrijvingstermijn en interne rentevoet komt men niet tot een kosten effectieve extra VOS-reductie.</w:t>
      </w:r>
    </w:p>
    <w:p w:rsidR="00764941" w:rsidRDefault="00764941" w:rsidP="00321EEB">
      <w:pPr>
        <w:pStyle w:val="tabel0"/>
      </w:pPr>
      <w:r>
        <w:t>Tabel</w:t>
      </w:r>
      <w:r w:rsidR="00644C21">
        <w:t xml:space="preserve"> </w:t>
      </w:r>
      <w:r w:rsidR="00C325A0">
        <w:fldChar w:fldCharType="begin"/>
      </w:r>
      <w:r w:rsidR="00644C21">
        <w:instrText xml:space="preserve"> REF t_lucht_kosten_DR \h </w:instrText>
      </w:r>
      <w:r w:rsidR="00C325A0">
        <w:fldChar w:fldCharType="separate"/>
      </w:r>
      <w:r w:rsidR="008102D8">
        <w:t>VIII.2.22</w:t>
      </w:r>
      <w:r w:rsidR="00C325A0">
        <w:fldChar w:fldCharType="end"/>
      </w:r>
      <w:r w:rsidR="00644C21">
        <w:t>:</w:t>
      </w:r>
      <w:r>
        <w:tab/>
        <w:t xml:space="preserve">Berekeningstabel kosten effectiviteit integraal uitrusten P1-opslagtanks met dampbalansleidingen </w:t>
      </w:r>
    </w:p>
    <w:tbl>
      <w:tblPr>
        <w:tblW w:w="9111" w:type="dxa"/>
        <w:tblInd w:w="55" w:type="dxa"/>
        <w:tblCellMar>
          <w:left w:w="70" w:type="dxa"/>
          <w:right w:w="70" w:type="dxa"/>
        </w:tblCellMar>
        <w:tblLook w:val="0000"/>
      </w:tblPr>
      <w:tblGrid>
        <w:gridCol w:w="1240"/>
        <w:gridCol w:w="935"/>
        <w:gridCol w:w="1255"/>
        <w:gridCol w:w="1080"/>
        <w:gridCol w:w="1081"/>
        <w:gridCol w:w="900"/>
        <w:gridCol w:w="900"/>
        <w:gridCol w:w="1720"/>
      </w:tblGrid>
      <w:tr w:rsidR="00764941" w:rsidRPr="00497196" w:rsidTr="001608FF">
        <w:trPr>
          <w:trHeight w:val="939"/>
        </w:trPr>
        <w:tc>
          <w:tcPr>
            <w:tcW w:w="1240" w:type="dxa"/>
            <w:tcBorders>
              <w:top w:val="single" w:sz="8" w:space="0" w:color="auto"/>
              <w:left w:val="single" w:sz="8" w:space="0" w:color="auto"/>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investerings-</w:t>
            </w:r>
            <w:r w:rsidRPr="00497196">
              <w:br/>
              <w:t>kost</w:t>
            </w:r>
          </w:p>
        </w:tc>
        <w:tc>
          <w:tcPr>
            <w:tcW w:w="935" w:type="dxa"/>
            <w:tcBorders>
              <w:top w:val="single" w:sz="8" w:space="0" w:color="auto"/>
              <w:left w:val="nil"/>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 xml:space="preserve">interne </w:t>
            </w:r>
            <w:r w:rsidRPr="00497196">
              <w:br/>
              <w:t>rentevoet, in %</w:t>
            </w:r>
          </w:p>
        </w:tc>
        <w:tc>
          <w:tcPr>
            <w:tcW w:w="1255" w:type="dxa"/>
            <w:tcBorders>
              <w:top w:val="single" w:sz="8" w:space="0" w:color="auto"/>
              <w:left w:val="nil"/>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afschrijvings-</w:t>
            </w:r>
            <w:r w:rsidRPr="00497196">
              <w:br/>
              <w:t xml:space="preserve">periode, </w:t>
            </w:r>
            <w:r w:rsidRPr="00497196">
              <w:br/>
              <w:t>jaar</w:t>
            </w:r>
          </w:p>
        </w:tc>
        <w:tc>
          <w:tcPr>
            <w:tcW w:w="1080" w:type="dxa"/>
            <w:tcBorders>
              <w:top w:val="single" w:sz="8" w:space="0" w:color="auto"/>
              <w:left w:val="nil"/>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 xml:space="preserve">jaarlijkse </w:t>
            </w:r>
            <w:r w:rsidRPr="00497196">
              <w:br/>
              <w:t>investerings-</w:t>
            </w:r>
            <w:r w:rsidRPr="00497196">
              <w:br/>
              <w:t>kost</w:t>
            </w:r>
          </w:p>
        </w:tc>
        <w:tc>
          <w:tcPr>
            <w:tcW w:w="1081" w:type="dxa"/>
            <w:tcBorders>
              <w:top w:val="single" w:sz="8" w:space="0" w:color="auto"/>
              <w:left w:val="nil"/>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 xml:space="preserve">jaarlijkse </w:t>
            </w:r>
            <w:r w:rsidRPr="00497196">
              <w:br/>
              <w:t>onderhouds-</w:t>
            </w:r>
            <w:r w:rsidRPr="00497196">
              <w:br/>
              <w:t>kost</w:t>
            </w:r>
          </w:p>
        </w:tc>
        <w:tc>
          <w:tcPr>
            <w:tcW w:w="900" w:type="dxa"/>
            <w:tcBorders>
              <w:top w:val="single" w:sz="8" w:space="0" w:color="auto"/>
              <w:left w:val="nil"/>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kost aardgas-verbruik</w:t>
            </w:r>
          </w:p>
        </w:tc>
        <w:tc>
          <w:tcPr>
            <w:tcW w:w="900" w:type="dxa"/>
            <w:tcBorders>
              <w:top w:val="single" w:sz="8" w:space="0" w:color="auto"/>
              <w:left w:val="nil"/>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 xml:space="preserve">totale </w:t>
            </w:r>
            <w:r w:rsidRPr="00497196">
              <w:br/>
              <w:t xml:space="preserve">jaarlijkse </w:t>
            </w:r>
            <w:r w:rsidRPr="00497196">
              <w:br/>
              <w:t>kost</w:t>
            </w:r>
          </w:p>
        </w:tc>
        <w:tc>
          <w:tcPr>
            <w:tcW w:w="1720" w:type="dxa"/>
            <w:tcBorders>
              <w:top w:val="single" w:sz="8" w:space="0" w:color="auto"/>
              <w:left w:val="nil"/>
              <w:bottom w:val="single" w:sz="4" w:space="0" w:color="auto"/>
              <w:right w:val="single" w:sz="8" w:space="0" w:color="auto"/>
            </w:tcBorders>
            <w:shd w:val="clear" w:color="auto" w:fill="D9D9D9"/>
            <w:vAlign w:val="bottom"/>
          </w:tcPr>
          <w:p w:rsidR="00764941" w:rsidRPr="00497196" w:rsidRDefault="00764941" w:rsidP="00321EEB">
            <w:pPr>
              <w:pStyle w:val="normaltabel"/>
              <w:keepNext/>
              <w:widowControl/>
            </w:pPr>
            <w:r w:rsidRPr="00497196">
              <w:t>noodzakelijke Vos-</w:t>
            </w:r>
            <w:r w:rsidRPr="00497196">
              <w:br/>
              <w:t>reductie zodat kost kleiner</w:t>
            </w:r>
            <w:r w:rsidRPr="00497196">
              <w:br/>
              <w:t>is dan 5000 €/ton</w:t>
            </w:r>
          </w:p>
        </w:tc>
      </w:tr>
      <w:tr w:rsidR="001608FF" w:rsidRPr="00564092" w:rsidTr="001608FF">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Pr="00F94706" w:rsidRDefault="00F94706"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522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5,00%</w:t>
            </w:r>
          </w:p>
        </w:tc>
        <w:tc>
          <w:tcPr>
            <w:tcW w:w="125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10</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€ 326.611</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50</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440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65</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00"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€ 442.051</w:t>
            </w:r>
          </w:p>
        </w:tc>
        <w:tc>
          <w:tcPr>
            <w:tcW w:w="1720"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rPr>
              <w:t>88</w:t>
            </w:r>
          </w:p>
        </w:tc>
      </w:tr>
      <w:tr w:rsidR="001608FF" w:rsidRPr="00564092" w:rsidTr="001608FF">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Pr="00F94706" w:rsidRDefault="00F94706"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522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5,00%</w:t>
            </w:r>
          </w:p>
        </w:tc>
        <w:tc>
          <w:tcPr>
            <w:tcW w:w="125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15</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€ 242.975</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50</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440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65</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00"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€ 358.415</w:t>
            </w:r>
          </w:p>
        </w:tc>
        <w:tc>
          <w:tcPr>
            <w:tcW w:w="1720"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72</w:t>
            </w:r>
          </w:p>
        </w:tc>
      </w:tr>
      <w:tr w:rsidR="001608FF" w:rsidRPr="00564092" w:rsidTr="001608FF">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Pr="00F94706" w:rsidRDefault="00F94706"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522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7,50%</w:t>
            </w:r>
          </w:p>
        </w:tc>
        <w:tc>
          <w:tcPr>
            <w:tcW w:w="125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10</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€ 367.420</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50</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440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65</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00"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€ 482.860</w:t>
            </w:r>
          </w:p>
        </w:tc>
        <w:tc>
          <w:tcPr>
            <w:tcW w:w="1720"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97</w:t>
            </w:r>
          </w:p>
        </w:tc>
      </w:tr>
      <w:tr w:rsidR="001608FF" w:rsidRPr="00564092" w:rsidTr="001608FF">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Pr="00F94706" w:rsidRDefault="00F94706"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522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7,50%</w:t>
            </w:r>
          </w:p>
        </w:tc>
        <w:tc>
          <w:tcPr>
            <w:tcW w:w="125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15</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€ 285.710</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50</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440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65</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00"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€ 401.150</w:t>
            </w:r>
          </w:p>
        </w:tc>
        <w:tc>
          <w:tcPr>
            <w:tcW w:w="1720"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80</w:t>
            </w:r>
          </w:p>
        </w:tc>
      </w:tr>
      <w:tr w:rsidR="001608FF" w:rsidRPr="00564092" w:rsidTr="001608FF">
        <w:trPr>
          <w:trHeight w:val="28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Pr="00F94706" w:rsidRDefault="00F94706" w:rsidP="00321EEB">
            <w:pPr>
              <w:keepNext/>
              <w:rPr>
                <w:rFonts w:asciiTheme="minorHAnsi" w:hAnsiTheme="minorHAnsi" w:cstheme="minorHAnsi"/>
                <w:b/>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b/>
                <w:color w:val="000000"/>
                <w:sz w:val="18"/>
                <w:szCs w:val="18"/>
                <w:lang w:val="nl-NL"/>
              </w:rPr>
              <w:t>2</w:t>
            </w:r>
            <w:r>
              <w:rPr>
                <w:rFonts w:asciiTheme="minorHAnsi" w:hAnsiTheme="minorHAnsi" w:cstheme="minorHAnsi"/>
                <w:b/>
                <w:color w:val="000000"/>
                <w:sz w:val="18"/>
                <w:szCs w:val="18"/>
                <w:lang w:val="nl-NL"/>
              </w:rPr>
              <w:t>.</w:t>
            </w:r>
            <w:r w:rsidR="001608FF" w:rsidRPr="00F94706">
              <w:rPr>
                <w:rFonts w:asciiTheme="minorHAnsi" w:hAnsiTheme="minorHAnsi" w:cstheme="minorHAnsi"/>
                <w:b/>
                <w:color w:val="000000"/>
                <w:sz w:val="18"/>
                <w:szCs w:val="18"/>
                <w:lang w:val="nl-NL"/>
              </w:rPr>
              <w:t>522</w:t>
            </w:r>
            <w:r>
              <w:rPr>
                <w:rFonts w:asciiTheme="minorHAnsi" w:hAnsiTheme="minorHAnsi" w:cstheme="minorHAnsi"/>
                <w:b/>
                <w:color w:val="000000"/>
                <w:sz w:val="18"/>
                <w:szCs w:val="18"/>
                <w:lang w:val="nl-NL"/>
              </w:rPr>
              <w:t>.</w:t>
            </w:r>
            <w:r w:rsidR="001608FF" w:rsidRPr="00F94706">
              <w:rPr>
                <w:rFonts w:asciiTheme="minorHAnsi" w:hAnsiTheme="minorHAnsi" w:cstheme="minorHAnsi"/>
                <w:b/>
                <w:color w:val="000000"/>
                <w:sz w:val="18"/>
                <w:szCs w:val="18"/>
                <w:lang w:val="nl-NL"/>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b/>
                <w:color w:val="000000"/>
                <w:sz w:val="18"/>
                <w:szCs w:val="18"/>
              </w:rPr>
            </w:pPr>
            <w:r w:rsidRPr="00F94706">
              <w:rPr>
                <w:rFonts w:asciiTheme="minorHAnsi" w:hAnsiTheme="minorHAnsi" w:cstheme="minorHAnsi"/>
                <w:b/>
                <w:color w:val="000000"/>
                <w:sz w:val="18"/>
                <w:szCs w:val="18"/>
                <w:lang w:val="nl-NL"/>
              </w:rPr>
              <w:t>10,00%</w:t>
            </w:r>
          </w:p>
        </w:tc>
        <w:tc>
          <w:tcPr>
            <w:tcW w:w="125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b/>
                <w:color w:val="000000"/>
                <w:sz w:val="18"/>
                <w:szCs w:val="18"/>
              </w:rPr>
            </w:pPr>
            <w:r w:rsidRPr="00F94706">
              <w:rPr>
                <w:rFonts w:asciiTheme="minorHAnsi" w:hAnsiTheme="minorHAnsi" w:cstheme="minorHAnsi"/>
                <w:b/>
                <w:color w:val="000000"/>
                <w:sz w:val="18"/>
                <w:szCs w:val="18"/>
                <w:lang w:val="nl-NL"/>
              </w:rPr>
              <w:t>10</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b/>
                <w:color w:val="000000"/>
                <w:sz w:val="18"/>
                <w:szCs w:val="18"/>
              </w:rPr>
            </w:pPr>
            <w:r w:rsidRPr="00F94706">
              <w:rPr>
                <w:rFonts w:asciiTheme="minorHAnsi" w:hAnsiTheme="minorHAnsi" w:cstheme="minorHAnsi"/>
                <w:b/>
                <w:color w:val="000000"/>
                <w:sz w:val="18"/>
                <w:szCs w:val="18"/>
                <w:lang w:val="nl-NL"/>
              </w:rPr>
              <w:t>€ 410.444</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b/>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b/>
                <w:color w:val="000000"/>
                <w:sz w:val="18"/>
                <w:szCs w:val="18"/>
                <w:lang w:val="nl-NL"/>
              </w:rPr>
              <w:t>50</w:t>
            </w:r>
            <w:r>
              <w:rPr>
                <w:rFonts w:asciiTheme="minorHAnsi" w:hAnsiTheme="minorHAnsi" w:cstheme="minorHAnsi"/>
                <w:b/>
                <w:color w:val="000000"/>
                <w:sz w:val="18"/>
                <w:szCs w:val="18"/>
                <w:lang w:val="nl-NL"/>
              </w:rPr>
              <w:t>.</w:t>
            </w:r>
            <w:r w:rsidR="001608FF" w:rsidRPr="00F94706">
              <w:rPr>
                <w:rFonts w:asciiTheme="minorHAnsi" w:hAnsiTheme="minorHAnsi" w:cstheme="minorHAnsi"/>
                <w:b/>
                <w:color w:val="000000"/>
                <w:sz w:val="18"/>
                <w:szCs w:val="18"/>
                <w:lang w:val="nl-NL"/>
              </w:rPr>
              <w:t>440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b/>
                <w:bCs/>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b/>
                <w:bCs/>
                <w:color w:val="000000"/>
                <w:sz w:val="18"/>
                <w:szCs w:val="18"/>
                <w:lang w:val="nl-NL"/>
              </w:rPr>
              <w:t>65</w:t>
            </w:r>
            <w:r>
              <w:rPr>
                <w:rFonts w:asciiTheme="minorHAnsi" w:hAnsiTheme="minorHAnsi" w:cstheme="minorHAnsi"/>
                <w:b/>
                <w:bCs/>
                <w:color w:val="000000"/>
                <w:sz w:val="18"/>
                <w:szCs w:val="18"/>
                <w:lang w:val="nl-NL"/>
              </w:rPr>
              <w:t>.</w:t>
            </w:r>
            <w:r w:rsidR="001608FF" w:rsidRPr="00F94706">
              <w:rPr>
                <w:rFonts w:asciiTheme="minorHAnsi" w:hAnsiTheme="minorHAnsi" w:cstheme="minorHAnsi"/>
                <w:b/>
                <w:bCs/>
                <w:color w:val="000000"/>
                <w:sz w:val="18"/>
                <w:szCs w:val="18"/>
                <w:lang w:val="nl-NL"/>
              </w:rPr>
              <w:t>000</w:t>
            </w:r>
          </w:p>
        </w:tc>
        <w:tc>
          <w:tcPr>
            <w:tcW w:w="900" w:type="dxa"/>
            <w:tcBorders>
              <w:top w:val="nil"/>
              <w:left w:val="nil"/>
              <w:bottom w:val="single" w:sz="4" w:space="0" w:color="auto"/>
              <w:right w:val="single" w:sz="4" w:space="0" w:color="auto"/>
            </w:tcBorders>
            <w:shd w:val="clear" w:color="auto" w:fill="auto"/>
            <w:noWrap/>
            <w:vAlign w:val="bottom"/>
          </w:tcPr>
          <w:p w:rsidR="001608FF" w:rsidRPr="00197220" w:rsidRDefault="001608FF" w:rsidP="00321EEB">
            <w:pPr>
              <w:keepNext/>
              <w:rPr>
                <w:rFonts w:cs="Calibri"/>
                <w:b/>
                <w:color w:val="000000"/>
                <w:sz w:val="18"/>
                <w:szCs w:val="18"/>
              </w:rPr>
            </w:pPr>
            <w:r w:rsidRPr="00197220">
              <w:rPr>
                <w:rFonts w:cs="Calibri"/>
                <w:b/>
                <w:color w:val="000000"/>
                <w:sz w:val="18"/>
                <w:szCs w:val="18"/>
                <w:lang w:val="nl-NL"/>
              </w:rPr>
              <w:t>€ 525.884</w:t>
            </w:r>
          </w:p>
        </w:tc>
        <w:tc>
          <w:tcPr>
            <w:tcW w:w="1720" w:type="dxa"/>
            <w:tcBorders>
              <w:top w:val="nil"/>
              <w:left w:val="nil"/>
              <w:bottom w:val="single" w:sz="4" w:space="0" w:color="auto"/>
              <w:right w:val="single" w:sz="8" w:space="0" w:color="auto"/>
            </w:tcBorders>
            <w:shd w:val="clear" w:color="auto" w:fill="auto"/>
            <w:noWrap/>
            <w:vAlign w:val="bottom"/>
          </w:tcPr>
          <w:p w:rsidR="001608FF" w:rsidRPr="00197220" w:rsidRDefault="001608FF" w:rsidP="00321EEB">
            <w:pPr>
              <w:keepNext/>
              <w:rPr>
                <w:rFonts w:cs="Calibri"/>
                <w:b/>
                <w:color w:val="000000"/>
                <w:sz w:val="18"/>
                <w:szCs w:val="18"/>
              </w:rPr>
            </w:pPr>
            <w:r w:rsidRPr="00197220">
              <w:rPr>
                <w:rFonts w:cs="Calibri"/>
                <w:b/>
                <w:color w:val="000000"/>
                <w:sz w:val="18"/>
                <w:szCs w:val="18"/>
                <w:lang w:val="nl-NL"/>
              </w:rPr>
              <w:t>105</w:t>
            </w:r>
          </w:p>
        </w:tc>
      </w:tr>
      <w:tr w:rsidR="001608FF" w:rsidRPr="00564092" w:rsidTr="001608FF">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Pr="00F94706" w:rsidRDefault="00F94706"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522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10,00%</w:t>
            </w:r>
          </w:p>
        </w:tc>
        <w:tc>
          <w:tcPr>
            <w:tcW w:w="125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15</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€ 331.577</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50</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440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65</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00"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€ 447.017</w:t>
            </w:r>
          </w:p>
        </w:tc>
        <w:tc>
          <w:tcPr>
            <w:tcW w:w="1720"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89</w:t>
            </w:r>
          </w:p>
        </w:tc>
      </w:tr>
      <w:tr w:rsidR="001608FF" w:rsidRPr="00564092" w:rsidTr="001608FF">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Pr="00F94706" w:rsidRDefault="00F94706"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522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12,50%</w:t>
            </w:r>
          </w:p>
        </w:tc>
        <w:tc>
          <w:tcPr>
            <w:tcW w:w="125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10</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€ 455.528</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50</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440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65</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00"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€ 570.968</w:t>
            </w:r>
          </w:p>
        </w:tc>
        <w:tc>
          <w:tcPr>
            <w:tcW w:w="1720"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114</w:t>
            </w:r>
          </w:p>
        </w:tc>
      </w:tr>
      <w:tr w:rsidR="001608FF" w:rsidRPr="00564092" w:rsidTr="001608FF">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Pr="00F94706" w:rsidRDefault="00F94706"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522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12,50%</w:t>
            </w:r>
          </w:p>
        </w:tc>
        <w:tc>
          <w:tcPr>
            <w:tcW w:w="125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15</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€ 380.226</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50</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440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65</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00"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€ 495.666</w:t>
            </w:r>
          </w:p>
        </w:tc>
        <w:tc>
          <w:tcPr>
            <w:tcW w:w="1720"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99</w:t>
            </w:r>
          </w:p>
        </w:tc>
      </w:tr>
      <w:tr w:rsidR="001608FF" w:rsidRPr="00564092" w:rsidTr="001608FF">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Pr="00F94706" w:rsidRDefault="00F94706"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522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15,00%</w:t>
            </w:r>
          </w:p>
        </w:tc>
        <w:tc>
          <w:tcPr>
            <w:tcW w:w="1255"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10</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€ 502.514</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50</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440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65</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00"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€ 617.954</w:t>
            </w:r>
          </w:p>
        </w:tc>
        <w:tc>
          <w:tcPr>
            <w:tcW w:w="1720"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124</w:t>
            </w:r>
          </w:p>
        </w:tc>
      </w:tr>
      <w:tr w:rsidR="001608FF" w:rsidRPr="00564092" w:rsidTr="001608FF">
        <w:trPr>
          <w:trHeight w:val="70"/>
        </w:trPr>
        <w:tc>
          <w:tcPr>
            <w:tcW w:w="1240" w:type="dxa"/>
            <w:tcBorders>
              <w:top w:val="nil"/>
              <w:left w:val="single" w:sz="8" w:space="0" w:color="auto"/>
              <w:bottom w:val="single" w:sz="8" w:space="0" w:color="auto"/>
              <w:right w:val="single" w:sz="4" w:space="0" w:color="auto"/>
            </w:tcBorders>
            <w:shd w:val="clear" w:color="auto" w:fill="auto"/>
            <w:noWrap/>
            <w:vAlign w:val="bottom"/>
          </w:tcPr>
          <w:p w:rsidR="001608FF" w:rsidRPr="00F94706" w:rsidRDefault="00F94706"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522</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35" w:type="dxa"/>
            <w:tcBorders>
              <w:top w:val="nil"/>
              <w:left w:val="nil"/>
              <w:bottom w:val="single" w:sz="8"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15,00%</w:t>
            </w:r>
          </w:p>
        </w:tc>
        <w:tc>
          <w:tcPr>
            <w:tcW w:w="1255" w:type="dxa"/>
            <w:tcBorders>
              <w:top w:val="nil"/>
              <w:left w:val="nil"/>
              <w:bottom w:val="single" w:sz="8"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15</w:t>
            </w:r>
          </w:p>
        </w:tc>
        <w:tc>
          <w:tcPr>
            <w:tcW w:w="1080" w:type="dxa"/>
            <w:tcBorders>
              <w:top w:val="nil"/>
              <w:left w:val="nil"/>
              <w:bottom w:val="single" w:sz="8"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€ 431.305</w:t>
            </w:r>
          </w:p>
        </w:tc>
        <w:tc>
          <w:tcPr>
            <w:tcW w:w="1081" w:type="dxa"/>
            <w:tcBorders>
              <w:top w:val="nil"/>
              <w:left w:val="nil"/>
              <w:bottom w:val="single" w:sz="8"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50</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440</w:t>
            </w:r>
          </w:p>
        </w:tc>
        <w:tc>
          <w:tcPr>
            <w:tcW w:w="900" w:type="dxa"/>
            <w:tcBorders>
              <w:top w:val="nil"/>
              <w:left w:val="nil"/>
              <w:bottom w:val="single" w:sz="8" w:space="0" w:color="auto"/>
              <w:right w:val="single" w:sz="4" w:space="0" w:color="auto"/>
            </w:tcBorders>
            <w:shd w:val="clear" w:color="auto" w:fill="auto"/>
            <w:noWrap/>
            <w:vAlign w:val="bottom"/>
          </w:tcPr>
          <w:p w:rsidR="001608FF" w:rsidRPr="00F94706" w:rsidRDefault="00F94706"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xml:space="preserve">€ </w:t>
            </w:r>
            <w:r w:rsidR="001608FF" w:rsidRPr="00F94706">
              <w:rPr>
                <w:rFonts w:asciiTheme="minorHAnsi" w:hAnsiTheme="minorHAnsi" w:cstheme="minorHAnsi"/>
                <w:color w:val="000000"/>
                <w:sz w:val="18"/>
                <w:szCs w:val="18"/>
                <w:lang w:val="nl-NL"/>
              </w:rPr>
              <w:t>65</w:t>
            </w:r>
            <w:r>
              <w:rPr>
                <w:rFonts w:asciiTheme="minorHAnsi" w:hAnsiTheme="minorHAnsi" w:cstheme="minorHAnsi"/>
                <w:color w:val="000000"/>
                <w:sz w:val="18"/>
                <w:szCs w:val="18"/>
                <w:lang w:val="nl-NL"/>
              </w:rPr>
              <w:t>.</w:t>
            </w:r>
            <w:r w:rsidR="001608FF" w:rsidRPr="00F94706">
              <w:rPr>
                <w:rFonts w:asciiTheme="minorHAnsi" w:hAnsiTheme="minorHAnsi" w:cstheme="minorHAnsi"/>
                <w:color w:val="000000"/>
                <w:sz w:val="18"/>
                <w:szCs w:val="18"/>
                <w:lang w:val="nl-NL"/>
              </w:rPr>
              <w:t>000</w:t>
            </w:r>
          </w:p>
        </w:tc>
        <w:tc>
          <w:tcPr>
            <w:tcW w:w="900" w:type="dxa"/>
            <w:tcBorders>
              <w:top w:val="nil"/>
              <w:left w:val="nil"/>
              <w:bottom w:val="single" w:sz="8"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€ 546.745</w:t>
            </w:r>
          </w:p>
        </w:tc>
        <w:tc>
          <w:tcPr>
            <w:tcW w:w="1720" w:type="dxa"/>
            <w:tcBorders>
              <w:top w:val="nil"/>
              <w:left w:val="nil"/>
              <w:bottom w:val="single" w:sz="8"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109</w:t>
            </w:r>
          </w:p>
        </w:tc>
      </w:tr>
    </w:tbl>
    <w:p w:rsidR="00764941" w:rsidRDefault="00764941" w:rsidP="00321EEB">
      <w:pPr>
        <w:keepNext/>
      </w:pPr>
      <w:r w:rsidRPr="002D6FC9">
        <w:t xml:space="preserve">Uit </w:t>
      </w:r>
      <w:r w:rsidR="002D6FC9" w:rsidRPr="002D6FC9">
        <w:t>bijla</w:t>
      </w:r>
      <w:r w:rsidR="002D6FC9">
        <w:t xml:space="preserve">ge </w:t>
      </w:r>
      <w:r w:rsidR="00C325A0">
        <w:fldChar w:fldCharType="begin"/>
      </w:r>
      <w:r w:rsidR="002D6FC9">
        <w:instrText xml:space="preserve"> REF b_kostenefficientie \h </w:instrText>
      </w:r>
      <w:r w:rsidR="00C325A0">
        <w:fldChar w:fldCharType="separate"/>
      </w:r>
      <w:r w:rsidR="008102D8">
        <w:t>5</w:t>
      </w:r>
      <w:r w:rsidR="00C325A0">
        <w:fldChar w:fldCharType="end"/>
      </w:r>
      <w:r w:rsidR="003B3869" w:rsidRPr="002D6FC9">
        <w:t xml:space="preserve"> </w:t>
      </w:r>
      <w:r>
        <w:t xml:space="preserve">blijkt dat van zodra de totale VOS-emissie aan P1-producten </w:t>
      </w:r>
      <w:r w:rsidR="00321EEB">
        <w:t xml:space="preserve">ca. 146 </w:t>
      </w:r>
      <w:r>
        <w:t>ton per jaar bedraagt, het uitrusten van P1-opslagtanks met dampretourleidingen</w:t>
      </w:r>
      <w:r w:rsidR="00914278">
        <w:t>,</w:t>
      </w:r>
      <w:r>
        <w:t xml:space="preserve"> </w:t>
      </w:r>
      <w:r w:rsidR="00914278">
        <w:t xml:space="preserve">rekeninghoudend met de aannames, </w:t>
      </w:r>
      <w:r>
        <w:t>als kosteneffectief kan beschouwd worden.</w:t>
      </w:r>
      <w:r w:rsidR="00914278">
        <w:t xml:space="preserve"> </w:t>
      </w:r>
    </w:p>
    <w:p w:rsidR="00EA56C1" w:rsidRDefault="00764941" w:rsidP="00321EEB">
      <w:pPr>
        <w:keepNext/>
      </w:pPr>
      <w:r>
        <w:t xml:space="preserve">Belangrijk is evenwel dat de reëel verwachte </w:t>
      </w:r>
      <w:r w:rsidR="00F70BB3">
        <w:t xml:space="preserve">totale </w:t>
      </w:r>
      <w:r>
        <w:t>VOS-emissie in de geplande situatie geraamd wordt op ca. 11 ton/jaar of m.a.w. minder dan de noodzakelijke VOS-reductie.</w:t>
      </w:r>
    </w:p>
    <w:p w:rsidR="00221214" w:rsidRDefault="00221214">
      <w:pPr>
        <w:keepLines w:val="0"/>
        <w:spacing w:before="0" w:after="0" w:line="240" w:lineRule="auto"/>
        <w:jc w:val="left"/>
        <w:rPr>
          <w:smallCaps/>
          <w:spacing w:val="20"/>
          <w:lang w:val="nl-NL"/>
        </w:rPr>
      </w:pPr>
      <w:r>
        <w:rPr>
          <w:lang w:val="nl-NL"/>
        </w:rPr>
        <w:br w:type="page"/>
      </w:r>
    </w:p>
    <w:p w:rsidR="00764941" w:rsidRDefault="00764941" w:rsidP="00321EEB">
      <w:pPr>
        <w:pStyle w:val="tit-5"/>
        <w:outlineLvl w:val="0"/>
        <w:rPr>
          <w:lang w:val="nl-NL"/>
        </w:rPr>
      </w:pPr>
      <w:r>
        <w:rPr>
          <w:lang w:val="nl-NL"/>
        </w:rPr>
        <w:lastRenderedPageBreak/>
        <w:t>dampretour incl. DVI</w:t>
      </w:r>
    </w:p>
    <w:p w:rsidR="00764941" w:rsidRDefault="00764941" w:rsidP="00321EEB">
      <w:pPr>
        <w:keepNext/>
      </w:pPr>
      <w:r>
        <w:t>In onderstaande tabel worden de resultaten van de berekende kostenefficiëntie opgenomen.</w:t>
      </w:r>
    </w:p>
    <w:p w:rsidR="00764941" w:rsidRDefault="00764941" w:rsidP="00321EEB">
      <w:pPr>
        <w:keepNext/>
      </w:pPr>
      <w:r>
        <w:t xml:space="preserve">Hieruit blijkt dat uit de gehanteerde waarden een extra VOS-reductie van </w:t>
      </w:r>
      <w:r w:rsidR="00321EEB">
        <w:t xml:space="preserve">327 </w:t>
      </w:r>
      <w:r>
        <w:t>ton zou moeten gerealiseerd worden vooraleer deze als kosten effectief kan aanzien worden. Zelfs met alle andere gehanteerde aannames van afschrijvingstermijn en interne rentevoet komt men niet tot een kosten effectieve extra VOS-reductie.</w:t>
      </w:r>
    </w:p>
    <w:p w:rsidR="00764941" w:rsidRDefault="00764941" w:rsidP="00321EEB">
      <w:pPr>
        <w:pStyle w:val="tabel0"/>
      </w:pPr>
      <w:r>
        <w:t>Tabel</w:t>
      </w:r>
      <w:r w:rsidR="00644C21">
        <w:t xml:space="preserve"> </w:t>
      </w:r>
      <w:r w:rsidR="00C325A0">
        <w:fldChar w:fldCharType="begin"/>
      </w:r>
      <w:r w:rsidR="00644C21">
        <w:instrText xml:space="preserve"> REF t_lucht_kosten_DR_DVI \h </w:instrText>
      </w:r>
      <w:r w:rsidR="00C325A0">
        <w:fldChar w:fldCharType="separate"/>
      </w:r>
      <w:r w:rsidR="008102D8">
        <w:t>VIII.2.23</w:t>
      </w:r>
      <w:r w:rsidR="00C325A0">
        <w:fldChar w:fldCharType="end"/>
      </w:r>
      <w:r w:rsidR="00644C21">
        <w:t>:</w:t>
      </w:r>
      <w:r>
        <w:tab/>
        <w:t>Berekeningstabel kosten effectiviteit integraal uitrusten P1-opslagtanks met dampbalansleidingen + aansluiting op DVI</w:t>
      </w:r>
    </w:p>
    <w:tbl>
      <w:tblPr>
        <w:tblW w:w="9111" w:type="dxa"/>
        <w:tblInd w:w="55" w:type="dxa"/>
        <w:tblCellMar>
          <w:left w:w="70" w:type="dxa"/>
          <w:right w:w="70" w:type="dxa"/>
        </w:tblCellMar>
        <w:tblLook w:val="0000"/>
      </w:tblPr>
      <w:tblGrid>
        <w:gridCol w:w="1240"/>
        <w:gridCol w:w="935"/>
        <w:gridCol w:w="1255"/>
        <w:gridCol w:w="1080"/>
        <w:gridCol w:w="1081"/>
        <w:gridCol w:w="900"/>
        <w:gridCol w:w="1037"/>
        <w:gridCol w:w="1583"/>
      </w:tblGrid>
      <w:tr w:rsidR="00764941" w:rsidRPr="00497196" w:rsidTr="00321EEB">
        <w:trPr>
          <w:trHeight w:val="939"/>
        </w:trPr>
        <w:tc>
          <w:tcPr>
            <w:tcW w:w="1240" w:type="dxa"/>
            <w:tcBorders>
              <w:top w:val="single" w:sz="8" w:space="0" w:color="auto"/>
              <w:left w:val="single" w:sz="8" w:space="0" w:color="auto"/>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investerings-</w:t>
            </w:r>
            <w:r w:rsidRPr="00497196">
              <w:br/>
              <w:t>kost</w:t>
            </w:r>
          </w:p>
        </w:tc>
        <w:tc>
          <w:tcPr>
            <w:tcW w:w="935" w:type="dxa"/>
            <w:tcBorders>
              <w:top w:val="single" w:sz="8" w:space="0" w:color="auto"/>
              <w:left w:val="nil"/>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 xml:space="preserve">interne </w:t>
            </w:r>
            <w:r w:rsidRPr="00497196">
              <w:br/>
              <w:t>rentevoet, in %</w:t>
            </w:r>
          </w:p>
        </w:tc>
        <w:tc>
          <w:tcPr>
            <w:tcW w:w="1255" w:type="dxa"/>
            <w:tcBorders>
              <w:top w:val="single" w:sz="8" w:space="0" w:color="auto"/>
              <w:left w:val="nil"/>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afschrijvings-</w:t>
            </w:r>
            <w:r w:rsidRPr="00497196">
              <w:br/>
              <w:t xml:space="preserve">periode, </w:t>
            </w:r>
            <w:r w:rsidRPr="00497196">
              <w:br/>
              <w:t>jaar</w:t>
            </w:r>
          </w:p>
        </w:tc>
        <w:tc>
          <w:tcPr>
            <w:tcW w:w="1080" w:type="dxa"/>
            <w:tcBorders>
              <w:top w:val="single" w:sz="8" w:space="0" w:color="auto"/>
              <w:left w:val="nil"/>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 xml:space="preserve">jaarlijkse </w:t>
            </w:r>
            <w:r w:rsidRPr="00497196">
              <w:br/>
              <w:t>investerings-</w:t>
            </w:r>
            <w:r w:rsidRPr="00497196">
              <w:br/>
              <w:t>kost</w:t>
            </w:r>
          </w:p>
        </w:tc>
        <w:tc>
          <w:tcPr>
            <w:tcW w:w="1081" w:type="dxa"/>
            <w:tcBorders>
              <w:top w:val="single" w:sz="8" w:space="0" w:color="auto"/>
              <w:left w:val="nil"/>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 xml:space="preserve">jaarlijkse </w:t>
            </w:r>
            <w:r w:rsidRPr="00497196">
              <w:br/>
              <w:t>onderhouds-</w:t>
            </w:r>
            <w:r w:rsidRPr="00497196">
              <w:br/>
              <w:t>kost</w:t>
            </w:r>
          </w:p>
        </w:tc>
        <w:tc>
          <w:tcPr>
            <w:tcW w:w="900" w:type="dxa"/>
            <w:tcBorders>
              <w:top w:val="single" w:sz="8" w:space="0" w:color="auto"/>
              <w:left w:val="nil"/>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kost aardgas-verbruik</w:t>
            </w:r>
          </w:p>
        </w:tc>
        <w:tc>
          <w:tcPr>
            <w:tcW w:w="1037" w:type="dxa"/>
            <w:tcBorders>
              <w:top w:val="single" w:sz="8" w:space="0" w:color="auto"/>
              <w:left w:val="nil"/>
              <w:bottom w:val="single" w:sz="4" w:space="0" w:color="auto"/>
              <w:right w:val="single" w:sz="4" w:space="0" w:color="auto"/>
            </w:tcBorders>
            <w:shd w:val="clear" w:color="auto" w:fill="D9D9D9"/>
            <w:vAlign w:val="bottom"/>
          </w:tcPr>
          <w:p w:rsidR="00764941" w:rsidRPr="00497196" w:rsidRDefault="00764941" w:rsidP="00321EEB">
            <w:pPr>
              <w:pStyle w:val="normaltabel"/>
              <w:keepNext/>
              <w:widowControl/>
            </w:pPr>
            <w:r w:rsidRPr="00497196">
              <w:t xml:space="preserve">totale </w:t>
            </w:r>
            <w:r w:rsidRPr="00497196">
              <w:br/>
              <w:t xml:space="preserve">jaarlijkse </w:t>
            </w:r>
            <w:r w:rsidRPr="00497196">
              <w:br/>
              <w:t>kost</w:t>
            </w:r>
          </w:p>
        </w:tc>
        <w:tc>
          <w:tcPr>
            <w:tcW w:w="1583" w:type="dxa"/>
            <w:tcBorders>
              <w:top w:val="single" w:sz="8" w:space="0" w:color="auto"/>
              <w:left w:val="nil"/>
              <w:bottom w:val="single" w:sz="4" w:space="0" w:color="auto"/>
              <w:right w:val="single" w:sz="8" w:space="0" w:color="auto"/>
            </w:tcBorders>
            <w:shd w:val="clear" w:color="auto" w:fill="D9D9D9"/>
            <w:vAlign w:val="bottom"/>
          </w:tcPr>
          <w:p w:rsidR="00764941" w:rsidRPr="00497196" w:rsidRDefault="00764941" w:rsidP="00321EEB">
            <w:pPr>
              <w:pStyle w:val="normaltabel"/>
              <w:keepNext/>
              <w:widowControl/>
            </w:pPr>
            <w:r w:rsidRPr="00497196">
              <w:t>noodzakelijke Vos-</w:t>
            </w:r>
            <w:r w:rsidRPr="00497196">
              <w:br/>
              <w:t>reductie zodat kost kleiner</w:t>
            </w:r>
            <w:r w:rsidRPr="00497196">
              <w:br/>
              <w:t>is dan 5000 €/ton</w:t>
            </w:r>
          </w:p>
        </w:tc>
      </w:tr>
      <w:tr w:rsidR="001608FF" w:rsidRPr="00564092" w:rsidTr="00321EEB">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Default="00F94706" w:rsidP="00321EEB">
            <w:pPr>
              <w:keepNext/>
              <w:rPr>
                <w:rFonts w:cs="Calibri"/>
                <w:color w:val="000000"/>
                <w:sz w:val="18"/>
                <w:szCs w:val="18"/>
              </w:rPr>
            </w:pPr>
            <w:r w:rsidRPr="00F94706">
              <w:rPr>
                <w:rFonts w:asciiTheme="minorHAnsi" w:hAnsiTheme="minorHAnsi" w:cstheme="minorHAnsi"/>
                <w:color w:val="000000"/>
                <w:sz w:val="18"/>
                <w:szCs w:val="18"/>
                <w:lang w:val="nl-NL"/>
              </w:rPr>
              <w:t xml:space="preserve">€ </w:t>
            </w:r>
            <w:r w:rsidR="001608FF">
              <w:rPr>
                <w:rFonts w:cs="Calibri"/>
                <w:color w:val="000000"/>
                <w:sz w:val="18"/>
                <w:szCs w:val="18"/>
                <w:lang w:val="nl-NL"/>
              </w:rPr>
              <w:t>8</w:t>
            </w:r>
            <w:r>
              <w:rPr>
                <w:rFonts w:cs="Calibri"/>
                <w:color w:val="000000"/>
                <w:sz w:val="18"/>
                <w:szCs w:val="18"/>
                <w:lang w:val="nl-NL"/>
              </w:rPr>
              <w:t>.</w:t>
            </w:r>
            <w:r w:rsidR="001608FF">
              <w:rPr>
                <w:rFonts w:cs="Calibri"/>
                <w:color w:val="000000"/>
                <w:sz w:val="18"/>
                <w:szCs w:val="18"/>
                <w:lang w:val="nl-NL"/>
              </w:rPr>
              <w:t>580</w:t>
            </w:r>
            <w:r>
              <w:rPr>
                <w:rFonts w:cs="Calibri"/>
                <w:color w:val="000000"/>
                <w:sz w:val="18"/>
                <w:szCs w:val="18"/>
                <w:lang w:val="nl-NL"/>
              </w:rPr>
              <w:t>.</w:t>
            </w:r>
            <w:r w:rsidR="001608FF">
              <w:rPr>
                <w:rFonts w:cs="Calibri"/>
                <w:color w:val="000000"/>
                <w:sz w:val="18"/>
                <w:szCs w:val="18"/>
                <w:lang w:val="nl-NL"/>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5,00%</w:t>
            </w:r>
          </w:p>
        </w:tc>
        <w:tc>
          <w:tcPr>
            <w:tcW w:w="125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10</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€ 1.111.149</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€ 171.600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€ 65.000</w:t>
            </w:r>
          </w:p>
        </w:tc>
        <w:tc>
          <w:tcPr>
            <w:tcW w:w="1037"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€ 1.347.749</w:t>
            </w:r>
          </w:p>
        </w:tc>
        <w:tc>
          <w:tcPr>
            <w:tcW w:w="1583"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rPr>
              <w:t>270</w:t>
            </w:r>
          </w:p>
        </w:tc>
      </w:tr>
      <w:tr w:rsidR="001608FF" w:rsidRPr="00564092" w:rsidTr="00321EEB">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Default="00F94706" w:rsidP="00321EEB">
            <w:pPr>
              <w:keepNext/>
              <w:rPr>
                <w:rFonts w:cs="Calibri"/>
                <w:color w:val="000000"/>
                <w:sz w:val="18"/>
                <w:szCs w:val="18"/>
              </w:rPr>
            </w:pPr>
            <w:r w:rsidRPr="00F94706">
              <w:rPr>
                <w:rFonts w:asciiTheme="minorHAnsi" w:hAnsiTheme="minorHAnsi" w:cstheme="minorHAnsi"/>
                <w:color w:val="000000"/>
                <w:sz w:val="18"/>
                <w:szCs w:val="18"/>
                <w:lang w:val="nl-NL"/>
              </w:rPr>
              <w:t xml:space="preserve">€ </w:t>
            </w:r>
            <w:r w:rsidR="001608FF">
              <w:rPr>
                <w:rFonts w:cs="Calibri"/>
                <w:color w:val="000000"/>
                <w:sz w:val="18"/>
                <w:szCs w:val="18"/>
                <w:lang w:val="nl-NL"/>
              </w:rPr>
              <w:t>8</w:t>
            </w:r>
            <w:r>
              <w:rPr>
                <w:rFonts w:cs="Calibri"/>
                <w:color w:val="000000"/>
                <w:sz w:val="18"/>
                <w:szCs w:val="18"/>
                <w:lang w:val="nl-NL"/>
              </w:rPr>
              <w:t>.</w:t>
            </w:r>
            <w:r w:rsidR="001608FF">
              <w:rPr>
                <w:rFonts w:cs="Calibri"/>
                <w:color w:val="000000"/>
                <w:sz w:val="18"/>
                <w:szCs w:val="18"/>
                <w:lang w:val="nl-NL"/>
              </w:rPr>
              <w:t>580</w:t>
            </w:r>
            <w:r>
              <w:rPr>
                <w:rFonts w:cs="Calibri"/>
                <w:color w:val="000000"/>
                <w:sz w:val="18"/>
                <w:szCs w:val="18"/>
                <w:lang w:val="nl-NL"/>
              </w:rPr>
              <w:t>.</w:t>
            </w:r>
            <w:r w:rsidR="001608FF">
              <w:rPr>
                <w:rFonts w:cs="Calibri"/>
                <w:color w:val="000000"/>
                <w:sz w:val="18"/>
                <w:szCs w:val="18"/>
                <w:lang w:val="nl-NL"/>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5,00%</w:t>
            </w:r>
          </w:p>
        </w:tc>
        <w:tc>
          <w:tcPr>
            <w:tcW w:w="125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15</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€ 826.617</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€ 171.600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€ 65.000</w:t>
            </w:r>
          </w:p>
        </w:tc>
        <w:tc>
          <w:tcPr>
            <w:tcW w:w="1037"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€ 1.063.217</w:t>
            </w:r>
          </w:p>
        </w:tc>
        <w:tc>
          <w:tcPr>
            <w:tcW w:w="1583"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rPr>
              <w:t>213</w:t>
            </w:r>
          </w:p>
        </w:tc>
      </w:tr>
      <w:tr w:rsidR="001608FF" w:rsidRPr="00564092" w:rsidTr="00321EEB">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Default="00F94706" w:rsidP="00321EEB">
            <w:pPr>
              <w:keepNext/>
              <w:rPr>
                <w:rFonts w:cs="Calibri"/>
                <w:color w:val="000000"/>
                <w:sz w:val="18"/>
                <w:szCs w:val="18"/>
              </w:rPr>
            </w:pPr>
            <w:r w:rsidRPr="00F94706">
              <w:rPr>
                <w:rFonts w:asciiTheme="minorHAnsi" w:hAnsiTheme="minorHAnsi" w:cstheme="minorHAnsi"/>
                <w:color w:val="000000"/>
                <w:sz w:val="18"/>
                <w:szCs w:val="18"/>
                <w:lang w:val="nl-NL"/>
              </w:rPr>
              <w:t xml:space="preserve">€ </w:t>
            </w:r>
            <w:r w:rsidR="001608FF">
              <w:rPr>
                <w:rFonts w:cs="Calibri"/>
                <w:color w:val="000000"/>
                <w:sz w:val="18"/>
                <w:szCs w:val="18"/>
              </w:rPr>
              <w:t>8</w:t>
            </w:r>
            <w:r>
              <w:rPr>
                <w:rFonts w:cs="Calibri"/>
                <w:color w:val="000000"/>
                <w:sz w:val="18"/>
                <w:szCs w:val="18"/>
              </w:rPr>
              <w:t>.</w:t>
            </w:r>
            <w:r w:rsidR="001608FF">
              <w:rPr>
                <w:rFonts w:cs="Calibri"/>
                <w:color w:val="000000"/>
                <w:sz w:val="18"/>
                <w:szCs w:val="18"/>
              </w:rPr>
              <w:t>580</w:t>
            </w:r>
            <w:r>
              <w:rPr>
                <w:rFonts w:cs="Calibri"/>
                <w:color w:val="000000"/>
                <w:sz w:val="18"/>
                <w:szCs w:val="18"/>
              </w:rPr>
              <w:t>.</w:t>
            </w:r>
            <w:r w:rsidR="001608FF">
              <w:rPr>
                <w:rFonts w:cs="Calibri"/>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7,50%</w:t>
            </w:r>
          </w:p>
        </w:tc>
        <w:tc>
          <w:tcPr>
            <w:tcW w:w="125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10</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€ 1.249.985</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€ 171.600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€ 65.000</w:t>
            </w:r>
          </w:p>
        </w:tc>
        <w:tc>
          <w:tcPr>
            <w:tcW w:w="1037"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€ 1.486.585</w:t>
            </w:r>
          </w:p>
        </w:tc>
        <w:tc>
          <w:tcPr>
            <w:tcW w:w="1583"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rPr>
              <w:t>297</w:t>
            </w:r>
          </w:p>
        </w:tc>
      </w:tr>
      <w:tr w:rsidR="001608FF" w:rsidRPr="00564092" w:rsidTr="00321EEB">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Default="00F94706" w:rsidP="00321EEB">
            <w:pPr>
              <w:keepNext/>
              <w:rPr>
                <w:rFonts w:cs="Calibri"/>
                <w:color w:val="000000"/>
                <w:sz w:val="18"/>
                <w:szCs w:val="18"/>
              </w:rPr>
            </w:pPr>
            <w:r w:rsidRPr="00F94706">
              <w:rPr>
                <w:rFonts w:asciiTheme="minorHAnsi" w:hAnsiTheme="minorHAnsi" w:cstheme="minorHAnsi"/>
                <w:color w:val="000000"/>
                <w:sz w:val="18"/>
                <w:szCs w:val="18"/>
                <w:lang w:val="nl-NL"/>
              </w:rPr>
              <w:t xml:space="preserve">€ </w:t>
            </w:r>
            <w:r w:rsidR="001608FF">
              <w:rPr>
                <w:rFonts w:cs="Calibri"/>
                <w:color w:val="000000"/>
                <w:sz w:val="18"/>
                <w:szCs w:val="18"/>
              </w:rPr>
              <w:t>8</w:t>
            </w:r>
            <w:r>
              <w:rPr>
                <w:rFonts w:cs="Calibri"/>
                <w:color w:val="000000"/>
                <w:sz w:val="18"/>
                <w:szCs w:val="18"/>
              </w:rPr>
              <w:t>.</w:t>
            </w:r>
            <w:r w:rsidR="001608FF">
              <w:rPr>
                <w:rFonts w:cs="Calibri"/>
                <w:color w:val="000000"/>
                <w:sz w:val="18"/>
                <w:szCs w:val="18"/>
              </w:rPr>
              <w:t>580</w:t>
            </w:r>
            <w:r>
              <w:rPr>
                <w:rFonts w:cs="Calibri"/>
                <w:color w:val="000000"/>
                <w:sz w:val="18"/>
                <w:szCs w:val="18"/>
              </w:rPr>
              <w:t>.</w:t>
            </w:r>
            <w:r w:rsidR="001608FF">
              <w:rPr>
                <w:rFonts w:cs="Calibri"/>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7,50%</w:t>
            </w:r>
          </w:p>
        </w:tc>
        <w:tc>
          <w:tcPr>
            <w:tcW w:w="125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15</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€ 972.004</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€ 171.600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€ 65.000</w:t>
            </w:r>
          </w:p>
        </w:tc>
        <w:tc>
          <w:tcPr>
            <w:tcW w:w="1037"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€ 1.208.604</w:t>
            </w:r>
          </w:p>
        </w:tc>
        <w:tc>
          <w:tcPr>
            <w:tcW w:w="1583"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rPr>
              <w:t>242</w:t>
            </w:r>
          </w:p>
        </w:tc>
      </w:tr>
      <w:tr w:rsidR="001608FF" w:rsidRPr="00564092" w:rsidTr="00321EEB">
        <w:trPr>
          <w:trHeight w:val="28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Pr="00197220" w:rsidRDefault="00F94706" w:rsidP="00321EEB">
            <w:pPr>
              <w:keepNext/>
              <w:rPr>
                <w:rFonts w:cs="Calibri"/>
                <w:b/>
                <w:color w:val="000000"/>
                <w:sz w:val="18"/>
                <w:szCs w:val="18"/>
              </w:rPr>
            </w:pPr>
            <w:r w:rsidRPr="00F94706">
              <w:rPr>
                <w:rFonts w:asciiTheme="minorHAnsi" w:hAnsiTheme="minorHAnsi" w:cstheme="minorHAnsi"/>
                <w:color w:val="000000"/>
                <w:sz w:val="18"/>
                <w:szCs w:val="18"/>
                <w:lang w:val="nl-NL"/>
              </w:rPr>
              <w:t xml:space="preserve">€ </w:t>
            </w:r>
            <w:r w:rsidR="001608FF" w:rsidRPr="00197220">
              <w:rPr>
                <w:rFonts w:cs="Calibri"/>
                <w:b/>
                <w:color w:val="000000"/>
                <w:sz w:val="18"/>
                <w:szCs w:val="18"/>
              </w:rPr>
              <w:t>8</w:t>
            </w:r>
            <w:r>
              <w:rPr>
                <w:rFonts w:cs="Calibri"/>
                <w:b/>
                <w:color w:val="000000"/>
                <w:sz w:val="18"/>
                <w:szCs w:val="18"/>
              </w:rPr>
              <w:t>.</w:t>
            </w:r>
            <w:r w:rsidR="001608FF" w:rsidRPr="00197220">
              <w:rPr>
                <w:rFonts w:cs="Calibri"/>
                <w:b/>
                <w:color w:val="000000"/>
                <w:sz w:val="18"/>
                <w:szCs w:val="18"/>
              </w:rPr>
              <w:t>580</w:t>
            </w:r>
            <w:r>
              <w:rPr>
                <w:rFonts w:cs="Calibri"/>
                <w:b/>
                <w:color w:val="000000"/>
                <w:sz w:val="18"/>
                <w:szCs w:val="18"/>
              </w:rPr>
              <w:t>.</w:t>
            </w:r>
            <w:r w:rsidR="001608FF" w:rsidRPr="00197220">
              <w:rPr>
                <w:rFonts w:cs="Calibri"/>
                <w:b/>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Pr="00197220" w:rsidRDefault="001608FF" w:rsidP="00321EEB">
            <w:pPr>
              <w:keepNext/>
              <w:rPr>
                <w:rFonts w:cs="Calibri"/>
                <w:b/>
                <w:color w:val="000000"/>
                <w:sz w:val="18"/>
                <w:szCs w:val="18"/>
              </w:rPr>
            </w:pPr>
            <w:r w:rsidRPr="00197220">
              <w:rPr>
                <w:rFonts w:cs="Calibri"/>
                <w:b/>
                <w:color w:val="000000"/>
                <w:sz w:val="18"/>
                <w:szCs w:val="18"/>
                <w:lang w:val="nl-NL"/>
              </w:rPr>
              <w:t>10,00%</w:t>
            </w:r>
          </w:p>
        </w:tc>
        <w:tc>
          <w:tcPr>
            <w:tcW w:w="1255" w:type="dxa"/>
            <w:tcBorders>
              <w:top w:val="nil"/>
              <w:left w:val="nil"/>
              <w:bottom w:val="single" w:sz="4" w:space="0" w:color="auto"/>
              <w:right w:val="single" w:sz="4" w:space="0" w:color="auto"/>
            </w:tcBorders>
            <w:shd w:val="clear" w:color="auto" w:fill="auto"/>
            <w:noWrap/>
            <w:vAlign w:val="bottom"/>
          </w:tcPr>
          <w:p w:rsidR="001608FF" w:rsidRPr="00197220" w:rsidRDefault="001608FF" w:rsidP="00321EEB">
            <w:pPr>
              <w:keepNext/>
              <w:rPr>
                <w:rFonts w:cs="Calibri"/>
                <w:b/>
                <w:color w:val="000000"/>
                <w:sz w:val="18"/>
                <w:szCs w:val="18"/>
              </w:rPr>
            </w:pPr>
            <w:r w:rsidRPr="00197220">
              <w:rPr>
                <w:rFonts w:cs="Calibri"/>
                <w:b/>
                <w:color w:val="000000"/>
                <w:sz w:val="18"/>
                <w:szCs w:val="18"/>
                <w:lang w:val="nl-NL"/>
              </w:rPr>
              <w:t>10</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b/>
                <w:color w:val="000000"/>
                <w:sz w:val="18"/>
                <w:szCs w:val="18"/>
              </w:rPr>
            </w:pPr>
            <w:r w:rsidRPr="00F94706">
              <w:rPr>
                <w:rFonts w:asciiTheme="minorHAnsi" w:hAnsiTheme="minorHAnsi" w:cstheme="minorHAnsi"/>
                <w:b/>
                <w:color w:val="000000"/>
                <w:sz w:val="18"/>
                <w:szCs w:val="18"/>
                <w:lang w:val="nl-NL"/>
              </w:rPr>
              <w:t>€ 1.396.355</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b/>
                <w:color w:val="000000"/>
                <w:sz w:val="18"/>
                <w:szCs w:val="18"/>
              </w:rPr>
            </w:pPr>
            <w:r w:rsidRPr="00F94706">
              <w:rPr>
                <w:rFonts w:asciiTheme="minorHAnsi" w:hAnsiTheme="minorHAnsi" w:cstheme="minorHAnsi"/>
                <w:b/>
                <w:color w:val="000000"/>
                <w:sz w:val="18"/>
                <w:szCs w:val="18"/>
                <w:lang w:val="nl-NL"/>
              </w:rPr>
              <w:t>€ 171.600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b/>
                <w:bCs/>
                <w:color w:val="000000"/>
                <w:sz w:val="18"/>
                <w:szCs w:val="18"/>
              </w:rPr>
            </w:pPr>
            <w:r w:rsidRPr="00F94706">
              <w:rPr>
                <w:rFonts w:asciiTheme="minorHAnsi" w:hAnsiTheme="minorHAnsi" w:cstheme="minorHAnsi"/>
                <w:b/>
                <w:bCs/>
                <w:color w:val="000000"/>
                <w:sz w:val="18"/>
                <w:szCs w:val="18"/>
                <w:lang w:val="nl-NL"/>
              </w:rPr>
              <w:t>€ 65.000</w:t>
            </w:r>
          </w:p>
        </w:tc>
        <w:tc>
          <w:tcPr>
            <w:tcW w:w="1037" w:type="dxa"/>
            <w:tcBorders>
              <w:top w:val="nil"/>
              <w:left w:val="nil"/>
              <w:bottom w:val="single" w:sz="4" w:space="0" w:color="auto"/>
              <w:right w:val="single" w:sz="4" w:space="0" w:color="auto"/>
            </w:tcBorders>
            <w:shd w:val="clear" w:color="auto" w:fill="auto"/>
            <w:noWrap/>
            <w:vAlign w:val="bottom"/>
          </w:tcPr>
          <w:p w:rsidR="001608FF" w:rsidRPr="00197220" w:rsidRDefault="001608FF" w:rsidP="00321EEB">
            <w:pPr>
              <w:keepNext/>
              <w:rPr>
                <w:rFonts w:cs="Calibri"/>
                <w:b/>
                <w:color w:val="000000"/>
                <w:sz w:val="18"/>
                <w:szCs w:val="18"/>
              </w:rPr>
            </w:pPr>
            <w:r w:rsidRPr="00197220">
              <w:rPr>
                <w:rFonts w:cs="Calibri"/>
                <w:b/>
                <w:color w:val="000000"/>
                <w:sz w:val="18"/>
                <w:szCs w:val="18"/>
                <w:lang w:val="nl-NL"/>
              </w:rPr>
              <w:t>€ 1.632.955</w:t>
            </w:r>
          </w:p>
        </w:tc>
        <w:tc>
          <w:tcPr>
            <w:tcW w:w="1583" w:type="dxa"/>
            <w:tcBorders>
              <w:top w:val="nil"/>
              <w:left w:val="nil"/>
              <w:bottom w:val="single" w:sz="4" w:space="0" w:color="auto"/>
              <w:right w:val="single" w:sz="8" w:space="0" w:color="auto"/>
            </w:tcBorders>
            <w:shd w:val="clear" w:color="auto" w:fill="auto"/>
            <w:noWrap/>
            <w:vAlign w:val="bottom"/>
          </w:tcPr>
          <w:p w:rsidR="001608FF" w:rsidRPr="00197220" w:rsidRDefault="001608FF" w:rsidP="00321EEB">
            <w:pPr>
              <w:keepNext/>
              <w:rPr>
                <w:rFonts w:cs="Calibri"/>
                <w:b/>
                <w:color w:val="000000"/>
                <w:sz w:val="18"/>
                <w:szCs w:val="18"/>
              </w:rPr>
            </w:pPr>
            <w:r w:rsidRPr="00197220">
              <w:rPr>
                <w:rFonts w:cs="Calibri"/>
                <w:b/>
                <w:color w:val="000000"/>
                <w:sz w:val="18"/>
                <w:szCs w:val="18"/>
              </w:rPr>
              <w:t>327</w:t>
            </w:r>
          </w:p>
        </w:tc>
      </w:tr>
      <w:tr w:rsidR="001608FF" w:rsidRPr="00564092" w:rsidTr="00321EEB">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Default="00F94706" w:rsidP="00321EEB">
            <w:pPr>
              <w:keepNext/>
              <w:rPr>
                <w:rFonts w:cs="Calibri"/>
                <w:color w:val="000000"/>
                <w:sz w:val="18"/>
                <w:szCs w:val="18"/>
              </w:rPr>
            </w:pPr>
            <w:r w:rsidRPr="00F94706">
              <w:rPr>
                <w:rFonts w:asciiTheme="minorHAnsi" w:hAnsiTheme="minorHAnsi" w:cstheme="minorHAnsi"/>
                <w:color w:val="000000"/>
                <w:sz w:val="18"/>
                <w:szCs w:val="18"/>
                <w:lang w:val="nl-NL"/>
              </w:rPr>
              <w:t xml:space="preserve">€ </w:t>
            </w:r>
            <w:r w:rsidR="001608FF">
              <w:rPr>
                <w:rFonts w:cs="Calibri"/>
                <w:color w:val="000000"/>
                <w:sz w:val="18"/>
                <w:szCs w:val="18"/>
              </w:rPr>
              <w:t>8</w:t>
            </w:r>
            <w:r>
              <w:rPr>
                <w:rFonts w:cs="Calibri"/>
                <w:color w:val="000000"/>
                <w:sz w:val="18"/>
                <w:szCs w:val="18"/>
              </w:rPr>
              <w:t>.</w:t>
            </w:r>
            <w:r w:rsidR="001608FF">
              <w:rPr>
                <w:rFonts w:cs="Calibri"/>
                <w:color w:val="000000"/>
                <w:sz w:val="18"/>
                <w:szCs w:val="18"/>
              </w:rPr>
              <w:t>580</w:t>
            </w:r>
            <w:r>
              <w:rPr>
                <w:rFonts w:cs="Calibri"/>
                <w:color w:val="000000"/>
                <w:sz w:val="18"/>
                <w:szCs w:val="18"/>
              </w:rPr>
              <w:t>.</w:t>
            </w:r>
            <w:r w:rsidR="001608FF">
              <w:rPr>
                <w:rFonts w:cs="Calibri"/>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10,00%</w:t>
            </w:r>
          </w:p>
        </w:tc>
        <w:tc>
          <w:tcPr>
            <w:tcW w:w="125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15</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€ 1.128.045</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€ 171.600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€ 65.000</w:t>
            </w:r>
          </w:p>
        </w:tc>
        <w:tc>
          <w:tcPr>
            <w:tcW w:w="1037"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€ 1.364.645</w:t>
            </w:r>
          </w:p>
        </w:tc>
        <w:tc>
          <w:tcPr>
            <w:tcW w:w="1583"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rPr>
              <w:t>273</w:t>
            </w:r>
          </w:p>
        </w:tc>
      </w:tr>
      <w:tr w:rsidR="001608FF" w:rsidRPr="00564092" w:rsidTr="00321EEB">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Default="00F94706" w:rsidP="00321EEB">
            <w:pPr>
              <w:keepNext/>
              <w:rPr>
                <w:rFonts w:cs="Calibri"/>
                <w:color w:val="000000"/>
                <w:sz w:val="18"/>
                <w:szCs w:val="18"/>
              </w:rPr>
            </w:pPr>
            <w:r w:rsidRPr="00F94706">
              <w:rPr>
                <w:rFonts w:asciiTheme="minorHAnsi" w:hAnsiTheme="minorHAnsi" w:cstheme="minorHAnsi"/>
                <w:color w:val="000000"/>
                <w:sz w:val="18"/>
                <w:szCs w:val="18"/>
                <w:lang w:val="nl-NL"/>
              </w:rPr>
              <w:t xml:space="preserve">€ </w:t>
            </w:r>
            <w:r w:rsidR="001608FF">
              <w:rPr>
                <w:rFonts w:cs="Calibri"/>
                <w:color w:val="000000"/>
                <w:sz w:val="18"/>
                <w:szCs w:val="18"/>
              </w:rPr>
              <w:t>8</w:t>
            </w:r>
            <w:r>
              <w:rPr>
                <w:rFonts w:cs="Calibri"/>
                <w:color w:val="000000"/>
                <w:sz w:val="18"/>
                <w:szCs w:val="18"/>
              </w:rPr>
              <w:t>.</w:t>
            </w:r>
            <w:r w:rsidR="001608FF">
              <w:rPr>
                <w:rFonts w:cs="Calibri"/>
                <w:color w:val="000000"/>
                <w:sz w:val="18"/>
                <w:szCs w:val="18"/>
              </w:rPr>
              <w:t>580</w:t>
            </w:r>
            <w:r>
              <w:rPr>
                <w:rFonts w:cs="Calibri"/>
                <w:color w:val="000000"/>
                <w:sz w:val="18"/>
                <w:szCs w:val="18"/>
              </w:rPr>
              <w:t>.</w:t>
            </w:r>
            <w:r w:rsidR="001608FF">
              <w:rPr>
                <w:rFonts w:cs="Calibri"/>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12,50%</w:t>
            </w:r>
          </w:p>
        </w:tc>
        <w:tc>
          <w:tcPr>
            <w:tcW w:w="125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10</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€ 1.549.735</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€ 171.600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€ 65.000</w:t>
            </w:r>
          </w:p>
        </w:tc>
        <w:tc>
          <w:tcPr>
            <w:tcW w:w="1037"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€ 1.786.335</w:t>
            </w:r>
          </w:p>
        </w:tc>
        <w:tc>
          <w:tcPr>
            <w:tcW w:w="1583"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rPr>
              <w:t>357</w:t>
            </w:r>
          </w:p>
        </w:tc>
      </w:tr>
      <w:tr w:rsidR="001608FF" w:rsidRPr="00564092" w:rsidTr="00321EEB">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Default="00F94706" w:rsidP="00321EEB">
            <w:pPr>
              <w:keepNext/>
              <w:rPr>
                <w:rFonts w:cs="Calibri"/>
                <w:color w:val="000000"/>
                <w:sz w:val="18"/>
                <w:szCs w:val="18"/>
              </w:rPr>
            </w:pPr>
            <w:r w:rsidRPr="00F94706">
              <w:rPr>
                <w:rFonts w:asciiTheme="minorHAnsi" w:hAnsiTheme="minorHAnsi" w:cstheme="minorHAnsi"/>
                <w:color w:val="000000"/>
                <w:sz w:val="18"/>
                <w:szCs w:val="18"/>
                <w:lang w:val="nl-NL"/>
              </w:rPr>
              <w:t xml:space="preserve">€ </w:t>
            </w:r>
            <w:r w:rsidR="001608FF">
              <w:rPr>
                <w:rFonts w:cs="Calibri"/>
                <w:color w:val="000000"/>
                <w:sz w:val="18"/>
                <w:szCs w:val="18"/>
              </w:rPr>
              <w:t>8</w:t>
            </w:r>
            <w:r>
              <w:rPr>
                <w:rFonts w:cs="Calibri"/>
                <w:color w:val="000000"/>
                <w:sz w:val="18"/>
                <w:szCs w:val="18"/>
              </w:rPr>
              <w:t>.</w:t>
            </w:r>
            <w:r w:rsidR="001608FF">
              <w:rPr>
                <w:rFonts w:cs="Calibri"/>
                <w:color w:val="000000"/>
                <w:sz w:val="18"/>
                <w:szCs w:val="18"/>
              </w:rPr>
              <w:t>580</w:t>
            </w:r>
            <w:r>
              <w:rPr>
                <w:rFonts w:cs="Calibri"/>
                <w:color w:val="000000"/>
                <w:sz w:val="18"/>
                <w:szCs w:val="18"/>
              </w:rPr>
              <w:t>.</w:t>
            </w:r>
            <w:r w:rsidR="001608FF">
              <w:rPr>
                <w:rFonts w:cs="Calibri"/>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12,50%</w:t>
            </w:r>
          </w:p>
        </w:tc>
        <w:tc>
          <w:tcPr>
            <w:tcW w:w="125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15</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€ 1.293.553</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€ 171.600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€ 65.000</w:t>
            </w:r>
          </w:p>
        </w:tc>
        <w:tc>
          <w:tcPr>
            <w:tcW w:w="1037"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€ 1.530.153</w:t>
            </w:r>
          </w:p>
        </w:tc>
        <w:tc>
          <w:tcPr>
            <w:tcW w:w="1583"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rPr>
              <w:t>306</w:t>
            </w:r>
          </w:p>
        </w:tc>
      </w:tr>
      <w:tr w:rsidR="001608FF" w:rsidRPr="00564092" w:rsidTr="00321EEB">
        <w:trPr>
          <w:trHeight w:val="30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608FF" w:rsidRDefault="00F94706" w:rsidP="00321EEB">
            <w:pPr>
              <w:keepNext/>
              <w:rPr>
                <w:rFonts w:cs="Calibri"/>
                <w:color w:val="000000"/>
                <w:sz w:val="18"/>
                <w:szCs w:val="18"/>
              </w:rPr>
            </w:pPr>
            <w:r w:rsidRPr="00F94706">
              <w:rPr>
                <w:rFonts w:asciiTheme="minorHAnsi" w:hAnsiTheme="minorHAnsi" w:cstheme="minorHAnsi"/>
                <w:color w:val="000000"/>
                <w:sz w:val="18"/>
                <w:szCs w:val="18"/>
                <w:lang w:val="nl-NL"/>
              </w:rPr>
              <w:t xml:space="preserve">€ </w:t>
            </w:r>
            <w:r w:rsidR="001608FF">
              <w:rPr>
                <w:rFonts w:cs="Calibri"/>
                <w:color w:val="000000"/>
                <w:sz w:val="18"/>
                <w:szCs w:val="18"/>
              </w:rPr>
              <w:t>8</w:t>
            </w:r>
            <w:r>
              <w:rPr>
                <w:rFonts w:cs="Calibri"/>
                <w:color w:val="000000"/>
                <w:sz w:val="18"/>
                <w:szCs w:val="18"/>
              </w:rPr>
              <w:t>.</w:t>
            </w:r>
            <w:r w:rsidR="001608FF">
              <w:rPr>
                <w:rFonts w:cs="Calibri"/>
                <w:color w:val="000000"/>
                <w:sz w:val="18"/>
                <w:szCs w:val="18"/>
              </w:rPr>
              <w:t>580</w:t>
            </w:r>
            <w:r>
              <w:rPr>
                <w:rFonts w:cs="Calibri"/>
                <w:color w:val="000000"/>
                <w:sz w:val="18"/>
                <w:szCs w:val="18"/>
              </w:rPr>
              <w:t>.</w:t>
            </w:r>
            <w:r w:rsidR="001608FF">
              <w:rPr>
                <w:rFonts w:cs="Calibri"/>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15,00%</w:t>
            </w:r>
          </w:p>
        </w:tc>
        <w:tc>
          <w:tcPr>
            <w:tcW w:w="1255"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10</w:t>
            </w:r>
          </w:p>
        </w:tc>
        <w:tc>
          <w:tcPr>
            <w:tcW w:w="108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€ 1.709.583</w:t>
            </w:r>
          </w:p>
        </w:tc>
        <w:tc>
          <w:tcPr>
            <w:tcW w:w="1081"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€ 171.600</w:t>
            </w:r>
          </w:p>
        </w:tc>
        <w:tc>
          <w:tcPr>
            <w:tcW w:w="900" w:type="dxa"/>
            <w:tcBorders>
              <w:top w:val="nil"/>
              <w:left w:val="nil"/>
              <w:bottom w:val="single" w:sz="4"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€ 65.000</w:t>
            </w:r>
          </w:p>
        </w:tc>
        <w:tc>
          <w:tcPr>
            <w:tcW w:w="1037" w:type="dxa"/>
            <w:tcBorders>
              <w:top w:val="nil"/>
              <w:left w:val="nil"/>
              <w:bottom w:val="single" w:sz="4"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€ 1.946.183</w:t>
            </w:r>
          </w:p>
        </w:tc>
        <w:tc>
          <w:tcPr>
            <w:tcW w:w="1583" w:type="dxa"/>
            <w:tcBorders>
              <w:top w:val="nil"/>
              <w:left w:val="nil"/>
              <w:bottom w:val="single" w:sz="4"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rPr>
              <w:t>389</w:t>
            </w:r>
          </w:p>
        </w:tc>
      </w:tr>
      <w:tr w:rsidR="001608FF" w:rsidRPr="00564092" w:rsidTr="00321EEB">
        <w:trPr>
          <w:trHeight w:val="315"/>
        </w:trPr>
        <w:tc>
          <w:tcPr>
            <w:tcW w:w="1240" w:type="dxa"/>
            <w:tcBorders>
              <w:top w:val="nil"/>
              <w:left w:val="single" w:sz="8" w:space="0" w:color="auto"/>
              <w:bottom w:val="single" w:sz="8" w:space="0" w:color="auto"/>
              <w:right w:val="single" w:sz="4" w:space="0" w:color="auto"/>
            </w:tcBorders>
            <w:shd w:val="clear" w:color="auto" w:fill="auto"/>
            <w:noWrap/>
            <w:vAlign w:val="bottom"/>
          </w:tcPr>
          <w:p w:rsidR="001608FF" w:rsidRDefault="00F94706" w:rsidP="00321EEB">
            <w:pPr>
              <w:keepNext/>
              <w:rPr>
                <w:rFonts w:cs="Calibri"/>
                <w:color w:val="000000"/>
                <w:sz w:val="18"/>
                <w:szCs w:val="18"/>
              </w:rPr>
            </w:pPr>
            <w:r w:rsidRPr="00F94706">
              <w:rPr>
                <w:rFonts w:asciiTheme="minorHAnsi" w:hAnsiTheme="minorHAnsi" w:cstheme="minorHAnsi"/>
                <w:color w:val="000000"/>
                <w:sz w:val="18"/>
                <w:szCs w:val="18"/>
                <w:lang w:val="nl-NL"/>
              </w:rPr>
              <w:t xml:space="preserve">€ </w:t>
            </w:r>
            <w:r w:rsidR="001608FF">
              <w:rPr>
                <w:rFonts w:cs="Calibri"/>
                <w:color w:val="000000"/>
                <w:sz w:val="18"/>
                <w:szCs w:val="18"/>
              </w:rPr>
              <w:t>8</w:t>
            </w:r>
            <w:r>
              <w:rPr>
                <w:rFonts w:cs="Calibri"/>
                <w:color w:val="000000"/>
                <w:sz w:val="18"/>
                <w:szCs w:val="18"/>
              </w:rPr>
              <w:t>.</w:t>
            </w:r>
            <w:r w:rsidR="001608FF">
              <w:rPr>
                <w:rFonts w:cs="Calibri"/>
                <w:color w:val="000000"/>
                <w:sz w:val="18"/>
                <w:szCs w:val="18"/>
              </w:rPr>
              <w:t>580</w:t>
            </w:r>
            <w:r>
              <w:rPr>
                <w:rFonts w:cs="Calibri"/>
                <w:color w:val="000000"/>
                <w:sz w:val="18"/>
                <w:szCs w:val="18"/>
              </w:rPr>
              <w:t>.</w:t>
            </w:r>
            <w:r w:rsidR="001608FF">
              <w:rPr>
                <w:rFonts w:cs="Calibri"/>
                <w:color w:val="000000"/>
                <w:sz w:val="18"/>
                <w:szCs w:val="18"/>
              </w:rPr>
              <w:t>000</w:t>
            </w:r>
          </w:p>
        </w:tc>
        <w:tc>
          <w:tcPr>
            <w:tcW w:w="935" w:type="dxa"/>
            <w:tcBorders>
              <w:top w:val="nil"/>
              <w:left w:val="nil"/>
              <w:bottom w:val="single" w:sz="8"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15,00%</w:t>
            </w:r>
          </w:p>
        </w:tc>
        <w:tc>
          <w:tcPr>
            <w:tcW w:w="1255" w:type="dxa"/>
            <w:tcBorders>
              <w:top w:val="nil"/>
              <w:left w:val="nil"/>
              <w:bottom w:val="single" w:sz="8"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15</w:t>
            </w:r>
          </w:p>
        </w:tc>
        <w:tc>
          <w:tcPr>
            <w:tcW w:w="1080" w:type="dxa"/>
            <w:tcBorders>
              <w:top w:val="nil"/>
              <w:left w:val="nil"/>
              <w:bottom w:val="single" w:sz="8" w:space="0" w:color="auto"/>
              <w:right w:val="single" w:sz="4" w:space="0" w:color="auto"/>
            </w:tcBorders>
            <w:shd w:val="clear" w:color="auto" w:fill="auto"/>
            <w:noWrap/>
            <w:vAlign w:val="bottom"/>
          </w:tcPr>
          <w:p w:rsidR="001608FF" w:rsidRPr="00F94706" w:rsidRDefault="001608FF" w:rsidP="00321EEB">
            <w:pPr>
              <w:keepNext/>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€ 1.467.326</w:t>
            </w:r>
          </w:p>
        </w:tc>
        <w:tc>
          <w:tcPr>
            <w:tcW w:w="1081" w:type="dxa"/>
            <w:tcBorders>
              <w:top w:val="nil"/>
              <w:left w:val="nil"/>
              <w:bottom w:val="single" w:sz="8"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€ 171.600</w:t>
            </w:r>
          </w:p>
        </w:tc>
        <w:tc>
          <w:tcPr>
            <w:tcW w:w="900" w:type="dxa"/>
            <w:tcBorders>
              <w:top w:val="nil"/>
              <w:left w:val="nil"/>
              <w:bottom w:val="single" w:sz="8" w:space="0" w:color="auto"/>
              <w:right w:val="single" w:sz="4" w:space="0" w:color="auto"/>
            </w:tcBorders>
            <w:shd w:val="clear" w:color="auto" w:fill="auto"/>
            <w:noWrap/>
            <w:vAlign w:val="bottom"/>
          </w:tcPr>
          <w:p w:rsidR="001608FF" w:rsidRPr="00F94706" w:rsidRDefault="001608FF" w:rsidP="00321EEB">
            <w:pPr>
              <w:keepNext/>
              <w:jc w:val="center"/>
              <w:rPr>
                <w:rFonts w:asciiTheme="minorHAnsi" w:hAnsiTheme="minorHAnsi" w:cstheme="minorHAnsi"/>
                <w:color w:val="000000"/>
                <w:sz w:val="18"/>
                <w:szCs w:val="18"/>
              </w:rPr>
            </w:pPr>
            <w:r w:rsidRPr="00F94706">
              <w:rPr>
                <w:rFonts w:asciiTheme="minorHAnsi" w:hAnsiTheme="minorHAnsi" w:cstheme="minorHAnsi"/>
                <w:color w:val="000000"/>
                <w:sz w:val="18"/>
                <w:szCs w:val="18"/>
                <w:lang w:val="nl-NL"/>
              </w:rPr>
              <w:t>€ 65.000</w:t>
            </w:r>
          </w:p>
        </w:tc>
        <w:tc>
          <w:tcPr>
            <w:tcW w:w="1037" w:type="dxa"/>
            <w:tcBorders>
              <w:top w:val="nil"/>
              <w:left w:val="nil"/>
              <w:bottom w:val="single" w:sz="8" w:space="0" w:color="auto"/>
              <w:right w:val="single" w:sz="4"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lang w:val="nl-NL"/>
              </w:rPr>
              <w:t>€ 1.703.926</w:t>
            </w:r>
          </w:p>
        </w:tc>
        <w:tc>
          <w:tcPr>
            <w:tcW w:w="1583" w:type="dxa"/>
            <w:tcBorders>
              <w:top w:val="nil"/>
              <w:left w:val="nil"/>
              <w:bottom w:val="single" w:sz="8" w:space="0" w:color="auto"/>
              <w:right w:val="single" w:sz="8" w:space="0" w:color="auto"/>
            </w:tcBorders>
            <w:shd w:val="clear" w:color="auto" w:fill="auto"/>
            <w:noWrap/>
            <w:vAlign w:val="bottom"/>
          </w:tcPr>
          <w:p w:rsidR="001608FF" w:rsidRDefault="001608FF" w:rsidP="00321EEB">
            <w:pPr>
              <w:keepNext/>
              <w:rPr>
                <w:rFonts w:cs="Calibri"/>
                <w:color w:val="000000"/>
                <w:sz w:val="18"/>
                <w:szCs w:val="18"/>
              </w:rPr>
            </w:pPr>
            <w:r>
              <w:rPr>
                <w:rFonts w:cs="Calibri"/>
                <w:color w:val="000000"/>
                <w:sz w:val="18"/>
                <w:szCs w:val="18"/>
              </w:rPr>
              <w:t>341</w:t>
            </w:r>
          </w:p>
        </w:tc>
      </w:tr>
    </w:tbl>
    <w:p w:rsidR="00764941" w:rsidRDefault="00764941" w:rsidP="00321EEB">
      <w:pPr>
        <w:keepNext/>
      </w:pPr>
      <w:r w:rsidRPr="002D6FC9">
        <w:t xml:space="preserve">Uit </w:t>
      </w:r>
      <w:r w:rsidR="002D6FC9" w:rsidRPr="002D6FC9">
        <w:t xml:space="preserve">bijlage </w:t>
      </w:r>
      <w:r w:rsidR="00C325A0">
        <w:fldChar w:fldCharType="begin"/>
      </w:r>
      <w:r w:rsidR="002D6FC9">
        <w:instrText xml:space="preserve"> REF b_kostenefficientie \h </w:instrText>
      </w:r>
      <w:r w:rsidR="00C325A0">
        <w:fldChar w:fldCharType="separate"/>
      </w:r>
      <w:r w:rsidR="008102D8">
        <w:t>5</w:t>
      </w:r>
      <w:r w:rsidR="00C325A0">
        <w:fldChar w:fldCharType="end"/>
      </w:r>
      <w:r w:rsidR="003B3869" w:rsidRPr="002D6FC9">
        <w:t xml:space="preserve"> </w:t>
      </w:r>
      <w:r>
        <w:t xml:space="preserve">blijkt dat van zodra de totale VOS-emissie aan P1-producten </w:t>
      </w:r>
      <w:r w:rsidR="00321EEB">
        <w:t xml:space="preserve">ca. 328 </w:t>
      </w:r>
      <w:r>
        <w:t xml:space="preserve">ton per jaar bedraagt, het uitrusten van P1-opslagtanks met dampretourleidingen </w:t>
      </w:r>
      <w:r w:rsidR="00914278">
        <w:t xml:space="preserve">, rekeninghoudend met de aannames, </w:t>
      </w:r>
      <w:r>
        <w:t>als kosteneffectief kan beschouwd worden.</w:t>
      </w:r>
    </w:p>
    <w:p w:rsidR="00764941" w:rsidRDefault="00764941" w:rsidP="00321EEB">
      <w:pPr>
        <w:keepNext/>
      </w:pPr>
      <w:r>
        <w:t>Belangrijk is evenwel dat de reëel verwachte VOS-emissie in de geplande situatie geraamd wordt op ca. 11 ton/jaar of m.a.w. minder dan de noodzakelijke VOS-reductie.</w:t>
      </w:r>
    </w:p>
    <w:p w:rsidR="00764941" w:rsidRDefault="00764941" w:rsidP="00321EEB">
      <w:pPr>
        <w:pStyle w:val="Heading4"/>
      </w:pPr>
      <w:bookmarkStart w:id="896" w:name="_Toc312069317"/>
      <w:r>
        <w:t>Conclusie</w:t>
      </w:r>
      <w:bookmarkEnd w:id="896"/>
    </w:p>
    <w:p w:rsidR="00764941" w:rsidRDefault="00764941" w:rsidP="00AF3F9E">
      <w:r>
        <w:t xml:space="preserve">Gezien de reeds ver doorgedreven maatregelen welke voor de </w:t>
      </w:r>
      <w:r w:rsidRPr="001B450D">
        <w:rPr>
          <w:i/>
        </w:rPr>
        <w:t>nieuwe</w:t>
      </w:r>
      <w:r>
        <w:t xml:space="preserve"> tanks reeds voorzien worden kan aangenomen worden dat geen bijkomende maatregelen meer mogelijk zijn binnen de vooropgestelde marge inzake aanvaardbare eenheidsreductie kostprijs.</w:t>
      </w:r>
    </w:p>
    <w:p w:rsidR="000F0B61" w:rsidRDefault="00764941" w:rsidP="00AF3F9E">
      <w:r>
        <w:t xml:space="preserve">Voor de bestaande installaties is het nemen van bijkomende emissiereducerende maatregelen </w:t>
      </w:r>
      <w:r w:rsidR="00914278">
        <w:t>meer in detail uit te werken</w:t>
      </w:r>
      <w:r>
        <w:t xml:space="preserve"> van zodra de VOS-emissie gekoppeld aan de op- en overslag van P1-producten van de terminal in de geplande situatie effectief zal toenemen tot </w:t>
      </w:r>
      <w:r w:rsidR="000F0B61">
        <w:t>146</w:t>
      </w:r>
      <w:r>
        <w:t xml:space="preserve"> ton per jaar of meer. </w:t>
      </w:r>
      <w:r w:rsidR="00914278">
        <w:t>Vermits de  gemaakte aannames bewust een grote onderschatting maken van de reële investeringskost kunnen de aannames in deze situatie meer verfijnd worden.</w:t>
      </w:r>
    </w:p>
    <w:p w:rsidR="00764941" w:rsidRDefault="00764941" w:rsidP="00AF3F9E">
      <w:r>
        <w:t xml:space="preserve">Dergelijke VOS-emissies zouden zich kunnen manifesteren indien </w:t>
      </w:r>
      <w:r w:rsidR="000F0B61">
        <w:t xml:space="preserve">ca. 160% van </w:t>
      </w:r>
      <w:r>
        <w:t>de voorziene opslagcapaciteit aan P1-</w:t>
      </w:r>
      <w:r w:rsidR="000F0B61">
        <w:t xml:space="preserve">producten continu </w:t>
      </w:r>
      <w:r>
        <w:t>wordt ingevuld door de stoffen isopropylacetaat, ethanol, heptaan en methylcyclohexaan.</w:t>
      </w:r>
    </w:p>
    <w:p w:rsidR="00F70BB3" w:rsidRDefault="00F70BB3" w:rsidP="004F40A7">
      <w:pPr>
        <w:pStyle w:val="Heading3"/>
      </w:pPr>
      <w:bookmarkStart w:id="897" w:name="_Toc312069318"/>
      <w:r>
        <w:lastRenderedPageBreak/>
        <w:t>Milderende maatregelen</w:t>
      </w:r>
      <w:bookmarkEnd w:id="897"/>
    </w:p>
    <w:p w:rsidR="00F70BB3" w:rsidRDefault="00F70BB3" w:rsidP="00AF3F9E">
      <w:r>
        <w:t xml:space="preserve">Gezien de beperkte bijdragen in de omgeving </w:t>
      </w:r>
      <w:r w:rsidR="00703A85">
        <w:t xml:space="preserve">bij het realistisch scenario </w:t>
      </w:r>
      <w:r>
        <w:t>worden geen bijkomende maatregelen noodzakelijk geacht onder de beschouwde voorwaarden ten aanzien van de rechtstreekse impact op de luchtkwaliteit in het studiegebied.</w:t>
      </w:r>
    </w:p>
    <w:p w:rsidR="00F70BB3" w:rsidRDefault="00F70BB3" w:rsidP="00AF3F9E">
      <w:r>
        <w:t>Uiteraard dienen maatregelen zoals aangepast onderhoud, opleiding en training personeel, ingrijpen bij vaststellingen van tekortkomingen, …., maatregelen welke garant staan voor een goede bedrijfsvoering resulterend in minimale emissies, uitgevoerd te worden. Dit is inherent aan het toepassen van BBT.</w:t>
      </w:r>
    </w:p>
    <w:p w:rsidR="000F0B61" w:rsidRDefault="00F70BB3" w:rsidP="00AF3F9E">
      <w:r>
        <w:t xml:space="preserve">In het kader van de NEC doelstellingen dient echter gestreefd te worden naar een verdere beperking van de VOS emissies. Hiermee wordt bij de aanleg van het nieuwe tankenpark reeds rekening gehouden door het  aanpassen van de constructie aan het inzetten van hoge druk ontluchtingsvalven van 100 mbar en – in functie van de noodzaak – het voorzien van damp-retour. Hierdoor kunnen zowel de ademhalingsverliezen  als verpompingsverliezen zeer sterk gereduceerd worden. </w:t>
      </w:r>
    </w:p>
    <w:p w:rsidR="000F0B61" w:rsidRDefault="00F70BB3" w:rsidP="00AF3F9E">
      <w:r>
        <w:t xml:space="preserve">Wat betreft het nemen van bijkomende emissiereducerende maatregelen die betrekking hebben op bestaande opslagtanks, wordt dit aspect relevant van zodra de totale VOS-emissie een waarde van </w:t>
      </w:r>
      <w:r w:rsidR="000F0B61">
        <w:t>146</w:t>
      </w:r>
      <w:r>
        <w:t xml:space="preserve"> ton per jaar overschrijden. Een totale VOS-emissie van </w:t>
      </w:r>
      <w:r w:rsidR="000F0B61">
        <w:t xml:space="preserve">146 </w:t>
      </w:r>
      <w:r>
        <w:t xml:space="preserve">ton/jaar zal zich enkel manifesteren indien </w:t>
      </w:r>
      <w:r w:rsidR="000F0B61">
        <w:t xml:space="preserve">meer dan ca. 160% </w:t>
      </w:r>
      <w:r>
        <w:t xml:space="preserve">de voorziene opslagcapaciteit aan P1-producten </w:t>
      </w:r>
      <w:r w:rsidR="000F0B61">
        <w:t xml:space="preserve">(na fase 2) </w:t>
      </w:r>
      <w:r>
        <w:t xml:space="preserve">wordt ingevuld door de stoffen isopropylacetaat, ethanol, heptaan en methylcyclohexaan. </w:t>
      </w:r>
      <w:r w:rsidR="00914278">
        <w:t>In deze situatie kunnen de gemaakte aannames verder verfijnd worden om een meer realistische  benadering te maken van de investeringskosten.</w:t>
      </w:r>
    </w:p>
    <w:p w:rsidR="00F70BB3" w:rsidRPr="00266C1E" w:rsidRDefault="00F70BB3" w:rsidP="00AF3F9E">
      <w:r>
        <w:t>De werkelijk verwachte VOS-emissie bedraagt ca. 11 ton/jaar. In dit geval is het nemen van bijkomende emissiereducerende maatregelen, volgens de gangbare criteria, niet als kosteneffectief te beschouwen.</w:t>
      </w:r>
    </w:p>
    <w:p w:rsidR="00914278" w:rsidRDefault="00914278" w:rsidP="000F0B61"/>
    <w:p w:rsidR="000F0B61" w:rsidRDefault="00F70BB3" w:rsidP="000F0B61">
      <w:r>
        <w:t xml:space="preserve">Ten aanzien van de beperking van emissies van toxische en/of kankerverwekkende stoffen geldt in feite een meer vergaande benadering. Hier dient men te stellen dat de emissie van deze stoffen tot het minimum dient beperkt te worden, zeker m.b.t. carcinogene stoffen, gezien hiervoor geen immissiewaarde kan vooropgesteld worden beneden dewelke er geen effecten verwacht worden (enkel de kans neemt af bij dalende concentraties). Voor de carcinogene stoffen dient dan ook systematisch gestreefd te worden naar een absoluut minimum qua emissies en impact. </w:t>
      </w:r>
    </w:p>
    <w:p w:rsidR="00703A85" w:rsidRDefault="00703A85" w:rsidP="00703A85">
      <w:r>
        <w:t>Bij de doorgerekende maximalistische scenario’s worden, in functie van de toegepaste toetsingswaarden (voor de specifieke stoffen bestaan er, behoudens inzake benzeen, geen wettelijke grenswaarden of doelstellingen) op enkele beoordelingspunten wel relevante tot belangrijke bijdragen berekend zodat milderende maatregelen aangewezen zijn, op het ogenblik dat deze maximalistische scenario’s zich daadwerkelijk zouden voordoen. Door het jaarlijks opvolgen van de emissie niveau’s, kan uiteraard wel op eenvoudige wijze de evolutie van de emissies beoordeeld worden.</w:t>
      </w:r>
    </w:p>
    <w:p w:rsidR="00703A85" w:rsidRDefault="00703A85" w:rsidP="00703A85">
      <w:r>
        <w:t>Bij het maximalistisch VOS scenario heeft dit betrekking op beoordelingspunten in de onmiddellijke omgeving van het bedrijf (in industriegebieden zonder bewoning).</w:t>
      </w:r>
    </w:p>
    <w:p w:rsidR="00C447E8" w:rsidRDefault="00703A85" w:rsidP="00703A85">
      <w:r>
        <w:t xml:space="preserve">Bij de specifiek beoordeelde CMR-stoffen betreft dit de impact van chloroform t.h.v. L.O.-St-Anneke, indien de Nederlandse streefwaarden als toetsingswaarde gehanteerd wordt. </w:t>
      </w:r>
    </w:p>
    <w:p w:rsidR="00C447E8" w:rsidRDefault="00C447E8" w:rsidP="00C447E8">
      <w:pPr>
        <w:rPr>
          <w:lang w:val="nl-NL"/>
        </w:rPr>
      </w:pPr>
      <w:r>
        <w:rPr>
          <w:lang w:val="nl-NL"/>
        </w:rPr>
        <w:t>Indien de opgeslagen hoeveelheid chloroform waarmee de emissies berekend worden kleiner is dan ca. 9.260 ton</w:t>
      </w:r>
      <w:r>
        <w:rPr>
          <w:rStyle w:val="FootnoteReference"/>
          <w:lang w:val="nl-NL"/>
        </w:rPr>
        <w:footnoteReference w:id="64"/>
      </w:r>
      <w:r>
        <w:rPr>
          <w:lang w:val="nl-NL"/>
        </w:rPr>
        <w:t xml:space="preserve"> is de totale bijdrage van het bedrijf t.h.v. L.O.–St-Anneke niet meer als belangrijk te aanzien (&lt; 5% t.o.v. de Nederlandse streefwaarde).</w:t>
      </w:r>
    </w:p>
    <w:p w:rsidR="00C447E8" w:rsidRPr="00C447E8" w:rsidRDefault="00C447E8" w:rsidP="00703A85">
      <w:pPr>
        <w:rPr>
          <w:lang w:val="nl-NL"/>
        </w:rPr>
      </w:pPr>
    </w:p>
    <w:p w:rsidR="00703A85" w:rsidRDefault="00703A85" w:rsidP="00703A85">
      <w:r>
        <w:lastRenderedPageBreak/>
        <w:t>Wordt daarentegen op deze locatie ook de MTR waarden gehanteerd als toetsingswaarde (MTR = maximaal toegelaten risicowaarden), dan wordt de impact als verwaarloosbaar beoordeeld (en zouden er dan ook geen bijkomende milderende maatregelen meer nodig zijn).</w:t>
      </w:r>
    </w:p>
    <w:p w:rsidR="00703A85" w:rsidRDefault="00703A85" w:rsidP="00703A85">
      <w:r>
        <w:t>Uiteraard kan door het beperken van de maximale opslag per product, de individuele impact van dit product ook beperkt worden. Gezien de toegepaste berekeningswijze kan hierbij uitgegaan worden van een lineaire benadering (halvering van de emissies zal grootte orde leiden tot een halvering van de impact).</w:t>
      </w:r>
    </w:p>
    <w:p w:rsidR="00FA2F34" w:rsidRDefault="00FA2F34" w:rsidP="00AF3F9E">
      <w:pPr>
        <w:rPr>
          <w:lang w:val="nl"/>
        </w:rPr>
      </w:pPr>
    </w:p>
    <w:p w:rsidR="00F70BB3" w:rsidRDefault="00F70BB3" w:rsidP="00AF3F9E">
      <w:pPr>
        <w:rPr>
          <w:lang w:val="nl"/>
        </w:rPr>
      </w:pPr>
      <w:r w:rsidRPr="00DE2557">
        <w:rPr>
          <w:lang w:val="nl"/>
        </w:rPr>
        <w:t xml:space="preserve">De uitgevoerde effectevaluatie heeft uiteraard betrekking op die </w:t>
      </w:r>
      <w:r>
        <w:rPr>
          <w:lang w:val="nl"/>
        </w:rPr>
        <w:t xml:space="preserve">giftige en / of </w:t>
      </w:r>
      <w:r w:rsidRPr="00DE2557">
        <w:rPr>
          <w:lang w:val="nl"/>
        </w:rPr>
        <w:t xml:space="preserve">CMR-stoffen waarvan bij opmaak van onderhavige </w:t>
      </w:r>
      <w:r>
        <w:rPr>
          <w:lang w:val="nl"/>
        </w:rPr>
        <w:t>rapport</w:t>
      </w:r>
      <w:r w:rsidRPr="00DE2557">
        <w:rPr>
          <w:lang w:val="nl"/>
        </w:rPr>
        <w:t xml:space="preserve"> gesteld werd dat deze momenteel worden of in de toekomst mogelijks zullen worden op- en overgeslagen bij </w:t>
      </w:r>
      <w:r>
        <w:rPr>
          <w:lang w:val="nl"/>
        </w:rPr>
        <w:t xml:space="preserve">VTE (zie tabel </w:t>
      </w:r>
      <w:r w:rsidR="00C325A0">
        <w:rPr>
          <w:lang w:val="nl"/>
        </w:rPr>
        <w:fldChar w:fldCharType="begin"/>
      </w:r>
      <w:r>
        <w:rPr>
          <w:lang w:val="nl"/>
        </w:rPr>
        <w:instrText xml:space="preserve"> REF t_overzicht_gev_stoffen \h </w:instrText>
      </w:r>
      <w:r w:rsidR="00C325A0">
        <w:rPr>
          <w:lang w:val="nl"/>
        </w:rPr>
      </w:r>
      <w:r w:rsidR="00C325A0">
        <w:rPr>
          <w:lang w:val="nl"/>
        </w:rPr>
        <w:fldChar w:fldCharType="separate"/>
      </w:r>
      <w:r w:rsidR="008102D8">
        <w:t>IV.</w:t>
      </w:r>
      <w:r w:rsidR="008102D8">
        <w:rPr>
          <w:noProof/>
        </w:rPr>
        <w:t>1</w:t>
      </w:r>
      <w:r w:rsidR="00C325A0">
        <w:rPr>
          <w:lang w:val="nl"/>
        </w:rPr>
        <w:fldChar w:fldCharType="end"/>
      </w:r>
      <w:r>
        <w:rPr>
          <w:lang w:val="nl"/>
        </w:rPr>
        <w:t>)</w:t>
      </w:r>
      <w:r w:rsidRPr="00DE2557">
        <w:rPr>
          <w:lang w:val="nl"/>
        </w:rPr>
        <w:t>.</w:t>
      </w:r>
      <w:r>
        <w:rPr>
          <w:lang w:val="nl"/>
        </w:rPr>
        <w:tab/>
      </w:r>
      <w:r>
        <w:rPr>
          <w:lang w:val="nl"/>
        </w:rPr>
        <w:br/>
      </w:r>
      <w:r w:rsidRPr="00DE2557">
        <w:rPr>
          <w:lang w:val="nl"/>
        </w:rPr>
        <w:t xml:space="preserve">Wat betreft “nieuwe” </w:t>
      </w:r>
      <w:r>
        <w:rPr>
          <w:lang w:val="nl"/>
        </w:rPr>
        <w:t xml:space="preserve">giftige en/of </w:t>
      </w:r>
      <w:r w:rsidRPr="00DE2557">
        <w:rPr>
          <w:lang w:val="nl"/>
        </w:rPr>
        <w:t>CMR-stoffen dient in eerste instantie een berekening van het risicokengetal zoals beschreven</w:t>
      </w:r>
      <w:r>
        <w:rPr>
          <w:lang w:val="nl"/>
        </w:rPr>
        <w:t xml:space="preserve"> in bijlage</w:t>
      </w:r>
      <w:r w:rsidR="008F41F5">
        <w:rPr>
          <w:lang w:val="nl"/>
        </w:rPr>
        <w:t xml:space="preserve"> </w:t>
      </w:r>
      <w:r w:rsidR="00C325A0">
        <w:rPr>
          <w:lang w:val="nl"/>
        </w:rPr>
        <w:fldChar w:fldCharType="begin"/>
      </w:r>
      <w:r w:rsidR="00B4457D">
        <w:rPr>
          <w:lang w:val="nl"/>
        </w:rPr>
        <w:instrText xml:space="preserve"> REF b_opslagscenario \h </w:instrText>
      </w:r>
      <w:r w:rsidR="00C325A0">
        <w:rPr>
          <w:lang w:val="nl"/>
        </w:rPr>
      </w:r>
      <w:r w:rsidR="00C325A0">
        <w:rPr>
          <w:lang w:val="nl"/>
        </w:rPr>
        <w:fldChar w:fldCharType="separate"/>
      </w:r>
      <w:r w:rsidR="008102D8">
        <w:t>4</w:t>
      </w:r>
      <w:r w:rsidR="00C325A0">
        <w:rPr>
          <w:lang w:val="nl"/>
        </w:rPr>
        <w:fldChar w:fldCharType="end"/>
      </w:r>
      <w:r w:rsidRPr="00DE2557">
        <w:rPr>
          <w:lang w:val="nl"/>
        </w:rPr>
        <w:t xml:space="preserve">, uitgevoerd te worden. Indien het berekende risicokengetal lager is dan dit voor </w:t>
      </w:r>
      <w:r w:rsidR="00DF21FD" w:rsidRPr="00DF21FD">
        <w:rPr>
          <w:lang w:val="nl"/>
        </w:rPr>
        <w:t>chloroform</w:t>
      </w:r>
      <w:r w:rsidRPr="00DF21FD">
        <w:rPr>
          <w:lang w:val="nl"/>
        </w:rPr>
        <w:t xml:space="preserve">, al dan niet na het nemen extra maatregelen zoals beperking van de opslag, impliceert dit dat </w:t>
      </w:r>
      <w:r w:rsidR="00DF21FD" w:rsidRPr="00DF21FD">
        <w:rPr>
          <w:lang w:val="nl"/>
        </w:rPr>
        <w:t>chloroform</w:t>
      </w:r>
      <w:r w:rsidRPr="00DF21FD">
        <w:rPr>
          <w:lang w:val="nl"/>
        </w:rPr>
        <w:t xml:space="preserve"> ook in de toekomst de meest kritische stof blijft. De resultaten van hoger uitgevoerde effectevaluatie blijven</w:t>
      </w:r>
      <w:r w:rsidRPr="00DE2557">
        <w:rPr>
          <w:lang w:val="nl"/>
        </w:rPr>
        <w:t xml:space="preserve"> dan ook zonder meer geldig.</w:t>
      </w:r>
      <w:r>
        <w:rPr>
          <w:lang w:val="nl"/>
        </w:rPr>
        <w:tab/>
      </w:r>
      <w:r>
        <w:rPr>
          <w:lang w:val="nl"/>
        </w:rPr>
        <w:br/>
      </w:r>
      <w:r w:rsidRPr="00DE2557">
        <w:rPr>
          <w:lang w:val="nl"/>
        </w:rPr>
        <w:t xml:space="preserve">In het andere geval, indien de “nieuwe” </w:t>
      </w:r>
      <w:r>
        <w:rPr>
          <w:lang w:val="nl"/>
        </w:rPr>
        <w:t xml:space="preserve">giftige en/of </w:t>
      </w:r>
      <w:r w:rsidRPr="00DE2557">
        <w:rPr>
          <w:lang w:val="nl"/>
        </w:rPr>
        <w:t>CMR-stof de meest kristische stof wordt, is het aangewezen om de restemissies van deze stof te berekenen en de impact van de restemissies op de omgeving opnieuw te evaluere</w:t>
      </w:r>
      <w:r>
        <w:rPr>
          <w:lang w:val="nl"/>
        </w:rPr>
        <w:t>n.</w:t>
      </w:r>
    </w:p>
    <w:p w:rsidR="00F70BB3" w:rsidRPr="00F70BB3" w:rsidRDefault="00F70BB3" w:rsidP="00AF3F9E">
      <w:pPr>
        <w:rPr>
          <w:lang w:val="nl-NL"/>
        </w:rPr>
      </w:pPr>
      <w:r w:rsidRPr="002E4263">
        <w:t>Wat betreft de opslag van stoffen waarvan de (berekende) dampspanning bij 35°C de waarde van 13,3 kPa benadert, dient men er bij de bedrijfsvoering ernaar te streven om deze op te slaan in tanks die uitgerust zijn met een dampbalans. Dit uiteraard steeds rekening houdend met de beschikbaarheid van dergelijke tanks en zonder de opslag te hypothekeren van die stoffen waarvoor de toepassing van dampbalans als absoluut noodzakelijk geacht wordt</w:t>
      </w:r>
    </w:p>
    <w:bookmarkEnd w:id="892"/>
    <w:bookmarkEnd w:id="893"/>
    <w:p w:rsidR="00F57FD9" w:rsidRDefault="00F57FD9">
      <w:pPr>
        <w:keepLines w:val="0"/>
        <w:spacing w:before="0" w:after="0" w:line="240" w:lineRule="auto"/>
        <w:jc w:val="left"/>
        <w:rPr>
          <w:b/>
          <w:smallCaps/>
          <w:spacing w:val="20"/>
          <w:sz w:val="24"/>
          <w:lang w:val="nl-NL"/>
        </w:rPr>
      </w:pPr>
      <w:r>
        <w:br w:type="page"/>
      </w:r>
    </w:p>
    <w:p w:rsidR="004560FE" w:rsidRDefault="004560FE" w:rsidP="004F40A7">
      <w:pPr>
        <w:pStyle w:val="Heading2"/>
      </w:pPr>
      <w:bookmarkStart w:id="898" w:name="_Toc312069319"/>
      <w:r>
        <w:lastRenderedPageBreak/>
        <w:t>Mens</w:t>
      </w:r>
      <w:bookmarkEnd w:id="898"/>
    </w:p>
    <w:p w:rsidR="00114A20" w:rsidRDefault="00114A20" w:rsidP="004F40A7">
      <w:pPr>
        <w:pStyle w:val="Heading3"/>
      </w:pPr>
      <w:bookmarkStart w:id="899" w:name="_Toc312069320"/>
      <w:r>
        <w:t>Evaluatie emissies naar lucht</w:t>
      </w:r>
      <w:bookmarkEnd w:id="899"/>
    </w:p>
    <w:p w:rsidR="00114A20" w:rsidRDefault="00114A20" w:rsidP="004F40A7">
      <w:pPr>
        <w:pStyle w:val="Heading4"/>
      </w:pPr>
      <w:bookmarkStart w:id="900" w:name="_Toc312069321"/>
      <w:r>
        <w:t>Bewoning / werkende bevolking in de omgeving van VTE</w:t>
      </w:r>
      <w:bookmarkEnd w:id="900"/>
    </w:p>
    <w:p w:rsidR="00114A20" w:rsidRDefault="00114A20" w:rsidP="00AF3F9E">
      <w:pPr>
        <w:rPr>
          <w:lang w:val="nl-NL"/>
        </w:rPr>
      </w:pPr>
      <w:r>
        <w:rPr>
          <w:lang w:val="nl-NL"/>
        </w:rPr>
        <w:t>Zoals aangeveven bij de ruimtelijke situering is de meest nabije bewoning gesitueerd in Sint-Anna Linkeroever op meer dan 2 km van VTE. In de nabije omgeving bevinden zich dan ook enkel bedrijven.</w:t>
      </w:r>
    </w:p>
    <w:p w:rsidR="00114A20" w:rsidRPr="00114A20" w:rsidRDefault="00114A20" w:rsidP="00AF3F9E">
      <w:pPr>
        <w:rPr>
          <w:lang w:val="nl-NL"/>
        </w:rPr>
      </w:pPr>
      <w:r>
        <w:rPr>
          <w:lang w:val="nl-NL"/>
        </w:rPr>
        <w:t>Hiermee rekening houdend wordt vanuit het standpunt van de discipline mens dan ook aandacht besteed aan de mogelijke impact van de activiteiten van VTE op de bewoning gesitueerd in Sint-Anna</w:t>
      </w:r>
      <w:r w:rsidR="00CA4D74">
        <w:rPr>
          <w:lang w:val="nl-NL"/>
        </w:rPr>
        <w:t>.</w:t>
      </w:r>
    </w:p>
    <w:p w:rsidR="00F70BB3" w:rsidRDefault="00114A20" w:rsidP="004F40A7">
      <w:pPr>
        <w:pStyle w:val="Heading4"/>
      </w:pPr>
      <w:bookmarkStart w:id="901" w:name="_Toc312069322"/>
      <w:r>
        <w:t>Gezondheidsaspecten</w:t>
      </w:r>
      <w:bookmarkEnd w:id="901"/>
    </w:p>
    <w:p w:rsidR="00114A20" w:rsidRDefault="00114A20" w:rsidP="00AF3F9E">
      <w:pPr>
        <w:rPr>
          <w:lang w:val="nl-NL"/>
        </w:rPr>
      </w:pPr>
      <w:r>
        <w:rPr>
          <w:lang w:val="nl-NL"/>
        </w:rPr>
        <w:t xml:space="preserve">Bij VTE kunnen diverse stoffen worden overgeslagen die ingedeeld zijn als (zeer) giftig, carcinogeen, mutageen en/of terratogeen. Voor de overgrote meerderheid van deze stoffen zijn mogelijke gezondheidsrisico’s gelinkt aan de opname van deze stoffen door inhalatie. </w:t>
      </w:r>
    </w:p>
    <w:p w:rsidR="00114A20" w:rsidRDefault="00114A20" w:rsidP="00AF3F9E">
      <w:pPr>
        <w:rPr>
          <w:lang w:val="nl-NL"/>
        </w:rPr>
      </w:pPr>
      <w:r>
        <w:rPr>
          <w:lang w:val="nl-NL"/>
        </w:rPr>
        <w:t>In het kader van de effectvoorspelling binnen de discipline lucht werden de meest kritische stoffen geselecteerd, rekeninghoudend met zowel het emissiepotentieel van de stoffen als met de gezondheidsrisico’s die uitgaan van deze stoffen.</w:t>
      </w:r>
    </w:p>
    <w:p w:rsidR="00114A20" w:rsidRDefault="00114A20" w:rsidP="00AF3F9E">
      <w:pPr>
        <w:rPr>
          <w:lang w:val="nl-NL"/>
        </w:rPr>
      </w:pPr>
      <w:r>
        <w:rPr>
          <w:lang w:val="nl-NL"/>
        </w:rPr>
        <w:t>Conform de gehanteerde selectiemethodiek gaan de grootste risico’s uit van de op- en overslag van:</w:t>
      </w:r>
    </w:p>
    <w:p w:rsidR="00114A20" w:rsidRPr="00944640" w:rsidRDefault="00114A20" w:rsidP="00944640">
      <w:pPr>
        <w:pStyle w:val="ListParagraph"/>
        <w:numPr>
          <w:ilvl w:val="0"/>
          <w:numId w:val="107"/>
        </w:numPr>
        <w:rPr>
          <w:lang w:val="nl-NL"/>
        </w:rPr>
      </w:pPr>
      <w:r w:rsidRPr="00944640">
        <w:rPr>
          <w:lang w:val="nl-NL"/>
        </w:rPr>
        <w:t xml:space="preserve">benzeen (ingedeeld als giftig en carcinogeen categorie </w:t>
      </w:r>
      <w:r w:rsidR="00987C34" w:rsidRPr="00944640">
        <w:rPr>
          <w:lang w:val="nl-NL"/>
        </w:rPr>
        <w:t>1</w:t>
      </w:r>
      <w:r w:rsidRPr="00944640">
        <w:rPr>
          <w:lang w:val="nl-NL"/>
        </w:rPr>
        <w:t xml:space="preserve">), </w:t>
      </w:r>
    </w:p>
    <w:p w:rsidR="00114A20" w:rsidRPr="00944640" w:rsidRDefault="00114A20" w:rsidP="00944640">
      <w:pPr>
        <w:pStyle w:val="ListParagraph"/>
        <w:numPr>
          <w:ilvl w:val="0"/>
          <w:numId w:val="107"/>
        </w:numPr>
        <w:rPr>
          <w:lang w:val="nl-NL"/>
        </w:rPr>
      </w:pPr>
      <w:r w:rsidRPr="00944640">
        <w:rPr>
          <w:lang w:val="nl-NL"/>
        </w:rPr>
        <w:t>crotonaldehyde (ingedeeld als zeer giftig),</w:t>
      </w:r>
    </w:p>
    <w:p w:rsidR="00114A20" w:rsidRPr="00944640" w:rsidRDefault="00114A20" w:rsidP="00944640">
      <w:pPr>
        <w:pStyle w:val="ListParagraph"/>
        <w:numPr>
          <w:ilvl w:val="0"/>
          <w:numId w:val="107"/>
        </w:numPr>
        <w:rPr>
          <w:lang w:val="nl-NL"/>
        </w:rPr>
      </w:pPr>
      <w:r w:rsidRPr="00944640">
        <w:rPr>
          <w:lang w:val="nl-NL"/>
        </w:rPr>
        <w:t xml:space="preserve">chloroform (ingedeeld carcinogeen categorie </w:t>
      </w:r>
      <w:r w:rsidR="00987C34" w:rsidRPr="00944640">
        <w:rPr>
          <w:lang w:val="nl-NL"/>
        </w:rPr>
        <w:t>3</w:t>
      </w:r>
      <w:r w:rsidRPr="00944640">
        <w:rPr>
          <w:lang w:val="nl-NL"/>
        </w:rPr>
        <w:t>),</w:t>
      </w:r>
    </w:p>
    <w:p w:rsidR="00114A20" w:rsidRPr="00944640" w:rsidRDefault="00114A20" w:rsidP="00944640">
      <w:pPr>
        <w:pStyle w:val="ListParagraph"/>
        <w:numPr>
          <w:ilvl w:val="0"/>
          <w:numId w:val="107"/>
        </w:numPr>
        <w:rPr>
          <w:lang w:val="nl-NL"/>
        </w:rPr>
      </w:pPr>
      <w:r w:rsidRPr="00944640">
        <w:rPr>
          <w:lang w:val="nl-NL"/>
        </w:rPr>
        <w:t>tetrachloorkoolstof</w:t>
      </w:r>
      <w:r w:rsidR="00987C34" w:rsidRPr="00944640">
        <w:rPr>
          <w:lang w:val="nl-NL"/>
        </w:rPr>
        <w:t xml:space="preserve"> (ingedeeld als giftig en carcinogeen categorie 3)</w:t>
      </w:r>
    </w:p>
    <w:p w:rsidR="00114A20" w:rsidRDefault="00114A20" w:rsidP="004F40A7">
      <w:pPr>
        <w:pStyle w:val="tit-5"/>
        <w:outlineLvl w:val="0"/>
      </w:pPr>
      <w:r>
        <w:t>Mogelijke effecten bevolking algemeen</w:t>
      </w:r>
    </w:p>
    <w:p w:rsidR="00114A20" w:rsidRDefault="00114A20" w:rsidP="00AF3F9E">
      <w:r w:rsidRPr="009B20BC">
        <w:t xml:space="preserve">Voor de verschillende parameters </w:t>
      </w:r>
      <w:r>
        <w:t>bestaan</w:t>
      </w:r>
      <w:r w:rsidRPr="009B20BC">
        <w:t xml:space="preserve"> er richtwaarden ter bescherming van de gezondheid van de mens</w:t>
      </w:r>
      <w:r>
        <w:t xml:space="preserve">. </w:t>
      </w:r>
      <w:r w:rsidRPr="009B20BC">
        <w:t xml:space="preserve">Deze richtwaarden </w:t>
      </w:r>
      <w:r>
        <w:t>kunnen zowel betrekking hebben op het voorkomen van acute effecten t.g.v. een kortstondige blootstelling aan (zeer) hoge concentraties als op het voorkomen van effecten die verbonden zijn aan een langdurige blootstelling</w:t>
      </w:r>
      <w:r w:rsidRPr="009B20BC">
        <w:t>.</w:t>
      </w:r>
      <w:r>
        <w:t xml:space="preserve"> In het eerste geval gelden de richtwaarden voor concentraties gemeten over een beperkte periode. In het tweede geval hebben de richtwaarden betrekking op een jaargemiddelde blootstelling.</w:t>
      </w:r>
    </w:p>
    <w:p w:rsidR="00114A20" w:rsidRDefault="00114A20" w:rsidP="00AF3F9E">
      <w:r>
        <w:t>Wat betreft carcinogene stoffen bestaat er geen ondergrens waarbij er geen effecten meer optreden. In dit geval stemt de richtwaarde overeen met een kans voor het ontwikkelen van kanker van 1 op 10</w:t>
      </w:r>
      <w:r>
        <w:rPr>
          <w:vertAlign w:val="superscript"/>
        </w:rPr>
        <w:t xml:space="preserve">6 </w:t>
      </w:r>
      <w:r>
        <w:t>bij een levenslange blootstelling, hetgeen internationaal aanvaard wordt als een verwaarloosbaar risiconiveau.</w:t>
      </w:r>
    </w:p>
    <w:p w:rsidR="00114A20" w:rsidRDefault="00114A20" w:rsidP="00AF3F9E">
      <w:r>
        <w:t>In onderstaande tabel</w:t>
      </w:r>
      <w:r w:rsidR="006F455B">
        <w:t>len</w:t>
      </w:r>
      <w:r>
        <w:t xml:space="preserve"> worden de berekende bijdragen t.h.v. de </w:t>
      </w:r>
      <w:r w:rsidR="00824FA9">
        <w:t>Polderdijk</w:t>
      </w:r>
      <w:r>
        <w:t xml:space="preserve"> </w:t>
      </w:r>
      <w:r w:rsidR="006F455B">
        <w:t xml:space="preserve">en St. Anna </w:t>
      </w:r>
      <w:r>
        <w:t>vergeleken met de betreffende richtwaarden en dit zowel voor de referentiesituatie als voor de geplande situatie.</w:t>
      </w:r>
    </w:p>
    <w:p w:rsidR="00114A20" w:rsidRDefault="00114A20" w:rsidP="000F0B61">
      <w:pPr>
        <w:pStyle w:val="tabel0"/>
      </w:pPr>
      <w:r w:rsidRPr="000F5070">
        <w:rPr>
          <w:lang w:val="nl-BE"/>
        </w:rPr>
        <w:lastRenderedPageBreak/>
        <w:t xml:space="preserve">Tabel </w:t>
      </w:r>
      <w:r w:rsidR="00C325A0">
        <w:fldChar w:fldCharType="begin"/>
      </w:r>
      <w:r w:rsidR="000F5070" w:rsidRPr="000F5070">
        <w:rPr>
          <w:lang w:val="nl-BE"/>
        </w:rPr>
        <w:instrText xml:space="preserve"> REF mens__toetsing_woningen \h </w:instrText>
      </w:r>
      <w:r w:rsidR="00C325A0">
        <w:fldChar w:fldCharType="separate"/>
      </w:r>
      <w:r w:rsidR="008102D8">
        <w:t>VIII.3.1</w:t>
      </w:r>
      <w:r w:rsidR="00C325A0">
        <w:fldChar w:fldCharType="end"/>
      </w:r>
      <w:r w:rsidR="000F5070">
        <w:t xml:space="preserve"> </w:t>
      </w:r>
      <w:r>
        <w:t>Toetsing berekende bijdragen emissies VT</w:t>
      </w:r>
      <w:r w:rsidR="00847671">
        <w:t>E</w:t>
      </w:r>
      <w:r>
        <w:t xml:space="preserve"> </w:t>
      </w:r>
      <w:r w:rsidR="00824FA9">
        <w:t xml:space="preserve">(na fase 2) </w:t>
      </w:r>
      <w:r>
        <w:t xml:space="preserve">t.h.v. </w:t>
      </w:r>
      <w:r w:rsidR="00824FA9">
        <w:t>de Polderdijk</w:t>
      </w:r>
      <w:r>
        <w:t xml:space="preserve"> aan richtwaarden ter bescherming van de gezondheid</w:t>
      </w:r>
    </w:p>
    <w:tbl>
      <w:tblPr>
        <w:tblW w:w="5402"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000"/>
        <w:gridCol w:w="1701"/>
        <w:gridCol w:w="1701"/>
      </w:tblGrid>
      <w:tr w:rsidR="00114A20" w:rsidRPr="00ED2D60" w:rsidTr="00824FA9">
        <w:trPr>
          <w:trHeight w:val="300"/>
        </w:trPr>
        <w:tc>
          <w:tcPr>
            <w:tcW w:w="2000" w:type="dxa"/>
            <w:shd w:val="clear" w:color="auto" w:fill="auto"/>
            <w:noWrap/>
            <w:vAlign w:val="center"/>
          </w:tcPr>
          <w:p w:rsidR="00114A20" w:rsidRPr="00ED2D60" w:rsidRDefault="00114A20" w:rsidP="000F0B61">
            <w:pPr>
              <w:pStyle w:val="normaltabel"/>
              <w:keepNext/>
              <w:widowControl/>
            </w:pPr>
            <w:r w:rsidRPr="00ED2D60">
              <w:t>VOS, in µg/m³</w:t>
            </w:r>
          </w:p>
        </w:tc>
        <w:tc>
          <w:tcPr>
            <w:tcW w:w="1701" w:type="dxa"/>
            <w:vAlign w:val="center"/>
          </w:tcPr>
          <w:p w:rsidR="00114A20" w:rsidRPr="00ED2D60" w:rsidRDefault="00114A20" w:rsidP="00D525FE">
            <w:pPr>
              <w:pStyle w:val="normaltabel"/>
              <w:keepNext/>
              <w:widowControl/>
            </w:pPr>
            <w:r w:rsidRPr="00ED2D60">
              <w:t>Bijdrage emissies VT</w:t>
            </w:r>
            <w:r w:rsidR="00987C34">
              <w:t>E</w:t>
            </w:r>
            <w:r w:rsidRPr="00ED2D60">
              <w:t xml:space="preserve"> t.h.v. </w:t>
            </w:r>
            <w:r w:rsidR="00D525FE">
              <w:t>de  Polderdijkweg</w:t>
            </w:r>
            <w:r w:rsidR="006F455B">
              <w:t>, µg/m³</w:t>
            </w:r>
          </w:p>
        </w:tc>
        <w:tc>
          <w:tcPr>
            <w:tcW w:w="1701" w:type="dxa"/>
            <w:vAlign w:val="center"/>
          </w:tcPr>
          <w:p w:rsidR="00114A20" w:rsidRPr="00ED2D60" w:rsidRDefault="00114A20" w:rsidP="000F0B61">
            <w:pPr>
              <w:pStyle w:val="normaltabel"/>
              <w:keepNext/>
              <w:widowControl/>
            </w:pPr>
            <w:r w:rsidRPr="00ED2D60">
              <w:t>richtwaarde / toetsingswaarde</w:t>
            </w:r>
            <w:r w:rsidR="006F455B">
              <w:t>, µg/m³</w:t>
            </w:r>
          </w:p>
        </w:tc>
      </w:tr>
      <w:tr w:rsidR="00824FA9" w:rsidRPr="00ED2D60" w:rsidTr="006F455B">
        <w:trPr>
          <w:trHeight w:val="300"/>
        </w:trPr>
        <w:tc>
          <w:tcPr>
            <w:tcW w:w="2000" w:type="dxa"/>
            <w:shd w:val="clear" w:color="auto" w:fill="auto"/>
            <w:noWrap/>
            <w:vAlign w:val="center"/>
          </w:tcPr>
          <w:p w:rsidR="00824FA9" w:rsidRPr="00ED2D60" w:rsidRDefault="00824FA9" w:rsidP="000F0B61">
            <w:pPr>
              <w:pStyle w:val="normaltabel"/>
              <w:keepNext/>
              <w:widowControl/>
            </w:pPr>
            <w:r w:rsidRPr="00ED2D60">
              <w:t>crotonaldehyde</w:t>
            </w:r>
          </w:p>
        </w:tc>
        <w:tc>
          <w:tcPr>
            <w:tcW w:w="1701" w:type="dxa"/>
            <w:shd w:val="clear" w:color="auto" w:fill="auto"/>
            <w:noWrap/>
            <w:vAlign w:val="center"/>
          </w:tcPr>
          <w:p w:rsidR="00824FA9" w:rsidRPr="00E37235" w:rsidRDefault="00824FA9" w:rsidP="00824FA9">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0,05</w:t>
            </w:r>
          </w:p>
        </w:tc>
        <w:tc>
          <w:tcPr>
            <w:tcW w:w="1701" w:type="dxa"/>
            <w:vAlign w:val="center"/>
          </w:tcPr>
          <w:p w:rsidR="00824FA9" w:rsidRPr="00ED2D60" w:rsidRDefault="00703A85" w:rsidP="006F455B">
            <w:pPr>
              <w:pStyle w:val="normaltabel"/>
              <w:keepNext/>
              <w:widowControl/>
              <w:jc w:val="left"/>
            </w:pPr>
            <w:r>
              <w:t>27</w:t>
            </w:r>
            <w:r w:rsidR="00824FA9" w:rsidRPr="00ED2D60">
              <w:t xml:space="preserve"> </w:t>
            </w:r>
            <w:r w:rsidR="006F455B">
              <w:t xml:space="preserve">      </w:t>
            </w:r>
            <w:r w:rsidR="00824FA9">
              <w:t>(1)</w:t>
            </w:r>
          </w:p>
        </w:tc>
      </w:tr>
      <w:tr w:rsidR="00824FA9" w:rsidRPr="00ED2D60" w:rsidTr="006F455B">
        <w:trPr>
          <w:trHeight w:val="300"/>
        </w:trPr>
        <w:tc>
          <w:tcPr>
            <w:tcW w:w="2000" w:type="dxa"/>
            <w:shd w:val="clear" w:color="auto" w:fill="auto"/>
            <w:noWrap/>
            <w:vAlign w:val="center"/>
          </w:tcPr>
          <w:p w:rsidR="00824FA9" w:rsidRPr="00ED2D60" w:rsidRDefault="00824FA9" w:rsidP="000F0B61">
            <w:pPr>
              <w:pStyle w:val="normaltabel"/>
              <w:keepNext/>
              <w:widowControl/>
            </w:pPr>
            <w:r>
              <w:t>benzeen</w:t>
            </w:r>
          </w:p>
        </w:tc>
        <w:tc>
          <w:tcPr>
            <w:tcW w:w="1701" w:type="dxa"/>
            <w:shd w:val="clear" w:color="auto" w:fill="auto"/>
            <w:noWrap/>
            <w:vAlign w:val="center"/>
          </w:tcPr>
          <w:p w:rsidR="00824FA9" w:rsidRPr="00E37235" w:rsidRDefault="00824FA9" w:rsidP="00824FA9">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0,00</w:t>
            </w:r>
          </w:p>
        </w:tc>
        <w:tc>
          <w:tcPr>
            <w:tcW w:w="1701" w:type="dxa"/>
            <w:vAlign w:val="center"/>
          </w:tcPr>
          <w:p w:rsidR="00F077DA" w:rsidRDefault="00824FA9" w:rsidP="00F077DA">
            <w:pPr>
              <w:pStyle w:val="normaltabel"/>
              <w:keepNext/>
              <w:widowControl/>
              <w:jc w:val="left"/>
            </w:pPr>
            <w:r>
              <w:t xml:space="preserve">5 </w:t>
            </w:r>
            <w:r w:rsidR="006F455B">
              <w:t xml:space="preserve">        </w:t>
            </w:r>
            <w:r>
              <w:t>(2)</w:t>
            </w:r>
            <w:r>
              <w:br/>
              <w:t>0,17</w:t>
            </w:r>
            <w:r w:rsidRPr="00ED2D60">
              <w:t xml:space="preserve"> </w:t>
            </w:r>
            <w:r w:rsidR="006F455B">
              <w:t xml:space="preserve">  </w:t>
            </w:r>
            <w:r w:rsidR="00106E5B">
              <w:t xml:space="preserve"> </w:t>
            </w:r>
            <w:r>
              <w:t>(3)</w:t>
            </w:r>
          </w:p>
        </w:tc>
      </w:tr>
      <w:tr w:rsidR="00824FA9" w:rsidRPr="00ED2D60" w:rsidTr="006F455B">
        <w:trPr>
          <w:trHeight w:val="300"/>
        </w:trPr>
        <w:tc>
          <w:tcPr>
            <w:tcW w:w="2000" w:type="dxa"/>
            <w:shd w:val="clear" w:color="auto" w:fill="auto"/>
            <w:noWrap/>
            <w:vAlign w:val="center"/>
          </w:tcPr>
          <w:p w:rsidR="00824FA9" w:rsidRPr="00ED2D60" w:rsidRDefault="00824FA9" w:rsidP="000F0B61">
            <w:pPr>
              <w:pStyle w:val="normaltabel"/>
              <w:keepNext/>
              <w:widowControl/>
            </w:pPr>
            <w:r>
              <w:t>chloroform</w:t>
            </w:r>
          </w:p>
        </w:tc>
        <w:tc>
          <w:tcPr>
            <w:tcW w:w="1701" w:type="dxa"/>
            <w:shd w:val="clear" w:color="auto" w:fill="auto"/>
            <w:noWrap/>
            <w:vAlign w:val="center"/>
          </w:tcPr>
          <w:p w:rsidR="00824FA9" w:rsidRPr="00E37235" w:rsidRDefault="00824FA9" w:rsidP="00824FA9">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0,33</w:t>
            </w:r>
          </w:p>
        </w:tc>
        <w:tc>
          <w:tcPr>
            <w:tcW w:w="1701" w:type="dxa"/>
            <w:vAlign w:val="center"/>
          </w:tcPr>
          <w:p w:rsidR="00F077DA" w:rsidRDefault="00703A85" w:rsidP="00F077DA">
            <w:pPr>
              <w:pStyle w:val="normaltabel"/>
              <w:keepNext/>
              <w:widowControl/>
              <w:jc w:val="left"/>
            </w:pPr>
            <w:r>
              <w:t>100</w:t>
            </w:r>
            <w:r w:rsidR="00824FA9" w:rsidRPr="00ED2D60">
              <w:rPr>
                <w:szCs w:val="22"/>
              </w:rPr>
              <w:t xml:space="preserve"> </w:t>
            </w:r>
            <w:r w:rsidR="006F455B">
              <w:rPr>
                <w:szCs w:val="22"/>
              </w:rPr>
              <w:t xml:space="preserve">   </w:t>
            </w:r>
            <w:r w:rsidR="00824FA9">
              <w:t>(4)</w:t>
            </w:r>
          </w:p>
        </w:tc>
      </w:tr>
      <w:tr w:rsidR="00824FA9" w:rsidRPr="00ED2D60" w:rsidTr="006F455B">
        <w:trPr>
          <w:trHeight w:val="300"/>
        </w:trPr>
        <w:tc>
          <w:tcPr>
            <w:tcW w:w="2000" w:type="dxa"/>
            <w:shd w:val="clear" w:color="auto" w:fill="auto"/>
            <w:noWrap/>
            <w:vAlign w:val="center"/>
          </w:tcPr>
          <w:p w:rsidR="00824FA9" w:rsidRDefault="00824FA9" w:rsidP="000F0B61">
            <w:pPr>
              <w:pStyle w:val="normaltabel"/>
              <w:keepNext/>
              <w:widowControl/>
            </w:pPr>
            <w:r>
              <w:t>tertrachloorkoolstof</w:t>
            </w:r>
          </w:p>
        </w:tc>
        <w:tc>
          <w:tcPr>
            <w:tcW w:w="1701" w:type="dxa"/>
            <w:shd w:val="clear" w:color="auto" w:fill="auto"/>
            <w:noWrap/>
            <w:vAlign w:val="center"/>
          </w:tcPr>
          <w:p w:rsidR="00824FA9" w:rsidRPr="00E37235" w:rsidRDefault="00824FA9" w:rsidP="00824FA9">
            <w:pPr>
              <w:keepNext/>
              <w:spacing w:before="0" w:after="0" w:line="240" w:lineRule="auto"/>
              <w:jc w:val="center"/>
              <w:rPr>
                <w:rFonts w:asciiTheme="minorHAnsi" w:hAnsiTheme="minorHAnsi" w:cstheme="minorHAnsi"/>
                <w:sz w:val="18"/>
                <w:szCs w:val="18"/>
                <w:lang w:val="nl-NL" w:eastAsia="nl-NL"/>
              </w:rPr>
            </w:pPr>
            <w:r w:rsidRPr="00E37235">
              <w:rPr>
                <w:rFonts w:asciiTheme="minorHAnsi" w:hAnsiTheme="minorHAnsi" w:cstheme="minorHAnsi"/>
                <w:sz w:val="18"/>
                <w:szCs w:val="18"/>
              </w:rPr>
              <w:t>0,19</w:t>
            </w:r>
          </w:p>
        </w:tc>
        <w:tc>
          <w:tcPr>
            <w:tcW w:w="1701" w:type="dxa"/>
            <w:vAlign w:val="center"/>
          </w:tcPr>
          <w:p w:rsidR="00F077DA" w:rsidRDefault="00824FA9" w:rsidP="00F077DA">
            <w:pPr>
              <w:pStyle w:val="normaltabel"/>
              <w:keepNext/>
              <w:widowControl/>
              <w:jc w:val="left"/>
            </w:pPr>
            <w:r>
              <w:t xml:space="preserve">60 </w:t>
            </w:r>
            <w:r w:rsidR="006F455B">
              <w:t xml:space="preserve">    </w:t>
            </w:r>
            <w:r w:rsidR="00106E5B">
              <w:t xml:space="preserve"> </w:t>
            </w:r>
            <w:r>
              <w:t>(5</w:t>
            </w:r>
            <w:r w:rsidR="00106E5B">
              <w:t>)</w:t>
            </w:r>
          </w:p>
        </w:tc>
      </w:tr>
    </w:tbl>
    <w:p w:rsidR="00987C34" w:rsidRDefault="00987C34" w:rsidP="004B1FE3">
      <w:pPr>
        <w:pStyle w:val="voetnoottabel"/>
        <w:keepNext/>
        <w:widowControl/>
        <w:numPr>
          <w:ilvl w:val="0"/>
          <w:numId w:val="115"/>
        </w:numPr>
      </w:pPr>
      <w:r w:rsidRPr="007C7EAC">
        <w:t xml:space="preserve">waarde afgeleid uit TLV-waarde overeenkomstig criterium in richtlijnenboek lucht voor beoordeling t.o.v. </w:t>
      </w:r>
      <w:r w:rsidR="00703A85" w:rsidRPr="007C7EAC">
        <w:t xml:space="preserve">. </w:t>
      </w:r>
      <w:r w:rsidR="00703A85">
        <w:t xml:space="preserve">globale bevolking (zie ook hoofdstuk lucht) </w:t>
      </w:r>
    </w:p>
    <w:p w:rsidR="004B1FE3" w:rsidRDefault="00987C34" w:rsidP="004B1FE3">
      <w:pPr>
        <w:pStyle w:val="voetnoottabel"/>
        <w:keepNext/>
        <w:widowControl/>
        <w:numPr>
          <w:ilvl w:val="0"/>
          <w:numId w:val="115"/>
        </w:numPr>
      </w:pPr>
      <w:r>
        <w:t>Wettelijke kwaliteitsdoelstelling</w:t>
      </w:r>
    </w:p>
    <w:p w:rsidR="004B1FE3" w:rsidRDefault="00987C34" w:rsidP="004B1FE3">
      <w:pPr>
        <w:pStyle w:val="voetnoottabel"/>
        <w:keepNext/>
        <w:widowControl/>
        <w:numPr>
          <w:ilvl w:val="0"/>
          <w:numId w:val="115"/>
        </w:numPr>
      </w:pPr>
      <w:r>
        <w:t>WGO-richtwaarde</w:t>
      </w:r>
    </w:p>
    <w:p w:rsidR="004B1FE3" w:rsidRDefault="00987C34" w:rsidP="004B1FE3">
      <w:pPr>
        <w:pStyle w:val="voetnoottabel"/>
        <w:keepNext/>
        <w:widowControl/>
        <w:numPr>
          <w:ilvl w:val="0"/>
          <w:numId w:val="115"/>
        </w:numPr>
      </w:pPr>
      <w:r>
        <w:t xml:space="preserve">Nederlandse </w:t>
      </w:r>
      <w:r w:rsidR="00703A85">
        <w:t>MTR-waarde</w:t>
      </w:r>
    </w:p>
    <w:p w:rsidR="00987C34" w:rsidRDefault="00987C34" w:rsidP="004B1FE3">
      <w:pPr>
        <w:pStyle w:val="voetnoottabel"/>
        <w:keepNext/>
        <w:widowControl/>
        <w:numPr>
          <w:ilvl w:val="0"/>
          <w:numId w:val="115"/>
        </w:numPr>
      </w:pPr>
      <w:r>
        <w:t>Nederlandse MTR-waarde</w:t>
      </w:r>
    </w:p>
    <w:p w:rsidR="006F455B" w:rsidRDefault="006F455B" w:rsidP="006F455B">
      <w:pPr>
        <w:pStyle w:val="tabel0"/>
      </w:pPr>
      <w:r w:rsidRPr="000F5070">
        <w:rPr>
          <w:lang w:val="nl-BE"/>
        </w:rPr>
        <w:t xml:space="preserve">Tabel </w:t>
      </w:r>
      <w:r w:rsidR="00C325A0">
        <w:fldChar w:fldCharType="begin"/>
      </w:r>
      <w:r w:rsidRPr="000F5070">
        <w:rPr>
          <w:lang w:val="nl-BE"/>
        </w:rPr>
        <w:instrText xml:space="preserve"> REF mens__toetsing_woningen \h </w:instrText>
      </w:r>
      <w:r w:rsidR="00C325A0">
        <w:fldChar w:fldCharType="separate"/>
      </w:r>
      <w:r w:rsidR="008102D8">
        <w:t>VIII.3.1</w:t>
      </w:r>
      <w:r w:rsidR="00C325A0">
        <w:fldChar w:fldCharType="end"/>
      </w:r>
      <w:r>
        <w:t xml:space="preserve"> Toetsing berekende bijdragen emissies VTE (na fase 2) t.h.v. LO (St-Anna)  aan richtwaarden ter bescherming van de gezondheid</w:t>
      </w:r>
    </w:p>
    <w:tbl>
      <w:tblPr>
        <w:tblW w:w="5402"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000"/>
        <w:gridCol w:w="1701"/>
        <w:gridCol w:w="1701"/>
      </w:tblGrid>
      <w:tr w:rsidR="006F455B" w:rsidRPr="00ED2D60" w:rsidTr="006F455B">
        <w:trPr>
          <w:trHeight w:val="300"/>
        </w:trPr>
        <w:tc>
          <w:tcPr>
            <w:tcW w:w="2000" w:type="dxa"/>
            <w:shd w:val="clear" w:color="auto" w:fill="auto"/>
            <w:noWrap/>
            <w:vAlign w:val="center"/>
          </w:tcPr>
          <w:p w:rsidR="006F455B" w:rsidRPr="00ED2D60" w:rsidRDefault="006F455B" w:rsidP="006F455B">
            <w:pPr>
              <w:pStyle w:val="normaltabel"/>
              <w:keepNext/>
              <w:widowControl/>
            </w:pPr>
            <w:r w:rsidRPr="00ED2D60">
              <w:t>VOS, in µg/m³</w:t>
            </w:r>
          </w:p>
        </w:tc>
        <w:tc>
          <w:tcPr>
            <w:tcW w:w="1701" w:type="dxa"/>
            <w:vAlign w:val="center"/>
          </w:tcPr>
          <w:p w:rsidR="006F455B" w:rsidRPr="00ED2D60" w:rsidRDefault="006F455B" w:rsidP="006F455B">
            <w:pPr>
              <w:pStyle w:val="normaltabel"/>
              <w:keepNext/>
              <w:widowControl/>
            </w:pPr>
            <w:r w:rsidRPr="00ED2D60">
              <w:t>Bijdrage emissies VT</w:t>
            </w:r>
            <w:r>
              <w:t>E</w:t>
            </w:r>
            <w:r w:rsidRPr="00ED2D60">
              <w:t xml:space="preserve"> t.h.v. </w:t>
            </w:r>
            <w:r>
              <w:t>de  Polderdijkweg, µg/m³</w:t>
            </w:r>
          </w:p>
        </w:tc>
        <w:tc>
          <w:tcPr>
            <w:tcW w:w="1701" w:type="dxa"/>
            <w:vAlign w:val="center"/>
          </w:tcPr>
          <w:p w:rsidR="006F455B" w:rsidRPr="00ED2D60" w:rsidRDefault="006F455B" w:rsidP="006F455B">
            <w:pPr>
              <w:pStyle w:val="normaltabel"/>
              <w:keepNext/>
              <w:widowControl/>
            </w:pPr>
            <w:r w:rsidRPr="00ED2D60">
              <w:t>richtwaarde / toetsingswaarde</w:t>
            </w:r>
            <w:r>
              <w:t>, µg/m³</w:t>
            </w:r>
          </w:p>
        </w:tc>
      </w:tr>
      <w:tr w:rsidR="006F455B" w:rsidRPr="00ED2D60" w:rsidTr="006F455B">
        <w:trPr>
          <w:trHeight w:val="300"/>
        </w:trPr>
        <w:tc>
          <w:tcPr>
            <w:tcW w:w="2000" w:type="dxa"/>
            <w:shd w:val="clear" w:color="auto" w:fill="auto"/>
            <w:noWrap/>
            <w:vAlign w:val="center"/>
          </w:tcPr>
          <w:p w:rsidR="006F455B" w:rsidRPr="00ED2D60" w:rsidRDefault="006F455B" w:rsidP="006F455B">
            <w:pPr>
              <w:pStyle w:val="normaltabel"/>
              <w:keepNext/>
              <w:widowControl/>
            </w:pPr>
            <w:r w:rsidRPr="00ED2D60">
              <w:t>crotonaldehyde</w:t>
            </w:r>
          </w:p>
        </w:tc>
        <w:tc>
          <w:tcPr>
            <w:tcW w:w="1701" w:type="dxa"/>
            <w:shd w:val="clear" w:color="auto" w:fill="auto"/>
            <w:noWrap/>
            <w:vAlign w:val="center"/>
          </w:tcPr>
          <w:p w:rsidR="006F455B" w:rsidRPr="00E37235" w:rsidRDefault="006F455B" w:rsidP="006F455B">
            <w:pPr>
              <w:keepNext/>
              <w:spacing w:before="0" w:after="0" w:line="240" w:lineRule="auto"/>
              <w:jc w:val="center"/>
              <w:rPr>
                <w:rFonts w:asciiTheme="minorHAnsi" w:hAnsiTheme="minorHAnsi" w:cstheme="minorHAnsi"/>
                <w:sz w:val="18"/>
                <w:szCs w:val="18"/>
                <w:lang w:val="nl-NL" w:eastAsia="nl-NL"/>
              </w:rPr>
            </w:pPr>
            <w:r>
              <w:rPr>
                <w:sz w:val="18"/>
                <w:szCs w:val="18"/>
              </w:rPr>
              <w:t>0,009</w:t>
            </w:r>
          </w:p>
        </w:tc>
        <w:tc>
          <w:tcPr>
            <w:tcW w:w="1701" w:type="dxa"/>
            <w:vAlign w:val="center"/>
          </w:tcPr>
          <w:p w:rsidR="006F455B" w:rsidRPr="00ED2D60" w:rsidRDefault="006F455B" w:rsidP="006F455B">
            <w:pPr>
              <w:pStyle w:val="normaltabel"/>
              <w:keepNext/>
              <w:widowControl/>
            </w:pPr>
            <w:r>
              <w:t>1,4</w:t>
            </w:r>
            <w:r w:rsidRPr="00ED2D60">
              <w:t xml:space="preserve"> </w:t>
            </w:r>
            <w:r>
              <w:t xml:space="preserve">      (1)</w:t>
            </w:r>
          </w:p>
        </w:tc>
      </w:tr>
      <w:tr w:rsidR="006F455B" w:rsidRPr="00ED2D60" w:rsidTr="006F455B">
        <w:trPr>
          <w:trHeight w:val="300"/>
        </w:trPr>
        <w:tc>
          <w:tcPr>
            <w:tcW w:w="2000" w:type="dxa"/>
            <w:shd w:val="clear" w:color="auto" w:fill="auto"/>
            <w:noWrap/>
            <w:vAlign w:val="center"/>
          </w:tcPr>
          <w:p w:rsidR="006F455B" w:rsidRPr="00ED2D60" w:rsidRDefault="006F455B" w:rsidP="006F455B">
            <w:pPr>
              <w:pStyle w:val="normaltabel"/>
              <w:keepNext/>
              <w:widowControl/>
            </w:pPr>
            <w:r>
              <w:t>benzeen</w:t>
            </w:r>
          </w:p>
        </w:tc>
        <w:tc>
          <w:tcPr>
            <w:tcW w:w="1701" w:type="dxa"/>
            <w:shd w:val="clear" w:color="auto" w:fill="auto"/>
            <w:noWrap/>
            <w:vAlign w:val="center"/>
          </w:tcPr>
          <w:p w:rsidR="006F455B" w:rsidRPr="00E37235" w:rsidRDefault="006F455B" w:rsidP="006F455B">
            <w:pPr>
              <w:keepNext/>
              <w:spacing w:before="0" w:after="0" w:line="240" w:lineRule="auto"/>
              <w:jc w:val="center"/>
              <w:rPr>
                <w:rFonts w:asciiTheme="minorHAnsi" w:hAnsiTheme="minorHAnsi" w:cstheme="minorHAnsi"/>
                <w:sz w:val="18"/>
                <w:szCs w:val="18"/>
                <w:lang w:val="nl-NL" w:eastAsia="nl-NL"/>
              </w:rPr>
            </w:pPr>
            <w:r>
              <w:rPr>
                <w:sz w:val="18"/>
                <w:szCs w:val="18"/>
              </w:rPr>
              <w:t>0,00010</w:t>
            </w:r>
          </w:p>
        </w:tc>
        <w:tc>
          <w:tcPr>
            <w:tcW w:w="1701" w:type="dxa"/>
            <w:vAlign w:val="center"/>
          </w:tcPr>
          <w:p w:rsidR="006F455B" w:rsidRPr="00ED2D60" w:rsidRDefault="006F455B" w:rsidP="006F455B">
            <w:pPr>
              <w:pStyle w:val="normaltabel"/>
              <w:keepNext/>
              <w:widowControl/>
            </w:pPr>
            <w:r>
              <w:t>0,17</w:t>
            </w:r>
            <w:r w:rsidRPr="00ED2D60">
              <w:t xml:space="preserve"> </w:t>
            </w:r>
            <w:r>
              <w:t xml:space="preserve">    (2)</w:t>
            </w:r>
          </w:p>
        </w:tc>
      </w:tr>
      <w:tr w:rsidR="006F455B" w:rsidRPr="00ED2D60" w:rsidTr="006F455B">
        <w:trPr>
          <w:trHeight w:val="300"/>
        </w:trPr>
        <w:tc>
          <w:tcPr>
            <w:tcW w:w="2000" w:type="dxa"/>
            <w:shd w:val="clear" w:color="auto" w:fill="auto"/>
            <w:noWrap/>
            <w:vAlign w:val="center"/>
          </w:tcPr>
          <w:p w:rsidR="006F455B" w:rsidRPr="00ED2D60" w:rsidRDefault="006F455B" w:rsidP="006F455B">
            <w:pPr>
              <w:pStyle w:val="normaltabel"/>
              <w:keepNext/>
              <w:widowControl/>
            </w:pPr>
            <w:r>
              <w:t>chloroform</w:t>
            </w:r>
          </w:p>
        </w:tc>
        <w:tc>
          <w:tcPr>
            <w:tcW w:w="1701" w:type="dxa"/>
            <w:shd w:val="clear" w:color="auto" w:fill="auto"/>
            <w:noWrap/>
            <w:vAlign w:val="center"/>
          </w:tcPr>
          <w:p w:rsidR="006F455B" w:rsidRPr="00E37235" w:rsidRDefault="006F455B" w:rsidP="006F455B">
            <w:pPr>
              <w:keepNext/>
              <w:spacing w:before="0" w:after="0" w:line="240" w:lineRule="auto"/>
              <w:jc w:val="center"/>
              <w:rPr>
                <w:rFonts w:asciiTheme="minorHAnsi" w:hAnsiTheme="minorHAnsi" w:cstheme="minorHAnsi"/>
                <w:sz w:val="18"/>
                <w:szCs w:val="18"/>
                <w:lang w:val="nl-NL" w:eastAsia="nl-NL"/>
              </w:rPr>
            </w:pPr>
            <w:r>
              <w:rPr>
                <w:sz w:val="18"/>
                <w:szCs w:val="18"/>
              </w:rPr>
              <w:t>0,054</w:t>
            </w:r>
          </w:p>
        </w:tc>
        <w:tc>
          <w:tcPr>
            <w:tcW w:w="1701" w:type="dxa"/>
            <w:vAlign w:val="center"/>
          </w:tcPr>
          <w:p w:rsidR="006F455B" w:rsidRPr="00ED2D60" w:rsidRDefault="006F455B" w:rsidP="006F455B">
            <w:pPr>
              <w:pStyle w:val="normaltabel"/>
              <w:keepNext/>
              <w:widowControl/>
            </w:pPr>
            <w:r>
              <w:t>1</w:t>
            </w:r>
            <w:r w:rsidRPr="00ED2D60">
              <w:rPr>
                <w:szCs w:val="22"/>
              </w:rPr>
              <w:t xml:space="preserve"> </w:t>
            </w:r>
            <w:r>
              <w:t xml:space="preserve">         (3)</w:t>
            </w:r>
          </w:p>
        </w:tc>
      </w:tr>
      <w:tr w:rsidR="006F455B" w:rsidRPr="00ED2D60" w:rsidTr="006F455B">
        <w:trPr>
          <w:trHeight w:val="300"/>
        </w:trPr>
        <w:tc>
          <w:tcPr>
            <w:tcW w:w="2000" w:type="dxa"/>
            <w:shd w:val="clear" w:color="auto" w:fill="auto"/>
            <w:noWrap/>
            <w:vAlign w:val="center"/>
          </w:tcPr>
          <w:p w:rsidR="006F455B" w:rsidRDefault="006F455B" w:rsidP="006F455B">
            <w:pPr>
              <w:pStyle w:val="normaltabel"/>
              <w:keepNext/>
              <w:widowControl/>
            </w:pPr>
            <w:r>
              <w:t>tertrachloorkoolstof</w:t>
            </w:r>
          </w:p>
        </w:tc>
        <w:tc>
          <w:tcPr>
            <w:tcW w:w="1701" w:type="dxa"/>
            <w:shd w:val="clear" w:color="auto" w:fill="auto"/>
            <w:noWrap/>
            <w:vAlign w:val="center"/>
          </w:tcPr>
          <w:p w:rsidR="006F455B" w:rsidRPr="00E37235" w:rsidRDefault="006F455B" w:rsidP="006F455B">
            <w:pPr>
              <w:keepNext/>
              <w:spacing w:before="0" w:after="0" w:line="240" w:lineRule="auto"/>
              <w:jc w:val="center"/>
              <w:rPr>
                <w:rFonts w:asciiTheme="minorHAnsi" w:hAnsiTheme="minorHAnsi" w:cstheme="minorHAnsi"/>
                <w:sz w:val="18"/>
                <w:szCs w:val="18"/>
                <w:lang w:val="nl-NL" w:eastAsia="nl-NL"/>
              </w:rPr>
            </w:pPr>
            <w:r>
              <w:rPr>
                <w:sz w:val="18"/>
                <w:szCs w:val="18"/>
              </w:rPr>
              <w:t>0,030</w:t>
            </w:r>
          </w:p>
        </w:tc>
        <w:tc>
          <w:tcPr>
            <w:tcW w:w="1701" w:type="dxa"/>
            <w:vAlign w:val="center"/>
          </w:tcPr>
          <w:p w:rsidR="006F455B" w:rsidRDefault="006F455B" w:rsidP="006F455B">
            <w:pPr>
              <w:pStyle w:val="normaltabel"/>
              <w:keepNext/>
              <w:widowControl/>
            </w:pPr>
            <w:r>
              <w:t>1          (4)</w:t>
            </w:r>
          </w:p>
        </w:tc>
      </w:tr>
    </w:tbl>
    <w:p w:rsidR="00F805AB" w:rsidRPr="00F805AB" w:rsidRDefault="00F077DA" w:rsidP="00F805AB">
      <w:pPr>
        <w:pStyle w:val="voetnoottabel"/>
        <w:keepNext/>
        <w:widowControl/>
        <w:numPr>
          <w:ilvl w:val="0"/>
          <w:numId w:val="121"/>
        </w:numPr>
      </w:pPr>
      <w:r w:rsidRPr="00F077DA">
        <w:t xml:space="preserve">waarde afgeleid uit TLV-waarde overeenkomstig criterium in richtlijnenboek lucht voor beoordeling t.o.v. . globale bevolking (zie ook hoofdstuk lucht) </w:t>
      </w:r>
    </w:p>
    <w:p w:rsidR="006F455B" w:rsidRDefault="006F455B" w:rsidP="006F455B">
      <w:pPr>
        <w:pStyle w:val="voetnoottabel"/>
        <w:keepNext/>
        <w:widowControl/>
        <w:numPr>
          <w:ilvl w:val="0"/>
          <w:numId w:val="121"/>
        </w:numPr>
      </w:pPr>
      <w:r>
        <w:t>WGO-richtwaarde</w:t>
      </w:r>
    </w:p>
    <w:p w:rsidR="006F455B" w:rsidRDefault="006F455B" w:rsidP="006F455B">
      <w:pPr>
        <w:pStyle w:val="voetnoottabel"/>
        <w:keepNext/>
        <w:widowControl/>
        <w:numPr>
          <w:ilvl w:val="0"/>
          <w:numId w:val="121"/>
        </w:numPr>
      </w:pPr>
      <w:r>
        <w:t>Nederlandse streefwaarde</w:t>
      </w:r>
    </w:p>
    <w:p w:rsidR="00F077DA" w:rsidRDefault="006F455B" w:rsidP="00F077DA">
      <w:pPr>
        <w:pStyle w:val="voetnoottabel"/>
        <w:keepNext/>
        <w:widowControl/>
        <w:numPr>
          <w:ilvl w:val="0"/>
          <w:numId w:val="121"/>
        </w:numPr>
      </w:pPr>
      <w:r>
        <w:t>Nederlandse streefwaarde</w:t>
      </w:r>
    </w:p>
    <w:p w:rsidR="006F455B" w:rsidRDefault="006F455B" w:rsidP="00824FA9">
      <w:pPr>
        <w:rPr>
          <w:lang w:val="nl-NL"/>
        </w:rPr>
      </w:pPr>
      <w:r>
        <w:rPr>
          <w:lang w:val="nl-NL"/>
        </w:rPr>
        <w:t>De totale bijdrage in de maximalistische beoordeling van de toekomstige situatie overschrijdt voor geen van de parameters</w:t>
      </w:r>
      <w:r w:rsidR="00106E5B">
        <w:rPr>
          <w:lang w:val="nl-NL"/>
        </w:rPr>
        <w:t>, noch t.h.v. de Polderdijk als t.h.v. LO (St-Anna)</w:t>
      </w:r>
      <w:r>
        <w:rPr>
          <w:lang w:val="nl-NL"/>
        </w:rPr>
        <w:t xml:space="preserve"> de toetsingswaarde. </w:t>
      </w:r>
    </w:p>
    <w:p w:rsidR="00461277" w:rsidRDefault="00461277" w:rsidP="00461277">
      <w:pPr>
        <w:rPr>
          <w:lang w:val="nl-NL"/>
        </w:rPr>
      </w:pPr>
      <w:r>
        <w:rPr>
          <w:lang w:val="nl-NL"/>
        </w:rPr>
        <w:t xml:space="preserve">De totale bijdrage van het bedrijf (zie ook tabel </w:t>
      </w:r>
      <w:r w:rsidR="00C325A0">
        <w:rPr>
          <w:lang w:val="nl-NL"/>
        </w:rPr>
        <w:fldChar w:fldCharType="begin"/>
      </w:r>
      <w:r>
        <w:rPr>
          <w:lang w:val="nl-NL"/>
        </w:rPr>
        <w:instrText xml:space="preserve"> REF t_lucht_TCMR_max_berekend_woonzone \h </w:instrText>
      </w:r>
      <w:r w:rsidR="00C325A0">
        <w:rPr>
          <w:lang w:val="nl-NL"/>
        </w:rPr>
      </w:r>
      <w:r w:rsidR="00C325A0">
        <w:rPr>
          <w:lang w:val="nl-NL"/>
        </w:rPr>
        <w:fldChar w:fldCharType="separate"/>
      </w:r>
      <w:r w:rsidR="008102D8">
        <w:t>VIII.2.21</w:t>
      </w:r>
      <w:r w:rsidR="00C325A0">
        <w:rPr>
          <w:lang w:val="nl-NL"/>
        </w:rPr>
        <w:fldChar w:fldCharType="end"/>
      </w:r>
      <w:r>
        <w:rPr>
          <w:lang w:val="nl-NL"/>
        </w:rPr>
        <w:t xml:space="preserve">.B) inzake chloroform t.h.v. L.O. –St-Anneke is als belangrijk, en t.h.v. Ekeren als relevant te aanzien bij vergelijking met de in Nederland gehanteerde streefwaarden (die beschouwd worden als een niveau van duurzame milieukwaliteit op lange termijn). </w:t>
      </w:r>
    </w:p>
    <w:p w:rsidR="00C447E8" w:rsidRDefault="00C447E8" w:rsidP="00C447E8">
      <w:pPr>
        <w:rPr>
          <w:lang w:val="nl-NL"/>
        </w:rPr>
      </w:pPr>
      <w:r>
        <w:rPr>
          <w:lang w:val="nl-NL"/>
        </w:rPr>
        <w:t>Indien de opgeslagen hoeveelheid chloroform waarmee de emissies berekend worden kleiner is dan ca. 9.260 ton</w:t>
      </w:r>
      <w:r>
        <w:rPr>
          <w:rStyle w:val="FootnoteReference"/>
          <w:lang w:val="nl-NL"/>
        </w:rPr>
        <w:footnoteReference w:id="65"/>
      </w:r>
      <w:r>
        <w:rPr>
          <w:lang w:val="nl-NL"/>
        </w:rPr>
        <w:t xml:space="preserve"> is de totale bijdrage van het bedrijf t.h.v. L.O.–St-Anneke niet meer als belangrijk te aanzien (&lt; 5% t.o.v. de Nederlandse streefwaarde).</w:t>
      </w:r>
    </w:p>
    <w:p w:rsidR="00461277" w:rsidRDefault="00461277" w:rsidP="00461277">
      <w:pPr>
        <w:rPr>
          <w:lang w:val="nl-NL"/>
        </w:rPr>
      </w:pPr>
      <w:r>
        <w:rPr>
          <w:lang w:val="nl-NL"/>
        </w:rPr>
        <w:lastRenderedPageBreak/>
        <w:t xml:space="preserve">Wordt bij de beoordeling rekening gehouden met de MTR- waarde op zich, dan kan de bijdrage als verwaarloosbaar beschouwd worden. De MTR waarde is cfr de definiëring in Nederland te aanzien als een concentratie waaronder geen negatief effect te verwachten is of waarbij toelaatbare risico’s optreden (voor beoordeling van kankerverwekkende stoffen wordt over een toelaatbaar risico gesproken). </w:t>
      </w:r>
    </w:p>
    <w:p w:rsidR="00461277" w:rsidRDefault="00461277" w:rsidP="00461277">
      <w:pPr>
        <w:rPr>
          <w:lang w:val="nl-NL"/>
        </w:rPr>
      </w:pPr>
      <w:r>
        <w:rPr>
          <w:lang w:val="nl-NL"/>
        </w:rPr>
        <w:t xml:space="preserve">Gezien de definitie is de MTR-waarde de meest relevante toetsingswaarde voor de discipline mens, worden er geen significante negatieve effecten verwacht. </w:t>
      </w:r>
    </w:p>
    <w:p w:rsidR="00F077DA" w:rsidRDefault="00461277" w:rsidP="00F077DA">
      <w:pPr>
        <w:rPr>
          <w:b/>
          <w:spacing w:val="24"/>
          <w:lang w:val="nl-NL"/>
        </w:rPr>
      </w:pPr>
      <w:r>
        <w:rPr>
          <w:lang w:val="nl-NL"/>
        </w:rPr>
        <w:t>Voor de andere stoffen zijn de bijdragen minder relevant tot verwaarloosbaar bij toetsing aan de streefwaarden, en verwaarloosbaar bij vergelijking met de MTR waarden.</w:t>
      </w:r>
      <w:r w:rsidR="00106E5B">
        <w:br w:type="page"/>
      </w:r>
    </w:p>
    <w:p w:rsidR="00B94127" w:rsidRPr="00B639D8" w:rsidRDefault="00CB3B91" w:rsidP="004F40A7">
      <w:pPr>
        <w:pStyle w:val="Heading4"/>
      </w:pPr>
      <w:bookmarkStart w:id="902" w:name="_Toc311212695"/>
      <w:bookmarkStart w:id="903" w:name="_Toc311451962"/>
      <w:bookmarkStart w:id="904" w:name="_Toc312069323"/>
      <w:bookmarkStart w:id="905" w:name="_Toc298161820"/>
      <w:bookmarkStart w:id="906" w:name="_Toc298161845"/>
      <w:bookmarkStart w:id="907" w:name="_Toc298161846"/>
      <w:bookmarkStart w:id="908" w:name="_Toc312069324"/>
      <w:bookmarkEnd w:id="902"/>
      <w:bookmarkEnd w:id="903"/>
      <w:bookmarkEnd w:id="904"/>
      <w:bookmarkEnd w:id="905"/>
      <w:bookmarkEnd w:id="906"/>
      <w:bookmarkEnd w:id="907"/>
      <w:r w:rsidRPr="00CB3B91">
        <w:lastRenderedPageBreak/>
        <w:t>Geurhinder</w:t>
      </w:r>
      <w:bookmarkEnd w:id="908"/>
    </w:p>
    <w:p w:rsidR="00412753" w:rsidRPr="00EF4F02" w:rsidRDefault="00CB3B91" w:rsidP="00412753">
      <w:pPr>
        <w:rPr>
          <w:lang w:val="nl-NL"/>
        </w:rPr>
      </w:pPr>
      <w:r w:rsidRPr="00CB3B91">
        <w:rPr>
          <w:lang w:val="nl-NL"/>
        </w:rPr>
        <w:t xml:space="preserve">Op basis van de berekeningen van de potentiële emissies van  </w:t>
      </w:r>
      <w:r w:rsidR="000615B1" w:rsidRPr="00DF21FD">
        <w:rPr>
          <w:lang w:val="nl-NL"/>
        </w:rPr>
        <w:t>ethylacrylaten</w:t>
      </w:r>
      <w:r w:rsidRPr="00CB3B91">
        <w:rPr>
          <w:lang w:val="nl-NL"/>
        </w:rPr>
        <w:t xml:space="preserve"> wordt nauwelijks een verschil aangetoond tussen de berekende emissies in de actuele vergunde situatie (voor zover dit product zou gebruikt worden wat de laatste jaren niet het geval was) en de geplande situatie fase 2. Het gebruik van nieuwe druktanks met ademventielen van 100 mbar in de plaats van bestaande tanks met ademventielen van 18 mbar leidt zelfs tot een afname van de geuremissie. Omwille van de voorziene afname van de potentiële geuremissies wordt het dan ook niet noodzakelijk geacht een indicatieve berekening uit te voeren.</w:t>
      </w:r>
    </w:p>
    <w:p w:rsidR="00B94127" w:rsidRDefault="00B94127" w:rsidP="00C10756">
      <w:pPr>
        <w:pStyle w:val="Heading4"/>
      </w:pPr>
      <w:bookmarkStart w:id="909" w:name="_Ref311215456"/>
      <w:bookmarkStart w:id="910" w:name="_Toc312069325"/>
      <w:r>
        <w:t>Externe risico’s</w:t>
      </w:r>
      <w:bookmarkEnd w:id="909"/>
      <w:bookmarkEnd w:id="910"/>
    </w:p>
    <w:p w:rsidR="00B94127" w:rsidRDefault="00B94127" w:rsidP="00C10756">
      <w:pPr>
        <w:keepNext/>
        <w:rPr>
          <w:lang w:val="nl-NL"/>
        </w:rPr>
      </w:pPr>
      <w:r>
        <w:rPr>
          <w:lang w:val="nl-NL"/>
        </w:rPr>
        <w:t xml:space="preserve">Naar aanleiding van de geplande uitbreiding wordt er tevens een nieuw omgevingsveiligheidsrapport opgesteld. </w:t>
      </w:r>
    </w:p>
    <w:p w:rsidR="00B94127" w:rsidRDefault="00B94127" w:rsidP="00C10756">
      <w:pPr>
        <w:keepNext/>
        <w:rPr>
          <w:lang w:val="nl-NL"/>
        </w:rPr>
      </w:pPr>
      <w:r>
        <w:rPr>
          <w:lang w:val="nl-NL"/>
        </w:rPr>
        <w:t>Hoe dan ook mag gesteld worden dat de bevindingen van het OVR afdoende waarborgen zullen bieden m.b.t. het aspect externe risico’s.</w:t>
      </w:r>
    </w:p>
    <w:p w:rsidR="00C76A99" w:rsidRDefault="00C76A99" w:rsidP="00C76A99">
      <w:pPr>
        <w:rPr>
          <w:lang w:val="nl-NL"/>
        </w:rPr>
      </w:pPr>
      <w:r>
        <w:rPr>
          <w:lang w:val="nl-NL"/>
        </w:rPr>
        <w:t xml:space="preserve">De besluiten </w:t>
      </w:r>
      <w:r w:rsidR="00B1573D">
        <w:rPr>
          <w:lang w:val="nl-NL"/>
        </w:rPr>
        <w:t>van het OVR met goedkeuringscode OVR/11/23</w:t>
      </w:r>
      <w:r>
        <w:rPr>
          <w:lang w:val="nl-NL"/>
        </w:rPr>
        <w:t xml:space="preserve"> worden hieronder weergegeven. Er worden door de VR-deskundige geen wijzigingen meer verwacht hieraan. </w:t>
      </w:r>
    </w:p>
    <w:p w:rsidR="00C76A99" w:rsidRPr="002C7946" w:rsidRDefault="00C76A99" w:rsidP="00C76A99">
      <w:pPr>
        <w:rPr>
          <w:lang w:val="nl-NL"/>
        </w:rPr>
      </w:pPr>
    </w:p>
    <w:p w:rsidR="00C76A99" w:rsidRDefault="00C76A99" w:rsidP="00C76A99">
      <w:pPr>
        <w:pStyle w:val="NormalI"/>
        <w:ind w:left="284" w:firstLine="0"/>
        <w:rPr>
          <w:rFonts w:asciiTheme="minorHAnsi" w:hAnsiTheme="minorHAnsi" w:cstheme="minorHAnsi"/>
          <w:i/>
        </w:rPr>
      </w:pPr>
      <w:r w:rsidRPr="000C2D5A">
        <w:rPr>
          <w:rFonts w:asciiTheme="minorHAnsi" w:hAnsiTheme="minorHAnsi" w:cstheme="minorHAnsi"/>
          <w:i/>
          <w:smallCaps/>
        </w:rPr>
        <w:t>Externe risico’s</w:t>
      </w:r>
      <w:r w:rsidRPr="000C2D5A">
        <w:rPr>
          <w:rFonts w:asciiTheme="minorHAnsi" w:hAnsiTheme="minorHAnsi" w:cstheme="minorHAnsi"/>
          <w:i/>
        </w:rPr>
        <w:t xml:space="preserve"> – Uit de analyse in voorliggend rapport volgt dat de belangrijkste externe risico’s verband houden met de ontvlambare en de toxische vloeistoffen die aan</w:t>
      </w:r>
      <w:r w:rsidRPr="000C2D5A">
        <w:rPr>
          <w:rFonts w:asciiTheme="minorHAnsi" w:hAnsiTheme="minorHAnsi" w:cstheme="minorHAnsi"/>
          <w:i/>
        </w:rPr>
        <w:softHyphen/>
        <w:t xml:space="preserve">wezig kunnen zijn in de terminal van </w:t>
      </w:r>
      <w:fldSimple w:instr=" klant \h  \* MERGEFORMAT ">
        <w:r w:rsidR="00F077DA" w:rsidRPr="00F077DA">
          <w:rPr>
            <w:rFonts w:asciiTheme="minorHAnsi" w:hAnsiTheme="minorHAnsi" w:cstheme="minorHAnsi"/>
            <w:i/>
          </w:rPr>
          <w:t>Vopak Terminal Eurotank NV</w:t>
        </w:r>
        <w:r w:rsidR="008102D8">
          <w:t xml:space="preserve"> </w:t>
        </w:r>
      </w:fldSimple>
      <w:r w:rsidRPr="000C2D5A">
        <w:rPr>
          <w:rFonts w:asciiTheme="minorHAnsi" w:hAnsiTheme="minorHAnsi" w:cstheme="minorHAnsi"/>
          <w:i/>
        </w:rPr>
        <w:t>. De aard van de ri</w:t>
      </w:r>
      <w:r w:rsidRPr="000C2D5A">
        <w:rPr>
          <w:rFonts w:asciiTheme="minorHAnsi" w:hAnsiTheme="minorHAnsi" w:cstheme="minorHAnsi"/>
          <w:i/>
        </w:rPr>
        <w:softHyphen/>
        <w:t xml:space="preserve">sico’s blijft met de geplande uitbreiding ongewijzigd. </w:t>
      </w:r>
    </w:p>
    <w:p w:rsidR="00C76A99" w:rsidRDefault="00C76A99" w:rsidP="00C76A99">
      <w:pPr>
        <w:pStyle w:val="NormalI"/>
        <w:ind w:left="284" w:firstLine="0"/>
        <w:rPr>
          <w:rFonts w:asciiTheme="minorHAnsi" w:hAnsiTheme="minorHAnsi" w:cstheme="minorHAnsi"/>
          <w:i/>
        </w:rPr>
      </w:pPr>
    </w:p>
    <w:p w:rsidR="00C76A99" w:rsidRDefault="00C76A99" w:rsidP="00C76A99">
      <w:pPr>
        <w:pStyle w:val="NormalI"/>
        <w:ind w:left="284" w:firstLine="0"/>
        <w:rPr>
          <w:rFonts w:asciiTheme="minorHAnsi" w:hAnsiTheme="minorHAnsi" w:cstheme="minorHAnsi"/>
          <w:i/>
        </w:rPr>
      </w:pPr>
      <w:r w:rsidRPr="000C2D5A">
        <w:rPr>
          <w:rFonts w:asciiTheme="minorHAnsi" w:hAnsiTheme="minorHAnsi" w:cstheme="minorHAnsi"/>
          <w:i/>
          <w:smallCaps/>
        </w:rPr>
        <w:t>Plaatsgebonden risico</w:t>
      </w:r>
      <w:r w:rsidRPr="000C2D5A">
        <w:rPr>
          <w:rFonts w:asciiTheme="minorHAnsi" w:hAnsiTheme="minorHAnsi" w:cstheme="minorHAnsi"/>
          <w:i/>
        </w:rPr>
        <w:t xml:space="preserve"> - Aan de hand van de risicocriteria zoals deze in Vlaanderen gehanteerd wor</w:t>
      </w:r>
      <w:r w:rsidRPr="000C2D5A">
        <w:rPr>
          <w:rFonts w:asciiTheme="minorHAnsi" w:hAnsiTheme="minorHAnsi" w:cstheme="minorHAnsi"/>
          <w:i/>
        </w:rPr>
        <w:softHyphen/>
        <w:t>den, vindt men uit de resultaten van het plaatsgebonden risico van de ter</w:t>
      </w:r>
      <w:r w:rsidRPr="000C2D5A">
        <w:rPr>
          <w:rFonts w:asciiTheme="minorHAnsi" w:hAnsiTheme="minorHAnsi" w:cstheme="minorHAnsi"/>
          <w:i/>
        </w:rPr>
        <w:softHyphen/>
        <w:t xml:space="preserve">minal van </w:t>
      </w:r>
      <w:fldSimple w:instr=" klant \h  \* MERGEFORMAT ">
        <w:r w:rsidR="00F077DA" w:rsidRPr="00F077DA">
          <w:rPr>
            <w:rFonts w:asciiTheme="minorHAnsi" w:hAnsiTheme="minorHAnsi" w:cstheme="minorHAnsi"/>
            <w:i/>
          </w:rPr>
          <w:t>Vopak Terminal Eurotank NV</w:t>
        </w:r>
        <w:r w:rsidR="008102D8">
          <w:t xml:space="preserve"> </w:t>
        </w:r>
      </w:fldSimple>
      <w:r w:rsidRPr="000C2D5A">
        <w:rPr>
          <w:rFonts w:asciiTheme="minorHAnsi" w:hAnsiTheme="minorHAnsi" w:cstheme="minorHAnsi"/>
          <w:i/>
        </w:rPr>
        <w:t xml:space="preserve"> het volgende, zowel in de vergunde situatie als voor de uitbreiding in fase 1 en fase 2:</w:t>
      </w:r>
    </w:p>
    <w:p w:rsidR="00C76A99" w:rsidRDefault="00C76A99" w:rsidP="00C76A99">
      <w:pPr>
        <w:pStyle w:val="NormBul"/>
        <w:numPr>
          <w:ilvl w:val="0"/>
          <w:numId w:val="20"/>
        </w:numPr>
        <w:tabs>
          <w:tab w:val="clear" w:pos="720"/>
          <w:tab w:val="num" w:pos="1004"/>
        </w:tabs>
        <w:spacing w:after="60" w:line="280" w:lineRule="exact"/>
        <w:ind w:left="1004"/>
        <w:rPr>
          <w:rFonts w:asciiTheme="minorHAnsi" w:hAnsiTheme="minorHAnsi" w:cstheme="minorHAnsi"/>
          <w:i/>
        </w:rPr>
      </w:pPr>
      <w:r w:rsidRPr="000C2D5A">
        <w:rPr>
          <w:rFonts w:asciiTheme="minorHAnsi" w:hAnsiTheme="minorHAnsi" w:cstheme="minorHAnsi"/>
          <w:i/>
        </w:rPr>
        <w:t>Het criterium van het plaatsgebonden risico van 10</w:t>
      </w:r>
      <w:r w:rsidRPr="000C2D5A">
        <w:rPr>
          <w:rFonts w:asciiTheme="minorHAnsi" w:hAnsiTheme="minorHAnsi" w:cstheme="minorHAnsi"/>
          <w:i/>
          <w:vertAlign w:val="superscript"/>
        </w:rPr>
        <w:t>-5</w:t>
      </w:r>
      <w:r w:rsidRPr="000C2D5A">
        <w:rPr>
          <w:rFonts w:asciiTheme="minorHAnsi" w:hAnsiTheme="minorHAnsi" w:cstheme="minorHAnsi"/>
          <w:i/>
        </w:rPr>
        <w:t>/jr op de bedrijfsgrens wordt over</w:t>
      </w:r>
      <w:r w:rsidRPr="000C2D5A">
        <w:rPr>
          <w:rFonts w:asciiTheme="minorHAnsi" w:hAnsiTheme="minorHAnsi" w:cstheme="minorHAnsi"/>
          <w:i/>
        </w:rPr>
        <w:softHyphen/>
        <w:t>schreden ter hoogte van een deel van deze bedrijfsgrens. Binnen de over</w:t>
      </w:r>
      <w:r w:rsidRPr="000C2D5A">
        <w:rPr>
          <w:rFonts w:asciiTheme="minorHAnsi" w:hAnsiTheme="minorHAnsi" w:cstheme="minorHAnsi"/>
          <w:i/>
        </w:rPr>
        <w:softHyphen/>
        <w:t>schrijding is de aanwezigheid van personen te verwachten. Opgemerkt wordt dat thans dit criterium op de bedrijfsgrens in heel wat geval</w:t>
      </w:r>
      <w:r w:rsidRPr="000C2D5A">
        <w:rPr>
          <w:rFonts w:asciiTheme="minorHAnsi" w:hAnsiTheme="minorHAnsi" w:cstheme="minorHAnsi"/>
          <w:i/>
        </w:rPr>
        <w:softHyphen/>
        <w:t>len in de praktijk over</w:t>
      </w:r>
      <w:r w:rsidRPr="000C2D5A">
        <w:rPr>
          <w:rFonts w:asciiTheme="minorHAnsi" w:hAnsiTheme="minorHAnsi" w:cstheme="minorHAnsi"/>
          <w:i/>
        </w:rPr>
        <w:softHyphen/>
        <w:t>schre</w:t>
      </w:r>
      <w:r w:rsidRPr="000C2D5A">
        <w:rPr>
          <w:rFonts w:asciiTheme="minorHAnsi" w:hAnsiTheme="minorHAnsi" w:cstheme="minorHAnsi"/>
          <w:i/>
        </w:rPr>
        <w:softHyphen/>
        <w:t xml:space="preserve">den wordt door Seveso-inrichtingen. </w:t>
      </w:r>
      <w:r w:rsidRPr="000C2D5A">
        <w:rPr>
          <w:rFonts w:asciiTheme="minorHAnsi" w:hAnsiTheme="minorHAnsi" w:cstheme="minorHAnsi"/>
          <w:i/>
        </w:rPr>
        <w:tab/>
      </w:r>
      <w:r w:rsidRPr="000C2D5A">
        <w:rPr>
          <w:rFonts w:asciiTheme="minorHAnsi" w:hAnsiTheme="minorHAnsi" w:cstheme="minorHAnsi"/>
          <w:i/>
        </w:rPr>
        <w:br/>
        <w:t>Vermits de percelen waar de overschrijding zich voordoet andere bedrijven be</w:t>
      </w:r>
      <w:r w:rsidRPr="000C2D5A">
        <w:rPr>
          <w:rFonts w:asciiTheme="minorHAnsi" w:hAnsiTheme="minorHAnsi" w:cstheme="minorHAnsi"/>
          <w:i/>
        </w:rPr>
        <w:softHyphen/>
        <w:t xml:space="preserve">treft zal </w:t>
      </w:r>
      <w:fldSimple w:instr=" REF klant \h  \* MERGEFORMAT ">
        <w:r w:rsidR="00F077DA" w:rsidRPr="00F077DA">
          <w:rPr>
            <w:rFonts w:asciiTheme="minorHAnsi" w:hAnsiTheme="minorHAnsi" w:cstheme="minorHAnsi"/>
            <w:i/>
          </w:rPr>
          <w:t>Vopak Terminal Eurotank NV</w:t>
        </w:r>
        <w:r w:rsidR="008102D8">
          <w:t xml:space="preserve"> </w:t>
        </w:r>
      </w:fldSimple>
      <w:r w:rsidRPr="000C2D5A">
        <w:rPr>
          <w:rFonts w:asciiTheme="minorHAnsi" w:hAnsiTheme="minorHAnsi" w:cstheme="minorHAnsi"/>
          <w:i/>
        </w:rPr>
        <w:t xml:space="preserve"> initiatief nemen om een veiligheids</w:t>
      </w:r>
      <w:r w:rsidRPr="000C2D5A">
        <w:rPr>
          <w:rFonts w:asciiTheme="minorHAnsi" w:hAnsiTheme="minorHAnsi" w:cstheme="minorHAnsi"/>
          <w:i/>
        </w:rPr>
        <w:softHyphen/>
        <w:t>in</w:t>
      </w:r>
      <w:r w:rsidRPr="000C2D5A">
        <w:rPr>
          <w:rFonts w:asciiTheme="minorHAnsi" w:hAnsiTheme="minorHAnsi" w:cstheme="minorHAnsi"/>
          <w:i/>
        </w:rPr>
        <w:softHyphen/>
        <w:t>for</w:t>
      </w:r>
      <w:r w:rsidRPr="000C2D5A">
        <w:rPr>
          <w:rFonts w:asciiTheme="minorHAnsi" w:hAnsiTheme="minorHAnsi" w:cstheme="minorHAnsi"/>
          <w:i/>
        </w:rPr>
        <w:softHyphen/>
        <w:t xml:space="preserve">matieplan (VIP) op te stellen. </w:t>
      </w:r>
      <w:r w:rsidRPr="000C2D5A">
        <w:rPr>
          <w:rFonts w:asciiTheme="minorHAnsi" w:hAnsiTheme="minorHAnsi" w:cstheme="minorHAnsi"/>
          <w:i/>
        </w:rPr>
        <w:tab/>
      </w:r>
      <w:r w:rsidRPr="000C2D5A">
        <w:rPr>
          <w:rFonts w:asciiTheme="minorHAnsi" w:hAnsiTheme="minorHAnsi" w:cstheme="minorHAnsi"/>
          <w:i/>
        </w:rPr>
        <w:br/>
        <w:t>Voor wat het dok betreft is de overschrijding van het criterium van het plaats</w:t>
      </w:r>
      <w:r w:rsidRPr="000C2D5A">
        <w:rPr>
          <w:rFonts w:asciiTheme="minorHAnsi" w:hAnsiTheme="minorHAnsi" w:cstheme="minorHAnsi"/>
          <w:i/>
        </w:rPr>
        <w:softHyphen/>
        <w:t>ge</w:t>
      </w:r>
      <w:r w:rsidRPr="000C2D5A">
        <w:rPr>
          <w:rFonts w:asciiTheme="minorHAnsi" w:hAnsiTheme="minorHAnsi" w:cstheme="minorHAnsi"/>
          <w:i/>
        </w:rPr>
        <w:softHyphen/>
        <w:t>bon</w:t>
      </w:r>
      <w:r w:rsidRPr="000C2D5A">
        <w:rPr>
          <w:rFonts w:asciiTheme="minorHAnsi" w:hAnsiTheme="minorHAnsi" w:cstheme="minorHAnsi"/>
          <w:i/>
        </w:rPr>
        <w:softHyphen/>
        <w:t>den risico ter hoogte van de bedrijfsgrens inherent aan de betrokken scheeps</w:t>
      </w:r>
      <w:r w:rsidRPr="000C2D5A">
        <w:rPr>
          <w:rFonts w:asciiTheme="minorHAnsi" w:hAnsiTheme="minorHAnsi" w:cstheme="minorHAnsi"/>
          <w:i/>
        </w:rPr>
        <w:softHyphen/>
        <w:t>verlading die op de bedrijfsgrens zelf plaats¬vindt.</w:t>
      </w:r>
    </w:p>
    <w:p w:rsidR="00C76A99" w:rsidRDefault="00C76A99" w:rsidP="00C76A99">
      <w:pPr>
        <w:pStyle w:val="NormBul"/>
        <w:numPr>
          <w:ilvl w:val="0"/>
          <w:numId w:val="20"/>
        </w:numPr>
        <w:tabs>
          <w:tab w:val="clear" w:pos="720"/>
          <w:tab w:val="num" w:pos="1004"/>
        </w:tabs>
        <w:spacing w:after="60" w:line="280" w:lineRule="exact"/>
        <w:ind w:left="1004"/>
        <w:rPr>
          <w:rFonts w:asciiTheme="minorHAnsi" w:hAnsiTheme="minorHAnsi" w:cstheme="minorHAnsi"/>
          <w:i/>
        </w:rPr>
      </w:pPr>
      <w:r w:rsidRPr="000C2D5A">
        <w:rPr>
          <w:rFonts w:asciiTheme="minorHAnsi" w:hAnsiTheme="minorHAnsi" w:cstheme="minorHAnsi"/>
          <w:i/>
        </w:rPr>
        <w:t>Aan het criterium van het plaatsgebonden risico van 10</w:t>
      </w:r>
      <w:r w:rsidRPr="000C2D5A">
        <w:rPr>
          <w:rFonts w:asciiTheme="minorHAnsi" w:hAnsiTheme="minorHAnsi" w:cstheme="minorHAnsi"/>
          <w:i/>
          <w:vertAlign w:val="superscript"/>
        </w:rPr>
        <w:t>-6</w:t>
      </w:r>
      <w:r w:rsidRPr="000C2D5A">
        <w:rPr>
          <w:rFonts w:asciiTheme="minorHAnsi" w:hAnsiTheme="minorHAnsi" w:cstheme="minorHAnsi"/>
          <w:i/>
        </w:rPr>
        <w:t>/jr voor gebieden met woon</w:t>
      </w:r>
      <w:r w:rsidRPr="000C2D5A">
        <w:rPr>
          <w:rFonts w:asciiTheme="minorHAnsi" w:hAnsiTheme="minorHAnsi" w:cstheme="minorHAnsi"/>
          <w:i/>
        </w:rPr>
        <w:softHyphen/>
        <w:t>functie wordt zonder meer voldaan.</w:t>
      </w:r>
    </w:p>
    <w:p w:rsidR="00C76A99" w:rsidRDefault="00C76A99" w:rsidP="00C76A99">
      <w:pPr>
        <w:pStyle w:val="NormBul"/>
        <w:numPr>
          <w:ilvl w:val="0"/>
          <w:numId w:val="20"/>
        </w:numPr>
        <w:tabs>
          <w:tab w:val="clear" w:pos="720"/>
          <w:tab w:val="num" w:pos="1004"/>
        </w:tabs>
        <w:spacing w:after="60" w:line="280" w:lineRule="exact"/>
        <w:ind w:left="1004"/>
        <w:rPr>
          <w:rFonts w:asciiTheme="minorHAnsi" w:hAnsiTheme="minorHAnsi" w:cstheme="minorHAnsi"/>
          <w:i/>
        </w:rPr>
      </w:pPr>
      <w:r w:rsidRPr="000C2D5A">
        <w:rPr>
          <w:rFonts w:asciiTheme="minorHAnsi" w:hAnsiTheme="minorHAnsi" w:cstheme="minorHAnsi"/>
          <w:i/>
        </w:rPr>
        <w:t>Aan het criterium van het plaatsgebonden risico van 10</w:t>
      </w:r>
      <w:r w:rsidRPr="000C2D5A">
        <w:rPr>
          <w:rFonts w:asciiTheme="minorHAnsi" w:hAnsiTheme="minorHAnsi" w:cstheme="minorHAnsi"/>
          <w:i/>
          <w:vertAlign w:val="superscript"/>
        </w:rPr>
        <w:t>-7</w:t>
      </w:r>
      <w:r w:rsidRPr="000C2D5A">
        <w:rPr>
          <w:rFonts w:asciiTheme="minorHAnsi" w:hAnsiTheme="minorHAnsi" w:cstheme="minorHAnsi"/>
          <w:i/>
        </w:rPr>
        <w:t>/jr voor kwetsbare lo</w:t>
      </w:r>
      <w:r w:rsidRPr="000C2D5A">
        <w:rPr>
          <w:rFonts w:asciiTheme="minorHAnsi" w:hAnsiTheme="minorHAnsi" w:cstheme="minorHAnsi"/>
          <w:i/>
        </w:rPr>
        <w:softHyphen/>
        <w:t xml:space="preserve">caties wordt zonder meer voldaan. </w:t>
      </w:r>
    </w:p>
    <w:p w:rsidR="00F077DA" w:rsidRDefault="00C76A99" w:rsidP="00F077DA">
      <w:pPr>
        <w:pStyle w:val="NormalI"/>
        <w:keepNext/>
        <w:keepLines/>
        <w:ind w:left="284" w:firstLine="0"/>
        <w:rPr>
          <w:rFonts w:asciiTheme="minorHAnsi" w:hAnsiTheme="minorHAnsi" w:cstheme="minorHAnsi"/>
          <w:i/>
        </w:rPr>
      </w:pPr>
      <w:r w:rsidRPr="000C2D5A">
        <w:rPr>
          <w:rFonts w:asciiTheme="minorHAnsi" w:hAnsiTheme="minorHAnsi" w:cstheme="minorHAnsi"/>
          <w:i/>
          <w:smallCaps/>
        </w:rPr>
        <w:lastRenderedPageBreak/>
        <w:t>Groepsrisico</w:t>
      </w:r>
      <w:r w:rsidRPr="000C2D5A">
        <w:rPr>
          <w:rFonts w:asciiTheme="minorHAnsi" w:hAnsiTheme="minorHAnsi" w:cstheme="minorHAnsi"/>
          <w:i/>
        </w:rPr>
        <w:t xml:space="preserve"> – Het groepsrisico verbonden aan </w:t>
      </w:r>
      <w:r w:rsidR="00C325A0" w:rsidRPr="000C2D5A">
        <w:rPr>
          <w:rFonts w:asciiTheme="minorHAnsi" w:hAnsiTheme="minorHAnsi" w:cstheme="minorHAnsi"/>
          <w:i/>
        </w:rPr>
        <w:fldChar w:fldCharType="begin"/>
      </w:r>
      <w:r w:rsidRPr="000C2D5A">
        <w:rPr>
          <w:rFonts w:asciiTheme="minorHAnsi" w:hAnsiTheme="minorHAnsi" w:cstheme="minorHAnsi"/>
          <w:i/>
        </w:rPr>
        <w:instrText xml:space="preserve"> klant </w:instrText>
      </w:r>
      <w:r w:rsidR="00C325A0" w:rsidRPr="000C2D5A">
        <w:rPr>
          <w:rFonts w:asciiTheme="minorHAnsi" w:hAnsiTheme="minorHAnsi" w:cstheme="minorHAnsi"/>
          <w:i/>
        </w:rPr>
        <w:fldChar w:fldCharType="separate"/>
      </w:r>
      <w:r w:rsidR="008102D8">
        <w:t xml:space="preserve">Vopak Terminal Eurotank NV </w:t>
      </w:r>
      <w:r w:rsidR="00C325A0" w:rsidRPr="000C2D5A">
        <w:rPr>
          <w:rFonts w:asciiTheme="minorHAnsi" w:hAnsiTheme="minorHAnsi" w:cstheme="minorHAnsi"/>
          <w:i/>
        </w:rPr>
        <w:fldChar w:fldCharType="end"/>
      </w:r>
      <w:r w:rsidRPr="000C2D5A">
        <w:rPr>
          <w:rFonts w:asciiTheme="minorHAnsi" w:hAnsiTheme="minorHAnsi" w:cstheme="minorHAnsi"/>
          <w:i/>
        </w:rPr>
        <w:t xml:space="preserve"> voldoet aan het criterium van het groeps</w:t>
      </w:r>
      <w:r w:rsidRPr="000C2D5A">
        <w:rPr>
          <w:rFonts w:asciiTheme="minorHAnsi" w:hAnsiTheme="minorHAnsi" w:cstheme="minorHAnsi"/>
          <w:i/>
        </w:rPr>
        <w:softHyphen/>
        <w:t xml:space="preserve">risico. </w:t>
      </w:r>
    </w:p>
    <w:p w:rsidR="00F077DA" w:rsidRDefault="00F077DA" w:rsidP="00F077DA">
      <w:pPr>
        <w:pStyle w:val="NormalI"/>
        <w:keepNext/>
        <w:keepLines/>
        <w:ind w:left="284" w:firstLine="0"/>
        <w:rPr>
          <w:rFonts w:asciiTheme="minorHAnsi" w:hAnsiTheme="minorHAnsi" w:cstheme="minorHAnsi"/>
          <w:i/>
        </w:rPr>
      </w:pPr>
    </w:p>
    <w:p w:rsidR="00F077DA" w:rsidRDefault="00C76A99" w:rsidP="00F077DA">
      <w:pPr>
        <w:pStyle w:val="NormalI"/>
        <w:keepNext/>
        <w:keepLines/>
        <w:ind w:left="284" w:firstLine="0"/>
        <w:rPr>
          <w:rFonts w:asciiTheme="minorHAnsi" w:hAnsiTheme="minorHAnsi" w:cstheme="minorHAnsi"/>
          <w:i/>
        </w:rPr>
      </w:pPr>
      <w:r w:rsidRPr="000C2D5A">
        <w:rPr>
          <w:rFonts w:asciiTheme="minorHAnsi" w:hAnsiTheme="minorHAnsi" w:cstheme="minorHAnsi"/>
          <w:i/>
          <w:smallCaps/>
        </w:rPr>
        <w:t>Milieurisico’s</w:t>
      </w:r>
      <w:r w:rsidRPr="000C2D5A">
        <w:rPr>
          <w:rFonts w:asciiTheme="minorHAnsi" w:hAnsiTheme="minorHAnsi" w:cstheme="minorHAnsi"/>
          <w:i/>
        </w:rPr>
        <w:t xml:space="preserve"> – De risico’s die voor personen in de omgeving van de terminal van </w:t>
      </w:r>
      <w:r w:rsidR="00C325A0" w:rsidRPr="000C2D5A">
        <w:rPr>
          <w:rFonts w:asciiTheme="minorHAnsi" w:hAnsiTheme="minorHAnsi" w:cstheme="minorHAnsi"/>
          <w:i/>
        </w:rPr>
        <w:fldChar w:fldCharType="begin"/>
      </w:r>
      <w:r w:rsidRPr="000C2D5A">
        <w:rPr>
          <w:rFonts w:asciiTheme="minorHAnsi" w:hAnsiTheme="minorHAnsi" w:cstheme="minorHAnsi"/>
          <w:i/>
        </w:rPr>
        <w:instrText xml:space="preserve"> klant </w:instrText>
      </w:r>
      <w:r w:rsidR="00C325A0" w:rsidRPr="000C2D5A">
        <w:rPr>
          <w:rFonts w:asciiTheme="minorHAnsi" w:hAnsiTheme="minorHAnsi" w:cstheme="minorHAnsi"/>
          <w:i/>
        </w:rPr>
        <w:fldChar w:fldCharType="separate"/>
      </w:r>
      <w:r w:rsidR="008102D8">
        <w:t xml:space="preserve">Vopak Terminal Eurotank NV </w:t>
      </w:r>
      <w:r w:rsidR="00C325A0" w:rsidRPr="000C2D5A">
        <w:rPr>
          <w:rFonts w:asciiTheme="minorHAnsi" w:hAnsiTheme="minorHAnsi" w:cstheme="minorHAnsi"/>
          <w:i/>
        </w:rPr>
        <w:fldChar w:fldCharType="end"/>
      </w:r>
      <w:r w:rsidRPr="000C2D5A">
        <w:rPr>
          <w:rFonts w:asciiTheme="minorHAnsi" w:hAnsiTheme="minorHAnsi" w:cstheme="minorHAnsi"/>
          <w:i/>
        </w:rPr>
        <w:t xml:space="preserve"> bepaald werden en ten aanzien van gebieden met woon</w:t>
      </w:r>
      <w:r w:rsidRPr="000C2D5A">
        <w:rPr>
          <w:rFonts w:asciiTheme="minorHAnsi" w:hAnsiTheme="minorHAnsi" w:cstheme="minorHAnsi"/>
          <w:i/>
        </w:rPr>
        <w:softHyphen/>
        <w:t xml:space="preserve">functie en kwetsbare locaties in overeenstemming zijn met de risicocriteria, zijn tevens representatief (doch waarschijnlijk eerder pessimistisch) voor de risico’s t.o.v. de fauna en de flora. </w:t>
      </w:r>
    </w:p>
    <w:p w:rsidR="00F077DA" w:rsidRDefault="00F077DA" w:rsidP="00F077DA">
      <w:pPr>
        <w:pStyle w:val="NormalI"/>
        <w:keepNext/>
        <w:keepLines/>
        <w:ind w:left="284" w:firstLine="0"/>
        <w:rPr>
          <w:rFonts w:asciiTheme="minorHAnsi" w:hAnsiTheme="minorHAnsi" w:cstheme="minorHAnsi"/>
          <w:i/>
        </w:rPr>
      </w:pPr>
    </w:p>
    <w:p w:rsidR="00F077DA" w:rsidRDefault="00C76A99" w:rsidP="00F077DA">
      <w:pPr>
        <w:pStyle w:val="NormalI"/>
        <w:keepNext/>
        <w:keepLines/>
        <w:ind w:left="284" w:firstLine="0"/>
        <w:rPr>
          <w:rFonts w:asciiTheme="minorHAnsi" w:hAnsiTheme="minorHAnsi" w:cstheme="minorHAnsi"/>
          <w:i/>
        </w:rPr>
      </w:pPr>
      <w:r w:rsidRPr="000C2D5A">
        <w:rPr>
          <w:rFonts w:asciiTheme="minorHAnsi" w:hAnsiTheme="minorHAnsi" w:cstheme="minorHAnsi"/>
          <w:i/>
        </w:rPr>
        <w:t xml:space="preserve">De risico’s van de terminal van </w:t>
      </w:r>
      <w:r w:rsidR="00C325A0" w:rsidRPr="000C2D5A">
        <w:rPr>
          <w:rFonts w:asciiTheme="minorHAnsi" w:hAnsiTheme="minorHAnsi" w:cstheme="minorHAnsi"/>
          <w:i/>
        </w:rPr>
        <w:fldChar w:fldCharType="begin"/>
      </w:r>
      <w:r w:rsidRPr="000C2D5A">
        <w:rPr>
          <w:rFonts w:asciiTheme="minorHAnsi" w:hAnsiTheme="minorHAnsi" w:cstheme="minorHAnsi"/>
          <w:i/>
        </w:rPr>
        <w:instrText xml:space="preserve"> klant </w:instrText>
      </w:r>
      <w:r w:rsidR="00C325A0" w:rsidRPr="000C2D5A">
        <w:rPr>
          <w:rFonts w:asciiTheme="minorHAnsi" w:hAnsiTheme="minorHAnsi" w:cstheme="minorHAnsi"/>
          <w:i/>
        </w:rPr>
        <w:fldChar w:fldCharType="separate"/>
      </w:r>
      <w:r w:rsidR="008102D8">
        <w:t xml:space="preserve">Vopak Terminal Eurotank NV </w:t>
      </w:r>
      <w:r w:rsidR="00C325A0" w:rsidRPr="000C2D5A">
        <w:rPr>
          <w:rFonts w:asciiTheme="minorHAnsi" w:hAnsiTheme="minorHAnsi" w:cstheme="minorHAnsi"/>
          <w:i/>
        </w:rPr>
        <w:fldChar w:fldCharType="end"/>
      </w:r>
      <w:r w:rsidRPr="000C2D5A">
        <w:rPr>
          <w:rFonts w:asciiTheme="minorHAnsi" w:hAnsiTheme="minorHAnsi" w:cstheme="minorHAnsi"/>
          <w:i/>
        </w:rPr>
        <w:t xml:space="preserve"> voor het milieu m.n. naar bodem en grondwater toe, worden beheerst door de aanwezigheid van inkuipingen, een ver</w:t>
      </w:r>
      <w:r w:rsidRPr="000C2D5A">
        <w:rPr>
          <w:rFonts w:asciiTheme="minorHAnsi" w:hAnsiTheme="minorHAnsi" w:cstheme="minorHAnsi"/>
          <w:i/>
        </w:rPr>
        <w:softHyphen/>
        <w:t>harde ondergrond, de bedrijfsriolering met afvoergoten en opvangputten en de aan</w:t>
      </w:r>
      <w:r w:rsidRPr="000C2D5A">
        <w:rPr>
          <w:rFonts w:asciiTheme="minorHAnsi" w:hAnsiTheme="minorHAnsi" w:cstheme="minorHAnsi"/>
          <w:i/>
        </w:rPr>
        <w:softHyphen/>
        <w:t>we</w:t>
      </w:r>
      <w:r w:rsidRPr="000C2D5A">
        <w:rPr>
          <w:rFonts w:asciiTheme="minorHAnsi" w:hAnsiTheme="minorHAnsi" w:cstheme="minorHAnsi"/>
          <w:i/>
        </w:rPr>
        <w:softHyphen/>
        <w:t>zigheid van interventiemiddelen waardoor accidentele lekken van gevaarlijke stoffen gecontroleerd worden opgevangen.</w:t>
      </w:r>
    </w:p>
    <w:p w:rsidR="00F077DA" w:rsidRDefault="00F077DA" w:rsidP="00F077DA">
      <w:pPr>
        <w:pStyle w:val="NormalI"/>
        <w:keepNext/>
        <w:keepLines/>
        <w:ind w:left="284" w:firstLine="0"/>
        <w:rPr>
          <w:rFonts w:asciiTheme="minorHAnsi" w:hAnsiTheme="minorHAnsi" w:cstheme="minorHAnsi"/>
          <w:i/>
        </w:rPr>
      </w:pPr>
    </w:p>
    <w:p w:rsidR="00F077DA" w:rsidRDefault="00C76A99" w:rsidP="00F077DA">
      <w:pPr>
        <w:keepNext/>
        <w:ind w:left="284"/>
        <w:rPr>
          <w:rFonts w:asciiTheme="minorHAnsi" w:hAnsiTheme="minorHAnsi" w:cstheme="minorHAnsi"/>
          <w:i/>
        </w:rPr>
      </w:pPr>
      <w:r w:rsidRPr="000C2D5A">
        <w:rPr>
          <w:rFonts w:asciiTheme="minorHAnsi" w:hAnsiTheme="minorHAnsi" w:cstheme="minorHAnsi"/>
          <w:i/>
        </w:rPr>
        <w:t>De voorgaande evaluatie van de milieurisico’s is zowel geldig in de vergunde toestand als bij de uitbreiding.</w:t>
      </w:r>
    </w:p>
    <w:p w:rsidR="00C76A99" w:rsidRPr="00C76A99" w:rsidRDefault="00C76A99" w:rsidP="00C10756">
      <w:pPr>
        <w:keepNext/>
      </w:pPr>
    </w:p>
    <w:p w:rsidR="00B94127" w:rsidRDefault="00B94127" w:rsidP="00F57FD9">
      <w:pPr>
        <w:pStyle w:val="Heading4"/>
      </w:pPr>
      <w:bookmarkStart w:id="911" w:name="_Toc311451965"/>
      <w:bookmarkStart w:id="912" w:name="_Toc312069326"/>
      <w:bookmarkStart w:id="913" w:name="_Toc312069327"/>
      <w:bookmarkEnd w:id="911"/>
      <w:bookmarkEnd w:id="912"/>
      <w:r>
        <w:t>Mobiliteit</w:t>
      </w:r>
      <w:bookmarkEnd w:id="913"/>
    </w:p>
    <w:p w:rsidR="00EF49DA" w:rsidRDefault="00B94127" w:rsidP="00F57FD9">
      <w:pPr>
        <w:keepNext/>
        <w:rPr>
          <w:lang w:val="nl-NL"/>
        </w:rPr>
      </w:pPr>
      <w:r>
        <w:rPr>
          <w:lang w:val="nl-NL"/>
        </w:rPr>
        <w:t>VTE geeft via de Industrieweg aansluiting op de Scheldelaan, een dubbele 2-vaksbaan en via de Scheldelaan en de Tijsmanstunnel op de A12, de E19 en de ring rond Antwerpen. Via de Liefkenshoektunnel is er een aansluiting met de N49 en de E17.</w:t>
      </w:r>
      <w:r w:rsidR="00EF49DA">
        <w:rPr>
          <w:lang w:val="nl-NL"/>
        </w:rPr>
        <w:t xml:space="preserve"> Deze wegen die door het vrachtverkeer gebruikt worden om VTE te bereiken lopen niet door woonzones.</w:t>
      </w:r>
    </w:p>
    <w:p w:rsidR="00EF49DA" w:rsidRDefault="00EF49DA" w:rsidP="00F57FD9">
      <w:pPr>
        <w:keepNext/>
        <w:rPr>
          <w:lang w:val="nl-NL"/>
        </w:rPr>
      </w:pPr>
      <w:r>
        <w:rPr>
          <w:lang w:val="nl-NL"/>
        </w:rPr>
        <w:t>De bewoners in de omgeving ondervinden dan ook geen rechtstreekse hinder van het transport van en naar VTE en ook de veiligheid van de zwakke weggebruikers komt niet in het gedrang.</w:t>
      </w:r>
    </w:p>
    <w:p w:rsidR="00EF49DA" w:rsidRDefault="00EF49DA" w:rsidP="00F57FD9">
      <w:pPr>
        <w:keepNext/>
        <w:rPr>
          <w:lang w:val="nl-NL"/>
        </w:rPr>
      </w:pPr>
      <w:r>
        <w:rPr>
          <w:lang w:val="nl-NL"/>
        </w:rPr>
        <w:t xml:space="preserve">Slechts </w:t>
      </w:r>
      <w:r w:rsidR="00EF2A6D">
        <w:rPr>
          <w:lang w:val="nl-NL"/>
        </w:rPr>
        <w:t>4-29</w:t>
      </w:r>
      <w:r>
        <w:rPr>
          <w:lang w:val="nl-NL"/>
        </w:rPr>
        <w:t>% van de jaarlijks aan- en afgevoerde producten naar VTE gaat via wegtransport. Het overgrote deel wordt via pijpleiding, zeeschepen, lichters en spoorketelwagons aan- en afgevoerd. Het wegtransport wordt hoofdzakelijk ingezet voor de afvoer van producten en bedraagt 17.000 (huidige situatie) à 20.000 (geplande sitiuatie) vrachtwagens per jaar ofwel 100 à 120 transportbewegingen per dag. Dit aantal is dan ook verwaarloosbaar tov de huidige verkeerintensiteit op de ring rond Antwerpen.</w:t>
      </w:r>
    </w:p>
    <w:p w:rsidR="00EF49DA" w:rsidRPr="00B94127" w:rsidRDefault="00EF49DA" w:rsidP="00F57FD9">
      <w:pPr>
        <w:keepNext/>
        <w:rPr>
          <w:lang w:val="nl-NL"/>
        </w:rPr>
      </w:pPr>
      <w:r>
        <w:rPr>
          <w:lang w:val="nl-NL"/>
        </w:rPr>
        <w:t>De inzet van andere transportmiddelen voor de afvoer van producten zoals spoorketelwagons en schepen, wordt volledig gestuurd door de ligging en de beschikbare infrastructuur bij de afnemers, waar VTE weinig of geen impact op heeft.</w:t>
      </w:r>
    </w:p>
    <w:p w:rsidR="00F57FD9" w:rsidRDefault="00F57FD9">
      <w:pPr>
        <w:keepLines w:val="0"/>
        <w:spacing w:before="0" w:after="0" w:line="240" w:lineRule="auto"/>
        <w:jc w:val="left"/>
        <w:rPr>
          <w:b/>
          <w:smallCaps/>
          <w:spacing w:val="20"/>
          <w:sz w:val="24"/>
          <w:lang w:val="nl-NL"/>
        </w:rPr>
      </w:pPr>
      <w:r>
        <w:br w:type="page"/>
      </w:r>
    </w:p>
    <w:p w:rsidR="00F70BB3" w:rsidRDefault="00F70BB3" w:rsidP="004F40A7">
      <w:pPr>
        <w:pStyle w:val="Heading2"/>
      </w:pPr>
      <w:bookmarkStart w:id="914" w:name="_Toc312069328"/>
      <w:r>
        <w:lastRenderedPageBreak/>
        <w:t>Overige disciplines</w:t>
      </w:r>
      <w:bookmarkEnd w:id="914"/>
    </w:p>
    <w:p w:rsidR="004560FE" w:rsidRDefault="004560FE" w:rsidP="004F40A7">
      <w:pPr>
        <w:pStyle w:val="Heading3"/>
      </w:pPr>
      <w:bookmarkStart w:id="915" w:name="_Toc312069329"/>
      <w:r>
        <w:t>Bodem en grondwater</w:t>
      </w:r>
      <w:bookmarkEnd w:id="915"/>
    </w:p>
    <w:p w:rsidR="00D951B5" w:rsidRDefault="00D951B5" w:rsidP="004F40A7">
      <w:pPr>
        <w:pStyle w:val="Heading4"/>
      </w:pPr>
      <w:bookmarkStart w:id="916" w:name="_Toc312069330"/>
      <w:r>
        <w:t>Referentiesituatie</w:t>
      </w:r>
      <w:bookmarkEnd w:id="916"/>
    </w:p>
    <w:p w:rsidR="003B7E76" w:rsidRDefault="003B7E76" w:rsidP="004F40A7">
      <w:pPr>
        <w:pStyle w:val="Heading5"/>
      </w:pPr>
      <w:bookmarkStart w:id="917" w:name="_Toc312069331"/>
      <w:r>
        <w:t>Risico’s m.b.t. het ontstaan van bodem- en grondwaterverontreiniging</w:t>
      </w:r>
      <w:bookmarkEnd w:id="917"/>
    </w:p>
    <w:p w:rsidR="003B7E76" w:rsidRDefault="00C325A0" w:rsidP="00AF3F9E">
      <w:pPr>
        <w:rPr>
          <w:lang w:val="nl"/>
        </w:rPr>
      </w:pPr>
      <w:r>
        <w:fldChar w:fldCharType="begin"/>
      </w:r>
      <w:r w:rsidR="003B7E76">
        <w:instrText xml:space="preserve">ref </w:instrText>
      </w:r>
      <w:r w:rsidR="003B7E76">
        <w:rPr>
          <w:lang w:val="nl"/>
        </w:rPr>
        <w:instrText xml:space="preserve"> klant </w:instrText>
      </w:r>
      <w:r>
        <w:fldChar w:fldCharType="separate"/>
      </w:r>
      <w:r w:rsidR="008102D8">
        <w:t xml:space="preserve">Vopak Terminal Eurotank NV </w:t>
      </w:r>
      <w:r>
        <w:fldChar w:fldCharType="end"/>
      </w:r>
      <w:r w:rsidR="003B7E76">
        <w:rPr>
          <w:lang w:val="nl"/>
        </w:rPr>
        <w:t xml:space="preserve"> exploiteert diverse inrichtingen die beschouwd worden als risico-inrichten m.b.t. het ontstaan van bodem- en grondwaterverontreiniging.</w:t>
      </w:r>
    </w:p>
    <w:p w:rsidR="009C59B9" w:rsidRDefault="003B7E76" w:rsidP="00AF3F9E">
      <w:pPr>
        <w:rPr>
          <w:lang w:val="nl"/>
        </w:rPr>
      </w:pPr>
      <w:r>
        <w:rPr>
          <w:lang w:val="nl"/>
        </w:rPr>
        <w:t>Om deze risico</w:t>
      </w:r>
      <w:r w:rsidR="009C59B9">
        <w:rPr>
          <w:lang w:val="nl"/>
        </w:rPr>
        <w:t>’</w:t>
      </w:r>
      <w:r>
        <w:rPr>
          <w:lang w:val="nl"/>
        </w:rPr>
        <w:t xml:space="preserve">s </w:t>
      </w:r>
      <w:r w:rsidR="009C59B9">
        <w:rPr>
          <w:lang w:val="nl"/>
        </w:rPr>
        <w:t>te minimaliseren zijn er door de jaren heen diverse maatregelen genomen, zoals hieronder beknopt toegelicht.</w:t>
      </w:r>
    </w:p>
    <w:p w:rsidR="009C59B9" w:rsidRDefault="009C59B9" w:rsidP="004F40A7">
      <w:pPr>
        <w:pStyle w:val="tit-5"/>
        <w:outlineLvl w:val="0"/>
        <w:rPr>
          <w:lang w:val="nl"/>
        </w:rPr>
      </w:pPr>
      <w:r>
        <w:rPr>
          <w:lang w:val="nl"/>
        </w:rPr>
        <w:t>opslagfaciliteiten</w:t>
      </w:r>
    </w:p>
    <w:p w:rsidR="00FF2967" w:rsidRDefault="009C59B9" w:rsidP="00AF3F9E">
      <w:pPr>
        <w:rPr>
          <w:lang w:val="nl"/>
        </w:rPr>
      </w:pPr>
      <w:r>
        <w:rPr>
          <w:lang w:val="nl"/>
        </w:rPr>
        <w:t xml:space="preserve">Alle opslagtanks staan opgesteld binnen een inkuiping. Wel is het zo dat </w:t>
      </w:r>
      <w:r w:rsidR="001025C3">
        <w:rPr>
          <w:lang w:val="nl"/>
        </w:rPr>
        <w:t>– uitgezonderd de inkuiping van TP650 welke voorzien is van een kleimat –</w:t>
      </w:r>
      <w:r>
        <w:rPr>
          <w:lang w:val="nl"/>
        </w:rPr>
        <w:t xml:space="preserve"> de inkuipingen van de tankenparken niet vloeistofdicht </w:t>
      </w:r>
      <w:r w:rsidR="00FF2967">
        <w:rPr>
          <w:lang w:val="nl"/>
        </w:rPr>
        <w:t>zijn (het betreft hier immers bestaande tankenparken waarvoor de aanleg van een vloeistofdichte inkuiping niet vereist is)</w:t>
      </w:r>
      <w:r>
        <w:rPr>
          <w:lang w:val="nl"/>
        </w:rPr>
        <w:t xml:space="preserve">. </w:t>
      </w:r>
      <w:r w:rsidR="00FF2967">
        <w:rPr>
          <w:lang w:val="nl"/>
        </w:rPr>
        <w:tab/>
      </w:r>
      <w:r w:rsidR="00FF2967">
        <w:rPr>
          <w:lang w:val="nl"/>
        </w:rPr>
        <w:br/>
        <w:t>Om het, aan het niet vloeistofdicht zijn van de inkuiping gekoppelde</w:t>
      </w:r>
      <w:r w:rsidR="00CF3D4E">
        <w:rPr>
          <w:lang w:val="nl"/>
        </w:rPr>
        <w:t>,</w:t>
      </w:r>
      <w:r w:rsidR="00FF2967">
        <w:rPr>
          <w:lang w:val="nl"/>
        </w:rPr>
        <w:t xml:space="preserve"> potentiële </w:t>
      </w:r>
      <w:r w:rsidR="00FA6794">
        <w:rPr>
          <w:lang w:val="nl"/>
        </w:rPr>
        <w:t>verontreinigings</w:t>
      </w:r>
      <w:r w:rsidR="00FF2967">
        <w:rPr>
          <w:lang w:val="nl"/>
        </w:rPr>
        <w:t>risico te beheersen</w:t>
      </w:r>
      <w:r w:rsidR="00B639D8">
        <w:rPr>
          <w:lang w:val="nl"/>
        </w:rPr>
        <w:t>;</w:t>
      </w:r>
    </w:p>
    <w:p w:rsidR="00617415" w:rsidRDefault="00FA6794">
      <w:pPr>
        <w:pStyle w:val="ListParagraph"/>
        <w:numPr>
          <w:ilvl w:val="0"/>
          <w:numId w:val="113"/>
        </w:numPr>
        <w:rPr>
          <w:lang w:val="nl"/>
        </w:rPr>
      </w:pPr>
      <w:r>
        <w:rPr>
          <w:lang w:val="nl"/>
        </w:rPr>
        <w:t>wordt hemelwater dat binnen de inkuipingen wordt opgevangen, maximaal afgevoerd naar de WZI.</w:t>
      </w:r>
    </w:p>
    <w:p w:rsidR="00617415" w:rsidRDefault="00CB3B91">
      <w:pPr>
        <w:pStyle w:val="ListParagraph"/>
        <w:numPr>
          <w:ilvl w:val="0"/>
          <w:numId w:val="113"/>
        </w:numPr>
        <w:rPr>
          <w:lang w:val="nl"/>
        </w:rPr>
      </w:pPr>
      <w:r w:rsidRPr="00CB3B91">
        <w:rPr>
          <w:lang w:val="nl"/>
        </w:rPr>
        <w:t xml:space="preserve">is er op het terrein een grondwaterdrainagesysteem operationeel wat leidt er toe dat eventuele chemicaliën die in de bodem van de inkuipingen zouden infiltrereren, worden opvangen en afgevoerd naar de WZI. </w:t>
      </w:r>
    </w:p>
    <w:p w:rsidR="00617415" w:rsidRDefault="00CB3B91">
      <w:pPr>
        <w:pStyle w:val="ListParagraph"/>
        <w:numPr>
          <w:ilvl w:val="0"/>
          <w:numId w:val="113"/>
        </w:numPr>
        <w:rPr>
          <w:lang w:val="nl"/>
        </w:rPr>
      </w:pPr>
      <w:r w:rsidRPr="00CB3B91">
        <w:rPr>
          <w:lang w:val="nl"/>
        </w:rPr>
        <w:t xml:space="preserve">wordt de grondwaterkwaliteit in de omgeving van de tankenparken 2 maal per jaar gemonitored. Merk hierbij op dat uit de monitoringsresultaten er geen indicaties blijken dat er de afgelopen jaren verontreiniging t.g.v. de opslag van chemicaliën is ontstaan.   </w:t>
      </w:r>
    </w:p>
    <w:p w:rsidR="00617415" w:rsidRDefault="00CB3B91">
      <w:pPr>
        <w:pStyle w:val="ListParagraph"/>
        <w:numPr>
          <w:ilvl w:val="0"/>
          <w:numId w:val="113"/>
        </w:numPr>
        <w:rPr>
          <w:lang w:val="nl"/>
        </w:rPr>
      </w:pPr>
      <w:r w:rsidRPr="00CB3B91">
        <w:rPr>
          <w:lang w:val="nl"/>
        </w:rPr>
        <w:t>worden de opslagtanks 2-jaarlijks gekeurd (i.p.v. 3-jaarlijks zoals wettelijk verplicht).</w:t>
      </w:r>
    </w:p>
    <w:p w:rsidR="00617415" w:rsidRDefault="00CB3B91">
      <w:pPr>
        <w:pStyle w:val="ListParagraph"/>
        <w:numPr>
          <w:ilvl w:val="0"/>
          <w:numId w:val="113"/>
        </w:numPr>
        <w:rPr>
          <w:lang w:val="nl"/>
        </w:rPr>
      </w:pPr>
      <w:r w:rsidRPr="00CB3B91">
        <w:rPr>
          <w:lang w:val="nl"/>
        </w:rPr>
        <w:t>wordt – indien een tank bvb. naar aanleiding van herstellingswerkzaamheden dient gelift te worden – stelselmatig een PE-folie</w:t>
      </w:r>
      <w:r w:rsidR="0024695B">
        <w:rPr>
          <w:lang w:val="nl"/>
        </w:rPr>
        <w:t>, kleimat, vloeisto</w:t>
      </w:r>
      <w:r w:rsidR="00E064FE">
        <w:rPr>
          <w:lang w:val="nl"/>
        </w:rPr>
        <w:t>fdicht beton</w:t>
      </w:r>
      <w:r w:rsidRPr="00CB3B91">
        <w:rPr>
          <w:lang w:val="nl"/>
        </w:rPr>
        <w:t xml:space="preserve"> of dubbele bodem  onder de tanks aangebracht, zodanig dat eventuele lekken van de tankbodem snel kunnen opgespoord worden.</w:t>
      </w:r>
    </w:p>
    <w:p w:rsidR="00324ECC" w:rsidRDefault="00BD7335">
      <w:pPr>
        <w:pStyle w:val="ListParagraph"/>
        <w:numPr>
          <w:ilvl w:val="0"/>
          <w:numId w:val="113"/>
        </w:numPr>
      </w:pPr>
      <w:r w:rsidRPr="00BD7335">
        <w:rPr>
          <w:lang w:val="nl"/>
        </w:rPr>
        <w:t>Er is een planning om de tankenparken zelf vloeistofdicht te maken</w:t>
      </w:r>
      <w:r w:rsidR="00A04403">
        <w:rPr>
          <w:lang w:val="nl"/>
        </w:rPr>
        <w:t xml:space="preserve"> </w:t>
      </w:r>
      <w:r w:rsidR="00A04403">
        <w:t>(uitgezonderd TP 800)</w:t>
      </w:r>
      <w:r w:rsidRPr="00BD7335">
        <w:rPr>
          <w:lang w:val="nl"/>
        </w:rPr>
        <w:t xml:space="preserve">. Zo werd vb. met TP550 in 2011 gestart, in 2012 is TP500 ingepland. </w:t>
      </w:r>
      <w:r>
        <w:t xml:space="preserve">Bij de reeds uitgevoerde werken ondervindt men echter praktische moeilijkheden, zelfs in  vb. TP 550, waar de tanks relatief ver uit elkaar staan. In de praktijk moeten de bodem van de tankenparken met de hand of met kleine werktuigen uitgegraven worden doordat er pompen, leidingen ed. staan opgesteld. Door bovengenoemde praktische problemen is het niet mogelijk te voorspellen wanneer </w:t>
      </w:r>
      <w:r w:rsidR="00A04403">
        <w:t>de  relevante</w:t>
      </w:r>
      <w:r>
        <w:t xml:space="preserve"> tankenparken vloeistofdicht zullen zijn. </w:t>
      </w:r>
    </w:p>
    <w:p w:rsidR="00CF3D4E" w:rsidRDefault="00CF3D4E" w:rsidP="004F40A7">
      <w:pPr>
        <w:pStyle w:val="tit-5"/>
        <w:outlineLvl w:val="0"/>
        <w:rPr>
          <w:lang w:val="nl"/>
        </w:rPr>
      </w:pPr>
      <w:r>
        <w:rPr>
          <w:lang w:val="nl"/>
        </w:rPr>
        <w:t>overslagfaciliteiten</w:t>
      </w:r>
    </w:p>
    <w:p w:rsidR="00CF3D4E" w:rsidRDefault="00CF3D4E" w:rsidP="00AF3F9E">
      <w:pPr>
        <w:rPr>
          <w:lang w:val="nl-NL"/>
        </w:rPr>
      </w:pPr>
      <w:r w:rsidRPr="009021D7">
        <w:rPr>
          <w:lang w:val="nl-NL"/>
        </w:rPr>
        <w:t>Alle laad- en loszones (schip, vrachtwagen, spoorwagon) zijn uitgerust met een vloeistofdichte verharding. Eventuele lekvloeistoffen worden via goten afgevoerd naar opvangputten en van hieruit verpompt naar de waterzuivering of afgevoerd voor externe verwerking.</w:t>
      </w:r>
    </w:p>
    <w:p w:rsidR="00617415" w:rsidRDefault="00CF3D4E">
      <w:pPr>
        <w:pStyle w:val="Heading5"/>
      </w:pPr>
      <w:bookmarkStart w:id="918" w:name="_Toc312069332"/>
      <w:r>
        <w:lastRenderedPageBreak/>
        <w:t xml:space="preserve">Bestaande </w:t>
      </w:r>
      <w:r w:rsidR="001420FA">
        <w:t>toestand bodem en grondwater</w:t>
      </w:r>
      <w:bookmarkEnd w:id="918"/>
    </w:p>
    <w:p w:rsidR="00617415" w:rsidRDefault="001420FA">
      <w:pPr>
        <w:keepNext/>
        <w:rPr>
          <w:lang w:val="nl-NL"/>
        </w:rPr>
      </w:pPr>
      <w:r>
        <w:rPr>
          <w:lang w:val="nl-NL"/>
        </w:rPr>
        <w:t xml:space="preserve">Op het terrein van </w:t>
      </w:r>
      <w:r w:rsidR="00C325A0">
        <w:rPr>
          <w:lang w:val="nl-NL"/>
        </w:rPr>
        <w:fldChar w:fldCharType="begin"/>
      </w:r>
      <w:r>
        <w:rPr>
          <w:lang w:val="nl-NL"/>
        </w:rPr>
        <w:instrText xml:space="preserve"> klant </w:instrText>
      </w:r>
      <w:r w:rsidR="00C325A0">
        <w:rPr>
          <w:lang w:val="nl-NL"/>
        </w:rPr>
        <w:fldChar w:fldCharType="separate"/>
      </w:r>
      <w:r w:rsidR="008102D8">
        <w:t xml:space="preserve">Vopak Terminal Eurotank NV </w:t>
      </w:r>
      <w:r w:rsidR="00C325A0">
        <w:rPr>
          <w:lang w:val="nl-NL"/>
        </w:rPr>
        <w:fldChar w:fldCharType="end"/>
      </w:r>
      <w:r>
        <w:rPr>
          <w:lang w:val="nl-NL"/>
        </w:rPr>
        <w:t xml:space="preserve"> zijn er sinds 1995 heel wat bodem- en grondwateronderzoeken uitgevoerd. Anno 2011 kan de </w:t>
      </w:r>
      <w:r w:rsidR="00AD22CD">
        <w:rPr>
          <w:lang w:val="nl-NL"/>
        </w:rPr>
        <w:t>toestand</w:t>
      </w:r>
      <w:r>
        <w:rPr>
          <w:lang w:val="nl-NL"/>
        </w:rPr>
        <w:t xml:space="preserve"> m.b.t. bodem en grondwater </w:t>
      </w:r>
      <w:r w:rsidR="00AD22CD">
        <w:rPr>
          <w:lang w:val="nl-NL"/>
        </w:rPr>
        <w:t xml:space="preserve">binnen het bedrijfsterrein </w:t>
      </w:r>
      <w:r>
        <w:rPr>
          <w:lang w:val="nl-NL"/>
        </w:rPr>
        <w:t>als volgt omschreven worden:</w:t>
      </w:r>
    </w:p>
    <w:p w:rsidR="00617415" w:rsidRDefault="001420FA">
      <w:pPr>
        <w:pStyle w:val="ListParagraph"/>
        <w:keepNext/>
        <w:keepLines/>
        <w:numPr>
          <w:ilvl w:val="0"/>
          <w:numId w:val="114"/>
        </w:numPr>
        <w:rPr>
          <w:lang w:val="nl-NL"/>
        </w:rPr>
      </w:pPr>
      <w:r>
        <w:rPr>
          <w:lang w:val="nl-NL"/>
        </w:rPr>
        <w:t>Ter hoogte van TP800 is de bodem verontreinigd met minerale olie</w:t>
      </w:r>
      <w:r w:rsidR="00AD22CD">
        <w:rPr>
          <w:lang w:val="nl-NL"/>
        </w:rPr>
        <w:t xml:space="preserve"> (historisch van aard)</w:t>
      </w:r>
      <w:r>
        <w:rPr>
          <w:lang w:val="nl-NL"/>
        </w:rPr>
        <w:t>;</w:t>
      </w:r>
    </w:p>
    <w:p w:rsidR="00617415" w:rsidRDefault="001420FA">
      <w:pPr>
        <w:pStyle w:val="ListParagraph"/>
        <w:keepNext/>
        <w:keepLines/>
        <w:numPr>
          <w:ilvl w:val="0"/>
          <w:numId w:val="114"/>
        </w:numPr>
        <w:rPr>
          <w:lang w:val="nl-NL"/>
        </w:rPr>
      </w:pPr>
      <w:r>
        <w:rPr>
          <w:lang w:val="nl-NL"/>
        </w:rPr>
        <w:t>Ter hoogte van de overige tankenparken is de bodem en het grondwater verontreinigd met chloormethanen, chloorethenen, chloorethanen, chloorbenzenen en BTEX</w:t>
      </w:r>
      <w:r w:rsidR="00AD22CD">
        <w:rPr>
          <w:lang w:val="nl-NL"/>
        </w:rPr>
        <w:t xml:space="preserve"> (historisch van aard)</w:t>
      </w:r>
      <w:r>
        <w:rPr>
          <w:lang w:val="nl-NL"/>
        </w:rPr>
        <w:t>;</w:t>
      </w:r>
    </w:p>
    <w:p w:rsidR="00617415" w:rsidRDefault="001420FA">
      <w:pPr>
        <w:pStyle w:val="ListParagraph"/>
        <w:keepNext/>
        <w:keepLines/>
        <w:numPr>
          <w:ilvl w:val="0"/>
          <w:numId w:val="114"/>
        </w:numPr>
        <w:rPr>
          <w:lang w:val="nl-NL"/>
        </w:rPr>
      </w:pPr>
      <w:r>
        <w:rPr>
          <w:lang w:val="nl-NL"/>
        </w:rPr>
        <w:t>Ter hoogte van tank 400 is het grondwater</w:t>
      </w:r>
      <w:r w:rsidR="000855A1">
        <w:rPr>
          <w:lang w:val="nl-NL"/>
        </w:rPr>
        <w:t xml:space="preserve"> </w:t>
      </w:r>
      <w:r>
        <w:rPr>
          <w:lang w:val="nl-NL"/>
        </w:rPr>
        <w:t>verontreinigd met hexeen/hexaan</w:t>
      </w:r>
      <w:r w:rsidR="00AD22CD">
        <w:rPr>
          <w:lang w:val="nl-NL"/>
        </w:rPr>
        <w:t xml:space="preserve"> (t.g.v. een calamiteit in 2001)</w:t>
      </w:r>
      <w:r>
        <w:rPr>
          <w:lang w:val="nl-NL"/>
        </w:rPr>
        <w:t xml:space="preserve">. </w:t>
      </w:r>
    </w:p>
    <w:p w:rsidR="00AD22CD" w:rsidRDefault="00AD22CD" w:rsidP="00AF3F9E">
      <w:pPr>
        <w:rPr>
          <w:lang w:val="nl-NL"/>
        </w:rPr>
      </w:pPr>
      <w:r>
        <w:rPr>
          <w:lang w:val="nl-NL"/>
        </w:rPr>
        <w:t>Uit de evaluaties uitgevoerd in het kader van het beschrijvend bodemonderzoek blijkt dat de verontreinigingen geen humaan, noch een ecotoxicologisch risico inhouden. De grondwaterverontreiniging met chloor</w:t>
      </w:r>
      <w:r>
        <w:rPr>
          <w:lang w:val="nl-NL"/>
        </w:rPr>
        <w:softHyphen/>
        <w:t>methanen, chloorethenen, chloorethanen, chloorbenzenen en BTEX houdt wel een verspreidingsrisico in</w:t>
      </w:r>
      <w:r w:rsidR="00CA27E6">
        <w:rPr>
          <w:rStyle w:val="FootnoteReference"/>
          <w:lang w:val="nl-NL"/>
        </w:rPr>
        <w:footnoteReference w:id="66"/>
      </w:r>
      <w:r>
        <w:rPr>
          <w:lang w:val="nl-NL"/>
        </w:rPr>
        <w:t>.</w:t>
      </w:r>
      <w:r w:rsidR="009772C2">
        <w:rPr>
          <w:lang w:val="nl-NL"/>
        </w:rPr>
        <w:t xml:space="preserve"> </w:t>
      </w:r>
    </w:p>
    <w:p w:rsidR="005F36F8" w:rsidRPr="001420FA" w:rsidRDefault="005F36F8" w:rsidP="00AF3F9E">
      <w:pPr>
        <w:rPr>
          <w:lang w:val="nl-NL"/>
        </w:rPr>
      </w:pPr>
      <w:r>
        <w:rPr>
          <w:lang w:val="nl-NL"/>
        </w:rPr>
        <w:t>D</w:t>
      </w:r>
      <w:r w:rsidR="00AD22CD">
        <w:rPr>
          <w:lang w:val="nl-NL"/>
        </w:rPr>
        <w:t xml:space="preserve">oor </w:t>
      </w:r>
      <w:r w:rsidR="00C325A0">
        <w:rPr>
          <w:lang w:val="nl-NL"/>
        </w:rPr>
        <w:fldChar w:fldCharType="begin"/>
      </w:r>
      <w:r w:rsidR="00AD22CD">
        <w:rPr>
          <w:lang w:val="nl-NL"/>
        </w:rPr>
        <w:instrText xml:space="preserve"> klant </w:instrText>
      </w:r>
      <w:r w:rsidR="00C325A0">
        <w:rPr>
          <w:lang w:val="nl-NL"/>
        </w:rPr>
        <w:fldChar w:fldCharType="separate"/>
      </w:r>
      <w:r w:rsidR="008102D8">
        <w:t xml:space="preserve">Vopak Terminal Eurotank NV </w:t>
      </w:r>
      <w:r w:rsidR="00C325A0">
        <w:rPr>
          <w:lang w:val="nl-NL"/>
        </w:rPr>
        <w:fldChar w:fldCharType="end"/>
      </w:r>
      <w:r w:rsidR="00AD22CD">
        <w:rPr>
          <w:lang w:val="nl-NL"/>
        </w:rPr>
        <w:t xml:space="preserve"> </w:t>
      </w:r>
      <w:r>
        <w:rPr>
          <w:lang w:val="nl-NL"/>
        </w:rPr>
        <w:t xml:space="preserve">wordt momenteel dan ook </w:t>
      </w:r>
      <w:r w:rsidR="00AD22CD">
        <w:rPr>
          <w:lang w:val="nl-NL"/>
        </w:rPr>
        <w:t>i.o.m. een erkende bodemsaneringsdeskundige</w:t>
      </w:r>
      <w:r w:rsidR="009772C2">
        <w:rPr>
          <w:lang w:val="nl-NL"/>
        </w:rPr>
        <w:t>,</w:t>
      </w:r>
      <w:r w:rsidR="00AD22CD">
        <w:rPr>
          <w:lang w:val="nl-NL"/>
        </w:rPr>
        <w:t xml:space="preserve"> een bodem</w:t>
      </w:r>
      <w:r w:rsidR="00CA27E6">
        <w:rPr>
          <w:lang w:val="nl-NL"/>
        </w:rPr>
        <w:softHyphen/>
      </w:r>
      <w:r w:rsidR="00AD22CD">
        <w:rPr>
          <w:lang w:val="nl-NL"/>
        </w:rPr>
        <w:t>sanerings</w:t>
      </w:r>
      <w:r>
        <w:rPr>
          <w:lang w:val="nl-NL"/>
        </w:rPr>
        <w:softHyphen/>
      </w:r>
      <w:r w:rsidR="00AD22CD">
        <w:rPr>
          <w:lang w:val="nl-NL"/>
        </w:rPr>
        <w:t xml:space="preserve">project uitgewerkt </w:t>
      </w:r>
      <w:r w:rsidR="009772C2">
        <w:rPr>
          <w:lang w:val="nl-NL"/>
        </w:rPr>
        <w:t>m.b.t.</w:t>
      </w:r>
      <w:r w:rsidR="00AD22CD">
        <w:rPr>
          <w:lang w:val="nl-NL"/>
        </w:rPr>
        <w:t xml:space="preserve"> de aanwezige verontreinigingen vemeld onder b) en c)</w:t>
      </w:r>
      <w:r w:rsidR="00CA27E6">
        <w:rPr>
          <w:rStyle w:val="FootnoteReference"/>
          <w:lang w:val="nl-NL"/>
        </w:rPr>
        <w:footnoteReference w:id="67"/>
      </w:r>
      <w:r w:rsidR="00AD22CD">
        <w:rPr>
          <w:lang w:val="nl-NL"/>
        </w:rPr>
        <w:t>.</w:t>
      </w:r>
      <w:r w:rsidR="00CA27E6">
        <w:rPr>
          <w:lang w:val="nl-NL"/>
        </w:rPr>
        <w:t xml:space="preserve">  </w:t>
      </w:r>
      <w:r>
        <w:rPr>
          <w:lang w:val="nl"/>
        </w:rPr>
        <w:t xml:space="preserve">Het saneringsproject zal verder worden uitgewerkt volgens de toepasselijke bepalingen van de wetgeving en beoordeeld worden door de OVAM. </w:t>
      </w:r>
    </w:p>
    <w:p w:rsidR="001420FA" w:rsidRDefault="00CA27E6" w:rsidP="004F40A7">
      <w:pPr>
        <w:pStyle w:val="Heading4"/>
      </w:pPr>
      <w:bookmarkStart w:id="919" w:name="_Toc312069333"/>
      <w:r>
        <w:t>Geplande situatie</w:t>
      </w:r>
      <w:bookmarkEnd w:id="919"/>
    </w:p>
    <w:p w:rsidR="00CA27E6" w:rsidRDefault="00CA27E6" w:rsidP="004F40A7">
      <w:pPr>
        <w:pStyle w:val="Heading5"/>
      </w:pPr>
      <w:bookmarkStart w:id="920" w:name="_Toc312069334"/>
      <w:r>
        <w:t>Bouwwerkzaamheden</w:t>
      </w:r>
      <w:bookmarkEnd w:id="920"/>
    </w:p>
    <w:p w:rsidR="00CA27E6" w:rsidRDefault="00CA27E6" w:rsidP="00AF3F9E">
      <w:pPr>
        <w:rPr>
          <w:lang w:val="nl-NL"/>
        </w:rPr>
      </w:pPr>
      <w:r>
        <w:rPr>
          <w:lang w:val="nl-NL"/>
        </w:rPr>
        <w:t xml:space="preserve">Het is evident dat bij de uitvoering van de bouwwerkzaamheden in het kader van de aanleg van nieuwe constructies, rekening </w:t>
      </w:r>
      <w:r w:rsidR="005F36F8">
        <w:rPr>
          <w:lang w:val="nl-NL"/>
        </w:rPr>
        <w:t>zal</w:t>
      </w:r>
      <w:r>
        <w:rPr>
          <w:lang w:val="nl-NL"/>
        </w:rPr>
        <w:t xml:space="preserve"> gehouden worden met de on s</w:t>
      </w:r>
      <w:r w:rsidR="005F36F8">
        <w:rPr>
          <w:lang w:val="nl-NL"/>
        </w:rPr>
        <w:t>ite aanwezige verontreinigingen – o.m. in het kader van de regeling grondverzet.</w:t>
      </w:r>
    </w:p>
    <w:p w:rsidR="005F36F8" w:rsidRDefault="005F36F8" w:rsidP="00AF3F9E">
      <w:pPr>
        <w:rPr>
          <w:lang w:val="nl-NL"/>
        </w:rPr>
      </w:pPr>
      <w:r>
        <w:rPr>
          <w:lang w:val="nl-NL"/>
        </w:rPr>
        <w:t xml:space="preserve">Opgemerkt wordt ook dat gezien de gering diepte van de constructie, er geen grondwaterbemalingen voorzien worden. Het eventueel tijdelijk oppompen en zuiveren van verontreinigd grondwater is </w:t>
      </w:r>
      <w:r w:rsidR="00FA68FB">
        <w:rPr>
          <w:lang w:val="nl-NL"/>
        </w:rPr>
        <w:t xml:space="preserve">actueel </w:t>
      </w:r>
      <w:r>
        <w:rPr>
          <w:lang w:val="nl-NL"/>
        </w:rPr>
        <w:t>dan ook niet aan de orde.</w:t>
      </w:r>
    </w:p>
    <w:p w:rsidR="005F36F8" w:rsidRDefault="005F36F8" w:rsidP="004F40A7">
      <w:pPr>
        <w:pStyle w:val="Heading5"/>
      </w:pPr>
      <w:bookmarkStart w:id="921" w:name="_Toc312069335"/>
      <w:r>
        <w:t>Risico’s m.b.t. het ontstaan van bodem- en grondwaterverontreiniging</w:t>
      </w:r>
      <w:bookmarkEnd w:id="921"/>
    </w:p>
    <w:p w:rsidR="005F36F8" w:rsidRDefault="005F36F8" w:rsidP="00AF3F9E">
      <w:r>
        <w:t>Alle nieuwe tankenparken worden vloeistofdicht uitgevoerd. Ook nieuw te voorziene overslagfaciliteiten worden voorzien van vloeistofdichte opvanginrichtingen en/of verhardingen.</w:t>
      </w:r>
    </w:p>
    <w:p w:rsidR="005F36F8" w:rsidRDefault="005F36F8" w:rsidP="00AF3F9E">
      <w:pPr>
        <w:rPr>
          <w:lang w:val="nl-NL"/>
        </w:rPr>
      </w:pPr>
      <w:r>
        <w:t xml:space="preserve">In de toekomst zal de </w:t>
      </w:r>
      <w:r w:rsidRPr="00EA6FA3">
        <w:rPr>
          <w:lang w:val="nl-NL"/>
        </w:rPr>
        <w:t xml:space="preserve">kans op </w:t>
      </w:r>
      <w:r>
        <w:rPr>
          <w:lang w:val="nl-NL"/>
        </w:rPr>
        <w:t xml:space="preserve">het ontstaan van </w:t>
      </w:r>
      <w:r w:rsidRPr="00EA6FA3">
        <w:rPr>
          <w:lang w:val="nl-NL"/>
        </w:rPr>
        <w:t xml:space="preserve">nieuwe bodem- of grondwaterverontreiniging tijdens de exploitatie van de terminal </w:t>
      </w:r>
      <w:r>
        <w:rPr>
          <w:lang w:val="nl-NL"/>
        </w:rPr>
        <w:t>niet wijzigen t.o.v. de huidige situatie.</w:t>
      </w:r>
    </w:p>
    <w:p w:rsidR="00B4457D" w:rsidRDefault="00B4457D">
      <w:pPr>
        <w:keepLines w:val="0"/>
        <w:spacing w:before="0" w:after="0" w:line="240" w:lineRule="auto"/>
        <w:jc w:val="left"/>
        <w:rPr>
          <w:b/>
          <w:smallCaps/>
          <w:spacing w:val="26"/>
          <w:sz w:val="22"/>
          <w:szCs w:val="24"/>
          <w:lang w:val="nl-NL"/>
        </w:rPr>
      </w:pPr>
      <w:r>
        <w:br w:type="page"/>
      </w:r>
    </w:p>
    <w:p w:rsidR="00F70BB3" w:rsidRDefault="00F70BB3" w:rsidP="004F40A7">
      <w:pPr>
        <w:pStyle w:val="Heading3"/>
      </w:pPr>
      <w:bookmarkStart w:id="922" w:name="_Toc312069336"/>
      <w:r>
        <w:lastRenderedPageBreak/>
        <w:t>Geluid</w:t>
      </w:r>
      <w:bookmarkEnd w:id="922"/>
    </w:p>
    <w:p w:rsidR="008B0ED6" w:rsidRDefault="008B0ED6" w:rsidP="004F40A7">
      <w:pPr>
        <w:pStyle w:val="Heading4"/>
      </w:pPr>
      <w:bookmarkStart w:id="923" w:name="_Toc312069337"/>
      <w:r>
        <w:t>Geluidsbronnen</w:t>
      </w:r>
      <w:bookmarkEnd w:id="923"/>
    </w:p>
    <w:p w:rsidR="008B0ED6" w:rsidRDefault="008B0ED6" w:rsidP="00AF3F9E">
      <w:r>
        <w:rPr>
          <w:lang w:val="nl-NL"/>
        </w:rPr>
        <w:t xml:space="preserve">De </w:t>
      </w:r>
      <w:r w:rsidR="007236CA">
        <w:rPr>
          <w:lang w:val="nl-NL"/>
        </w:rPr>
        <w:t xml:space="preserve">voornaamste </w:t>
      </w:r>
      <w:r>
        <w:rPr>
          <w:lang w:val="nl-NL"/>
        </w:rPr>
        <w:t xml:space="preserve">geluidsbronnen van de terminal omvatten </w:t>
      </w:r>
      <w:r w:rsidR="007236CA">
        <w:t xml:space="preserve">laad – en losstations voor vrachtwagens, </w:t>
      </w:r>
      <w:r w:rsidR="007236CA" w:rsidRPr="00E65614">
        <w:t>pompen ter hoogte van tanks</w:t>
      </w:r>
      <w:r w:rsidR="007236CA">
        <w:t xml:space="preserve"> (voor treinen en vrachtwagens),</w:t>
      </w:r>
      <w:r w:rsidR="007236CA" w:rsidRPr="00E65614">
        <w:t xml:space="preserve"> </w:t>
      </w:r>
      <w:r w:rsidR="007236CA">
        <w:t xml:space="preserve">scheepspompen, </w:t>
      </w:r>
      <w:r w:rsidR="007236CA" w:rsidRPr="00E65614">
        <w:t>de installaties (blower) van de waterzuivering</w:t>
      </w:r>
      <w:r w:rsidR="007236CA">
        <w:t xml:space="preserve"> en de verbrandingsinstallatie horende bij de stoomketel</w:t>
      </w:r>
      <w:r w:rsidR="007236CA" w:rsidRPr="00E65614">
        <w:t>.</w:t>
      </w:r>
      <w:r w:rsidR="007236CA">
        <w:t xml:space="preserve"> Andere installaties zijn akoestisch niet relevant.</w:t>
      </w:r>
    </w:p>
    <w:p w:rsidR="007236CA" w:rsidRDefault="000C2A7C" w:rsidP="00AF3F9E">
      <w:r>
        <w:t>Op basis van</w:t>
      </w:r>
      <w:r w:rsidR="007236CA">
        <w:t xml:space="preserve"> </w:t>
      </w:r>
      <w:r>
        <w:t>geluidsvermogenniveaumetingen</w:t>
      </w:r>
      <w:r w:rsidR="007236CA">
        <w:t xml:space="preserve"> uitgevoerd naar aanleiding van de milieueffectrapporten opgesteld voor de terminal Vopak Terminal Linkeroever en Vopak Terminal ACS, </w:t>
      </w:r>
      <w:r>
        <w:t>kan</w:t>
      </w:r>
      <w:r w:rsidR="007236CA">
        <w:t xml:space="preserve"> het totale geluidsvermogenniveau van de terminal </w:t>
      </w:r>
      <w:r>
        <w:t>geraamd worden op</w:t>
      </w:r>
      <w:r w:rsidR="007236CA">
        <w:t xml:space="preserve"> 100 (excl. scheepslossing) </w:t>
      </w:r>
      <w:r>
        <w:t>à</w:t>
      </w:r>
      <w:r w:rsidR="007236CA">
        <w:t xml:space="preserve"> 105 dB</w:t>
      </w:r>
      <w:r>
        <w:t>(</w:t>
      </w:r>
      <w:r w:rsidR="007236CA">
        <w:t>A</w:t>
      </w:r>
      <w:r>
        <w:t>)</w:t>
      </w:r>
      <w:r w:rsidR="007236CA">
        <w:t xml:space="preserve"> (incl. scheepslossing).</w:t>
      </w:r>
      <w:r w:rsidR="00B62DE8">
        <w:t xml:space="preserve"> Deze raming gaat er van uit dat een 6-tal pompen simultaan in werking zijn</w:t>
      </w:r>
      <w:r w:rsidR="00B62DE8">
        <w:rPr>
          <w:rStyle w:val="FootnoteReference"/>
        </w:rPr>
        <w:footnoteReference w:id="68"/>
      </w:r>
      <w:r w:rsidR="00B62DE8">
        <w:t>.</w:t>
      </w:r>
    </w:p>
    <w:p w:rsidR="000C2A7C" w:rsidRPr="008B0ED6" w:rsidRDefault="00B62DE8" w:rsidP="00AF3F9E">
      <w:pPr>
        <w:rPr>
          <w:lang w:val="nl-NL"/>
        </w:rPr>
      </w:pPr>
      <w:r>
        <w:rPr>
          <w:lang w:val="nl-NL"/>
        </w:rPr>
        <w:t>De in de toekomst voorziene wijzgingen zullen nauwelijks iets wijzigen aan dit totale geluidsvermogenniveau. Stel dat de uitbreiding er toe zal leiden dat er 2 bijkomende pompen met de andere pompen simultaan in werking zijn, dan is de toename van het totale geluidsvermogenniveau kleiner dan 1 dB(A).</w:t>
      </w:r>
    </w:p>
    <w:p w:rsidR="00617415" w:rsidRDefault="00CD20A4">
      <w:pPr>
        <w:pStyle w:val="Heading4"/>
        <w:rPr>
          <w:rStyle w:val="Heading4Char"/>
        </w:rPr>
      </w:pPr>
      <w:bookmarkStart w:id="924" w:name="_Toc288752623"/>
      <w:bookmarkStart w:id="925" w:name="_Toc312069338"/>
      <w:r>
        <w:t>Evaluatie van de mogelijke milieu-effecten</w:t>
      </w:r>
      <w:bookmarkEnd w:id="924"/>
      <w:bookmarkEnd w:id="925"/>
    </w:p>
    <w:p w:rsidR="002C5D44" w:rsidRDefault="00CD20A4">
      <w:pPr>
        <w:pStyle w:val="tsstekst"/>
        <w:ind w:left="1418" w:hanging="1134"/>
      </w:pPr>
      <w:r>
        <w:t xml:space="preserve">Opm. </w:t>
      </w:r>
      <w:r>
        <w:tab/>
        <w:t>Onderstaande evaluatie werd uitgewerkt door de MER-coördinator i.o.m. een erkend deskundige geluid.</w:t>
      </w:r>
    </w:p>
    <w:p w:rsidR="00CD20A4" w:rsidRDefault="00CD20A4" w:rsidP="00AF3F9E">
      <w:pPr>
        <w:rPr>
          <w:lang w:val="nl-NL"/>
        </w:rPr>
      </w:pPr>
      <w:r>
        <w:rPr>
          <w:lang w:val="nl-NL"/>
        </w:rPr>
        <w:t>De mogelijke impact van de geluidsemissies dienen – conform de voorwaarden van VLAREM II – bepaald te worden t.h.v.</w:t>
      </w:r>
    </w:p>
    <w:p w:rsidR="00CD20A4" w:rsidRDefault="00CD20A4" w:rsidP="00F57FD9">
      <w:pPr>
        <w:pStyle w:val="ListParagraph"/>
        <w:numPr>
          <w:ilvl w:val="0"/>
          <w:numId w:val="110"/>
        </w:numPr>
        <w:rPr>
          <w:lang w:val="nl-NL"/>
        </w:rPr>
      </w:pPr>
      <w:r>
        <w:rPr>
          <w:lang w:val="nl-NL"/>
        </w:rPr>
        <w:t>Een beoordelingspunt gelegen in het industriegebied op Rechter Scheldeoever op 200 m van de inrichting</w:t>
      </w:r>
      <w:r>
        <w:rPr>
          <w:rStyle w:val="FootnoteReference"/>
          <w:lang w:val="nl-NL"/>
        </w:rPr>
        <w:footnoteReference w:id="69"/>
      </w:r>
      <w:r>
        <w:rPr>
          <w:lang w:val="nl-NL"/>
        </w:rPr>
        <w:t>;</w:t>
      </w:r>
    </w:p>
    <w:p w:rsidR="00CD20A4" w:rsidRDefault="00CD20A4" w:rsidP="00F57FD9">
      <w:pPr>
        <w:pStyle w:val="ListParagraph"/>
        <w:numPr>
          <w:ilvl w:val="0"/>
          <w:numId w:val="110"/>
        </w:numPr>
        <w:rPr>
          <w:lang w:val="nl-NL"/>
        </w:rPr>
      </w:pPr>
      <w:r>
        <w:rPr>
          <w:lang w:val="nl-NL"/>
        </w:rPr>
        <w:t>Een beoordelingspunt gelegen op 200 m van de grens van het industriegebied, zijnde op minstens 600 van de inrichting.</w:t>
      </w:r>
    </w:p>
    <w:p w:rsidR="00CD20A4" w:rsidRDefault="00CD20A4" w:rsidP="00AF3F9E">
      <w:pPr>
        <w:rPr>
          <w:lang w:val="nl-NL"/>
        </w:rPr>
      </w:pPr>
      <w:r>
        <w:rPr>
          <w:lang w:val="nl-NL"/>
        </w:rPr>
        <w:t>De ter hoogte van de beoordelingspunten geldende milieukwaliteitsnormen worden weergegeven in onderstaande tabel.</w:t>
      </w:r>
    </w:p>
    <w:p w:rsidR="00CD20A4" w:rsidRDefault="00CB3B91" w:rsidP="00AF3F9E">
      <w:pPr>
        <w:pStyle w:val="tabel0"/>
      </w:pPr>
      <w:r w:rsidRPr="00CB3B91">
        <w:rPr>
          <w:lang w:val="nl-BE"/>
        </w:rPr>
        <w:t xml:space="preserve">Tabel </w:t>
      </w:r>
      <w:r w:rsidR="00C325A0">
        <w:fldChar w:fldCharType="begin"/>
      </w:r>
      <w:r w:rsidR="000F5070" w:rsidRPr="000F5070">
        <w:rPr>
          <w:lang w:val="nl-BE"/>
        </w:rPr>
        <w:instrText xml:space="preserve"> REF geluid_beoordelingspunten \h </w:instrText>
      </w:r>
      <w:r w:rsidR="00C325A0">
        <w:fldChar w:fldCharType="separate"/>
      </w:r>
      <w:r w:rsidR="008102D8">
        <w:t>VIII.4.1</w:t>
      </w:r>
      <w:r w:rsidR="00C325A0">
        <w:fldChar w:fldCharType="end"/>
      </w:r>
      <w:r w:rsidR="000F5070">
        <w:t xml:space="preserve"> </w:t>
      </w:r>
      <w:r w:rsidR="00CD20A4">
        <w:t>Overzicht beoordelingspunten geluid</w:t>
      </w:r>
    </w:p>
    <w:tbl>
      <w:tblPr>
        <w:tblW w:w="84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2127"/>
        <w:gridCol w:w="2054"/>
        <w:gridCol w:w="568"/>
        <w:gridCol w:w="709"/>
        <w:gridCol w:w="709"/>
      </w:tblGrid>
      <w:tr w:rsidR="00CD20A4" w:rsidRPr="008E6294" w:rsidTr="005272D2">
        <w:tc>
          <w:tcPr>
            <w:tcW w:w="2268" w:type="dxa"/>
            <w:vMerge w:val="restart"/>
            <w:tcBorders>
              <w:top w:val="single" w:sz="4" w:space="0" w:color="auto"/>
              <w:left w:val="single" w:sz="4" w:space="0" w:color="auto"/>
              <w:right w:val="single" w:sz="4" w:space="0" w:color="auto"/>
            </w:tcBorders>
            <w:shd w:val="clear" w:color="auto" w:fill="B3B3B3"/>
            <w:vAlign w:val="center"/>
          </w:tcPr>
          <w:p w:rsidR="00CD20A4" w:rsidRPr="008E6294" w:rsidRDefault="00CD20A4" w:rsidP="00AF3F9E">
            <w:pPr>
              <w:pStyle w:val="normaltabel"/>
            </w:pPr>
            <w:r w:rsidRPr="008E6294">
              <w:t>Beoordelingspunt</w:t>
            </w:r>
          </w:p>
        </w:tc>
        <w:tc>
          <w:tcPr>
            <w:tcW w:w="2127" w:type="dxa"/>
            <w:vMerge w:val="restart"/>
            <w:tcBorders>
              <w:top w:val="single" w:sz="4" w:space="0" w:color="auto"/>
              <w:left w:val="single" w:sz="4" w:space="0" w:color="auto"/>
              <w:right w:val="single" w:sz="4" w:space="0" w:color="auto"/>
            </w:tcBorders>
            <w:shd w:val="clear" w:color="auto" w:fill="B3B3B3"/>
            <w:vAlign w:val="center"/>
          </w:tcPr>
          <w:p w:rsidR="00CD20A4" w:rsidRPr="008E6294" w:rsidRDefault="00CD20A4" w:rsidP="00AF3F9E">
            <w:pPr>
              <w:pStyle w:val="normaltabel"/>
            </w:pPr>
            <w:r w:rsidRPr="008E6294">
              <w:t xml:space="preserve">Afstand t.o.v. </w:t>
            </w:r>
            <w:r w:rsidRPr="008E6294">
              <w:br/>
            </w:r>
            <w:fldSimple w:instr=" klant  \* MERGEFORMAT ">
              <w:r w:rsidR="008102D8">
                <w:t xml:space="preserve">Vopak Terminal Eurotank NV </w:t>
              </w:r>
            </w:fldSimple>
            <w:r w:rsidRPr="008E6294">
              <w:br/>
              <w:t>(bedrijfsgrens)</w:t>
            </w:r>
            <w:r w:rsidRPr="008E6294">
              <w:br/>
              <w:t>[m]</w:t>
            </w:r>
          </w:p>
        </w:tc>
        <w:tc>
          <w:tcPr>
            <w:tcW w:w="2054" w:type="dxa"/>
            <w:vMerge w:val="restart"/>
            <w:tcBorders>
              <w:top w:val="single" w:sz="4" w:space="0" w:color="auto"/>
              <w:left w:val="single" w:sz="4" w:space="0" w:color="auto"/>
              <w:right w:val="single" w:sz="4" w:space="0" w:color="auto"/>
            </w:tcBorders>
            <w:shd w:val="clear" w:color="auto" w:fill="B3B3B3"/>
            <w:vAlign w:val="center"/>
          </w:tcPr>
          <w:p w:rsidR="00CD20A4" w:rsidRPr="008E6294" w:rsidRDefault="00CD20A4" w:rsidP="00AF3F9E">
            <w:pPr>
              <w:pStyle w:val="normaltabel"/>
            </w:pPr>
            <w:r w:rsidRPr="008E6294">
              <w:t>Planologische bestemming</w:t>
            </w:r>
          </w:p>
        </w:tc>
        <w:tc>
          <w:tcPr>
            <w:tcW w:w="1986" w:type="dxa"/>
            <w:gridSpan w:val="3"/>
            <w:tcBorders>
              <w:top w:val="single" w:sz="4" w:space="0" w:color="auto"/>
              <w:left w:val="single" w:sz="4" w:space="0" w:color="auto"/>
              <w:bottom w:val="single" w:sz="4" w:space="0" w:color="auto"/>
            </w:tcBorders>
            <w:shd w:val="clear" w:color="auto" w:fill="B3B3B3"/>
            <w:vAlign w:val="center"/>
          </w:tcPr>
          <w:p w:rsidR="00CD20A4" w:rsidRPr="008E6294" w:rsidRDefault="00CD20A4" w:rsidP="00AF3F9E">
            <w:pPr>
              <w:pStyle w:val="normaltabel"/>
            </w:pPr>
            <w:r w:rsidRPr="008E6294">
              <w:t>Milieukwaliteitsnormen VLAREM II</w:t>
            </w:r>
          </w:p>
          <w:p w:rsidR="00CD20A4" w:rsidRPr="008E6294" w:rsidRDefault="00CD20A4" w:rsidP="00AF3F9E">
            <w:pPr>
              <w:pStyle w:val="normaltabel"/>
            </w:pPr>
            <w:r w:rsidRPr="008E6294">
              <w:t>[dBA]</w:t>
            </w:r>
          </w:p>
        </w:tc>
      </w:tr>
      <w:tr w:rsidR="00CD20A4" w:rsidRPr="004768CF" w:rsidTr="005272D2">
        <w:tc>
          <w:tcPr>
            <w:tcW w:w="2268" w:type="dxa"/>
            <w:vMerge/>
            <w:tcBorders>
              <w:left w:val="single" w:sz="4" w:space="0" w:color="auto"/>
              <w:bottom w:val="single" w:sz="4" w:space="0" w:color="auto"/>
              <w:right w:val="single" w:sz="4" w:space="0" w:color="auto"/>
            </w:tcBorders>
          </w:tcPr>
          <w:p w:rsidR="00CD20A4" w:rsidRPr="004768CF" w:rsidRDefault="00CD20A4" w:rsidP="00AF3F9E">
            <w:pPr>
              <w:pStyle w:val="normaltabel"/>
            </w:pPr>
          </w:p>
        </w:tc>
        <w:tc>
          <w:tcPr>
            <w:tcW w:w="2127" w:type="dxa"/>
            <w:vMerge/>
            <w:tcBorders>
              <w:left w:val="single" w:sz="4" w:space="0" w:color="auto"/>
              <w:bottom w:val="single" w:sz="4" w:space="0" w:color="auto"/>
              <w:right w:val="single" w:sz="4" w:space="0" w:color="auto"/>
            </w:tcBorders>
          </w:tcPr>
          <w:p w:rsidR="00CD20A4" w:rsidRPr="004768CF" w:rsidRDefault="00CD20A4" w:rsidP="00AF3F9E">
            <w:pPr>
              <w:pStyle w:val="normaltabel"/>
            </w:pPr>
          </w:p>
        </w:tc>
        <w:tc>
          <w:tcPr>
            <w:tcW w:w="2054" w:type="dxa"/>
            <w:vMerge/>
            <w:tcBorders>
              <w:left w:val="single" w:sz="4" w:space="0" w:color="auto"/>
              <w:bottom w:val="single" w:sz="4" w:space="0" w:color="auto"/>
              <w:right w:val="single" w:sz="4" w:space="0" w:color="auto"/>
            </w:tcBorders>
          </w:tcPr>
          <w:p w:rsidR="00CD20A4" w:rsidRPr="004768CF" w:rsidRDefault="00CD20A4" w:rsidP="00AF3F9E">
            <w:pPr>
              <w:pStyle w:val="normaltabel"/>
            </w:pPr>
          </w:p>
        </w:tc>
        <w:tc>
          <w:tcPr>
            <w:tcW w:w="568" w:type="dxa"/>
            <w:tcBorders>
              <w:top w:val="single" w:sz="4" w:space="0" w:color="auto"/>
              <w:left w:val="single" w:sz="4" w:space="0" w:color="auto"/>
              <w:bottom w:val="single" w:sz="4" w:space="0" w:color="auto"/>
              <w:right w:val="single" w:sz="4" w:space="0" w:color="auto"/>
            </w:tcBorders>
          </w:tcPr>
          <w:p w:rsidR="00CD20A4" w:rsidRPr="004768CF" w:rsidRDefault="00CD20A4" w:rsidP="00AF3F9E">
            <w:pPr>
              <w:pStyle w:val="normaltabel"/>
            </w:pPr>
            <w:r>
              <w:t>Dag</w:t>
            </w:r>
          </w:p>
        </w:tc>
        <w:tc>
          <w:tcPr>
            <w:tcW w:w="709" w:type="dxa"/>
            <w:tcBorders>
              <w:top w:val="single" w:sz="4" w:space="0" w:color="auto"/>
              <w:left w:val="single" w:sz="4" w:space="0" w:color="auto"/>
              <w:bottom w:val="single" w:sz="4" w:space="0" w:color="auto"/>
              <w:right w:val="single" w:sz="4" w:space="0" w:color="auto"/>
            </w:tcBorders>
          </w:tcPr>
          <w:p w:rsidR="00CD20A4" w:rsidRPr="004768CF" w:rsidRDefault="00CD20A4" w:rsidP="00AF3F9E">
            <w:pPr>
              <w:pStyle w:val="normaltabel"/>
            </w:pPr>
            <w:r>
              <w:t>Avond</w:t>
            </w:r>
          </w:p>
        </w:tc>
        <w:tc>
          <w:tcPr>
            <w:tcW w:w="709" w:type="dxa"/>
            <w:tcBorders>
              <w:top w:val="single" w:sz="4" w:space="0" w:color="auto"/>
              <w:left w:val="single" w:sz="4" w:space="0" w:color="auto"/>
              <w:bottom w:val="single" w:sz="4" w:space="0" w:color="auto"/>
            </w:tcBorders>
          </w:tcPr>
          <w:p w:rsidR="00CD20A4" w:rsidRPr="004768CF" w:rsidRDefault="00CD20A4" w:rsidP="00AF3F9E">
            <w:pPr>
              <w:pStyle w:val="normaltabel"/>
            </w:pPr>
            <w:r>
              <w:t>nacht</w:t>
            </w:r>
          </w:p>
        </w:tc>
      </w:tr>
      <w:tr w:rsidR="00CD20A4" w:rsidRPr="004768CF" w:rsidTr="005272D2">
        <w:tc>
          <w:tcPr>
            <w:tcW w:w="2268" w:type="dxa"/>
            <w:tcBorders>
              <w:top w:val="single" w:sz="4" w:space="0" w:color="auto"/>
              <w:left w:val="single" w:sz="4" w:space="0" w:color="auto"/>
              <w:bottom w:val="single" w:sz="4" w:space="0" w:color="auto"/>
              <w:right w:val="single" w:sz="4" w:space="0" w:color="auto"/>
            </w:tcBorders>
            <w:vAlign w:val="center"/>
          </w:tcPr>
          <w:p w:rsidR="00CD20A4" w:rsidRPr="004768CF" w:rsidRDefault="00CD20A4" w:rsidP="00AF3F9E">
            <w:pPr>
              <w:pStyle w:val="normaltabel"/>
            </w:pPr>
            <w:r>
              <w:t>Gelegen in industriezone Rechterscheldeoever</w:t>
            </w:r>
          </w:p>
        </w:tc>
        <w:tc>
          <w:tcPr>
            <w:tcW w:w="2127" w:type="dxa"/>
            <w:tcBorders>
              <w:top w:val="single" w:sz="4" w:space="0" w:color="auto"/>
              <w:left w:val="single" w:sz="4" w:space="0" w:color="auto"/>
              <w:bottom w:val="single" w:sz="4" w:space="0" w:color="auto"/>
              <w:right w:val="single" w:sz="4" w:space="0" w:color="auto"/>
            </w:tcBorders>
            <w:vAlign w:val="center"/>
          </w:tcPr>
          <w:p w:rsidR="00CD20A4" w:rsidRPr="004768CF" w:rsidRDefault="00CD20A4" w:rsidP="00AF3F9E">
            <w:pPr>
              <w:pStyle w:val="normaltabel"/>
            </w:pPr>
            <w:r w:rsidRPr="004768CF">
              <w:t>20</w:t>
            </w:r>
            <w:r>
              <w:t>0</w:t>
            </w:r>
            <w:r w:rsidRPr="004768CF">
              <w:t xml:space="preserve"> m</w:t>
            </w:r>
          </w:p>
        </w:tc>
        <w:tc>
          <w:tcPr>
            <w:tcW w:w="2054" w:type="dxa"/>
            <w:tcBorders>
              <w:top w:val="single" w:sz="4" w:space="0" w:color="auto"/>
              <w:left w:val="single" w:sz="4" w:space="0" w:color="auto"/>
              <w:bottom w:val="single" w:sz="4" w:space="0" w:color="auto"/>
              <w:right w:val="single" w:sz="4" w:space="0" w:color="auto"/>
            </w:tcBorders>
            <w:vAlign w:val="center"/>
          </w:tcPr>
          <w:p w:rsidR="00CD20A4" w:rsidRPr="004768CF" w:rsidRDefault="00CD20A4" w:rsidP="00AF3F9E">
            <w:pPr>
              <w:pStyle w:val="normaltabel"/>
            </w:pPr>
            <w:r>
              <w:t>Industriegebied</w:t>
            </w:r>
          </w:p>
        </w:tc>
        <w:tc>
          <w:tcPr>
            <w:tcW w:w="568" w:type="dxa"/>
            <w:tcBorders>
              <w:top w:val="single" w:sz="4" w:space="0" w:color="auto"/>
              <w:left w:val="single" w:sz="4" w:space="0" w:color="auto"/>
              <w:bottom w:val="single" w:sz="4" w:space="0" w:color="auto"/>
              <w:right w:val="single" w:sz="4" w:space="0" w:color="auto"/>
            </w:tcBorders>
            <w:vAlign w:val="center"/>
          </w:tcPr>
          <w:p w:rsidR="00CD20A4" w:rsidRPr="004768CF" w:rsidRDefault="00CD20A4" w:rsidP="00AF3F9E">
            <w:pPr>
              <w:pStyle w:val="normaltabel"/>
            </w:pPr>
            <w:r>
              <w:t>60</w:t>
            </w:r>
          </w:p>
        </w:tc>
        <w:tc>
          <w:tcPr>
            <w:tcW w:w="709" w:type="dxa"/>
            <w:tcBorders>
              <w:top w:val="single" w:sz="4" w:space="0" w:color="auto"/>
              <w:left w:val="single" w:sz="4" w:space="0" w:color="auto"/>
              <w:bottom w:val="single" w:sz="4" w:space="0" w:color="auto"/>
              <w:right w:val="single" w:sz="4" w:space="0" w:color="auto"/>
            </w:tcBorders>
            <w:vAlign w:val="center"/>
          </w:tcPr>
          <w:p w:rsidR="00CD20A4" w:rsidRPr="004768CF" w:rsidRDefault="00CD20A4" w:rsidP="00AF3F9E">
            <w:pPr>
              <w:pStyle w:val="normaltabel"/>
            </w:pPr>
            <w:r>
              <w:t>55</w:t>
            </w:r>
          </w:p>
        </w:tc>
        <w:tc>
          <w:tcPr>
            <w:tcW w:w="709" w:type="dxa"/>
            <w:tcBorders>
              <w:top w:val="single" w:sz="4" w:space="0" w:color="auto"/>
              <w:left w:val="single" w:sz="4" w:space="0" w:color="auto"/>
              <w:bottom w:val="single" w:sz="4" w:space="0" w:color="auto"/>
            </w:tcBorders>
            <w:vAlign w:val="center"/>
          </w:tcPr>
          <w:p w:rsidR="00CD20A4" w:rsidRPr="004768CF" w:rsidRDefault="00CD20A4" w:rsidP="00AF3F9E">
            <w:pPr>
              <w:pStyle w:val="normaltabel"/>
            </w:pPr>
            <w:r>
              <w:t>55</w:t>
            </w:r>
          </w:p>
        </w:tc>
      </w:tr>
      <w:tr w:rsidR="00CD20A4" w:rsidRPr="004768CF" w:rsidTr="005272D2">
        <w:tc>
          <w:tcPr>
            <w:tcW w:w="2268" w:type="dxa"/>
            <w:tcBorders>
              <w:top w:val="single" w:sz="4" w:space="0" w:color="auto"/>
              <w:left w:val="single" w:sz="4" w:space="0" w:color="auto"/>
              <w:bottom w:val="single" w:sz="4" w:space="0" w:color="auto"/>
              <w:right w:val="single" w:sz="4" w:space="0" w:color="auto"/>
            </w:tcBorders>
            <w:vAlign w:val="center"/>
          </w:tcPr>
          <w:p w:rsidR="00CD20A4" w:rsidRPr="004768CF" w:rsidRDefault="00CD20A4" w:rsidP="00AF3F9E">
            <w:pPr>
              <w:pStyle w:val="normaltabel"/>
            </w:pPr>
            <w:r>
              <w:t>Gelegen op 200 m van het industriegebied</w:t>
            </w:r>
          </w:p>
        </w:tc>
        <w:tc>
          <w:tcPr>
            <w:tcW w:w="2127" w:type="dxa"/>
            <w:tcBorders>
              <w:top w:val="single" w:sz="4" w:space="0" w:color="auto"/>
              <w:left w:val="single" w:sz="4" w:space="0" w:color="auto"/>
              <w:bottom w:val="single" w:sz="4" w:space="0" w:color="auto"/>
              <w:right w:val="single" w:sz="4" w:space="0" w:color="auto"/>
            </w:tcBorders>
            <w:vAlign w:val="center"/>
          </w:tcPr>
          <w:p w:rsidR="00CD20A4" w:rsidRPr="004768CF" w:rsidRDefault="00CD20A4" w:rsidP="00AF3F9E">
            <w:pPr>
              <w:pStyle w:val="normaltabel"/>
            </w:pPr>
            <w:r>
              <w:t>600</w:t>
            </w:r>
            <w:r w:rsidRPr="004768CF">
              <w:t xml:space="preserve"> m</w:t>
            </w:r>
          </w:p>
        </w:tc>
        <w:tc>
          <w:tcPr>
            <w:tcW w:w="2054" w:type="dxa"/>
            <w:tcBorders>
              <w:top w:val="single" w:sz="4" w:space="0" w:color="auto"/>
              <w:left w:val="single" w:sz="4" w:space="0" w:color="auto"/>
              <w:bottom w:val="single" w:sz="4" w:space="0" w:color="auto"/>
              <w:right w:val="single" w:sz="4" w:space="0" w:color="auto"/>
            </w:tcBorders>
            <w:vAlign w:val="center"/>
          </w:tcPr>
          <w:p w:rsidR="00CD20A4" w:rsidRPr="004768CF" w:rsidRDefault="00CD20A4" w:rsidP="00AF3F9E">
            <w:pPr>
              <w:pStyle w:val="normaltabel"/>
            </w:pPr>
            <w:r w:rsidRPr="004768CF">
              <w:t>gebied op minder dan 500 m van industriegebied</w:t>
            </w:r>
          </w:p>
        </w:tc>
        <w:tc>
          <w:tcPr>
            <w:tcW w:w="568" w:type="dxa"/>
            <w:tcBorders>
              <w:top w:val="single" w:sz="4" w:space="0" w:color="auto"/>
              <w:left w:val="single" w:sz="4" w:space="0" w:color="auto"/>
              <w:bottom w:val="single" w:sz="4" w:space="0" w:color="auto"/>
              <w:right w:val="single" w:sz="4" w:space="0" w:color="auto"/>
            </w:tcBorders>
            <w:vAlign w:val="center"/>
          </w:tcPr>
          <w:p w:rsidR="00CD20A4" w:rsidRPr="004768CF" w:rsidRDefault="00CD20A4" w:rsidP="00AF3F9E">
            <w:pPr>
              <w:pStyle w:val="normaltabel"/>
            </w:pPr>
            <w:r>
              <w:t>50</w:t>
            </w:r>
          </w:p>
        </w:tc>
        <w:tc>
          <w:tcPr>
            <w:tcW w:w="709" w:type="dxa"/>
            <w:tcBorders>
              <w:top w:val="single" w:sz="4" w:space="0" w:color="auto"/>
              <w:left w:val="single" w:sz="4" w:space="0" w:color="auto"/>
              <w:bottom w:val="single" w:sz="4" w:space="0" w:color="auto"/>
              <w:right w:val="single" w:sz="4" w:space="0" w:color="auto"/>
            </w:tcBorders>
            <w:vAlign w:val="center"/>
          </w:tcPr>
          <w:p w:rsidR="00CD20A4" w:rsidRPr="004768CF" w:rsidRDefault="00CD20A4" w:rsidP="00AF3F9E">
            <w:pPr>
              <w:pStyle w:val="normaltabel"/>
            </w:pPr>
            <w:r>
              <w:t>45</w:t>
            </w:r>
          </w:p>
        </w:tc>
        <w:tc>
          <w:tcPr>
            <w:tcW w:w="709" w:type="dxa"/>
            <w:tcBorders>
              <w:top w:val="single" w:sz="4" w:space="0" w:color="auto"/>
              <w:left w:val="single" w:sz="4" w:space="0" w:color="auto"/>
              <w:bottom w:val="single" w:sz="4" w:space="0" w:color="auto"/>
            </w:tcBorders>
            <w:vAlign w:val="center"/>
          </w:tcPr>
          <w:p w:rsidR="00CD20A4" w:rsidRPr="004768CF" w:rsidRDefault="00CD20A4" w:rsidP="00AF3F9E">
            <w:pPr>
              <w:pStyle w:val="normaltabel"/>
            </w:pPr>
            <w:r>
              <w:t>45</w:t>
            </w:r>
          </w:p>
        </w:tc>
      </w:tr>
    </w:tbl>
    <w:p w:rsidR="00A9520D" w:rsidRDefault="00BC0CAE" w:rsidP="00AF3F9E">
      <w:pPr>
        <w:pStyle w:val="normalkader"/>
        <w:rPr>
          <w:lang w:val="nl-NL"/>
        </w:rPr>
      </w:pPr>
      <w:r>
        <w:lastRenderedPageBreak/>
        <w:t>Uit diverse in het verleden uitgevoerde onderzoeken</w:t>
      </w:r>
      <w:r w:rsidR="00313060">
        <w:rPr>
          <w:rStyle w:val="FootnoteReference"/>
        </w:rPr>
        <w:footnoteReference w:id="70"/>
      </w:r>
      <w:r>
        <w:t xml:space="preserve"> is gebleken dat </w:t>
      </w:r>
      <w:r>
        <w:rPr>
          <w:lang w:val="nl-NL"/>
        </w:rPr>
        <w:t xml:space="preserve">thv de beoordelingspunten </w:t>
      </w:r>
      <w:r w:rsidR="00A9520D">
        <w:rPr>
          <w:lang w:val="nl-NL"/>
        </w:rPr>
        <w:t>een totaal geluidsvermogenniveau mag vooropgesteld worden van meer dan 55 dB(A) en dat maw de milieukwaliteits</w:t>
      </w:r>
      <w:r w:rsidR="00053638">
        <w:rPr>
          <w:lang w:val="nl-NL"/>
        </w:rPr>
        <w:softHyphen/>
      </w:r>
      <w:r w:rsidR="00A9520D">
        <w:rPr>
          <w:lang w:val="nl-NL"/>
        </w:rPr>
        <w:t>normen</w:t>
      </w:r>
      <w:r>
        <w:rPr>
          <w:lang w:val="nl-NL"/>
        </w:rPr>
        <w:t xml:space="preserve"> niet worden gerespecteerd. </w:t>
      </w:r>
    </w:p>
    <w:p w:rsidR="005B5A2F" w:rsidRDefault="00BC0CAE" w:rsidP="00AF3F9E">
      <w:pPr>
        <w:pStyle w:val="normalkader"/>
        <w:rPr>
          <w:lang w:val="nl-NL"/>
        </w:rPr>
      </w:pPr>
      <w:r>
        <w:rPr>
          <w:lang w:val="nl"/>
        </w:rPr>
        <w:t xml:space="preserve">De </w:t>
      </w:r>
      <w:r w:rsidR="00BF7EAE">
        <w:rPr>
          <w:lang w:val="nl"/>
        </w:rPr>
        <w:t xml:space="preserve">strengste </w:t>
      </w:r>
      <w:r>
        <w:rPr>
          <w:lang w:val="nl"/>
        </w:rPr>
        <w:t>grenswaarde</w:t>
      </w:r>
      <w:r w:rsidR="00BF7EAE">
        <w:rPr>
          <w:lang w:val="nl"/>
        </w:rPr>
        <w:t>n</w:t>
      </w:r>
      <w:r>
        <w:rPr>
          <w:lang w:val="nl"/>
        </w:rPr>
        <w:t xml:space="preserve"> </w:t>
      </w:r>
      <w:r w:rsidR="00BF7EAE">
        <w:rPr>
          <w:lang w:val="nl"/>
        </w:rPr>
        <w:t>waaraan</w:t>
      </w:r>
      <w:r>
        <w:rPr>
          <w:lang w:val="nl"/>
        </w:rPr>
        <w:t xml:space="preserve"> het specifiek geluidsniveau van VTE </w:t>
      </w:r>
      <w:r w:rsidR="00BF7EAE">
        <w:rPr>
          <w:lang w:val="nl"/>
        </w:rPr>
        <w:t>dient te voldoen bedragen</w:t>
      </w:r>
      <w:r>
        <w:rPr>
          <w:lang w:val="nl"/>
        </w:rPr>
        <w:t xml:space="preserve"> bijgevolg </w:t>
      </w:r>
      <w:r w:rsidR="00BF7EAE">
        <w:rPr>
          <w:lang w:val="nl"/>
        </w:rPr>
        <w:t xml:space="preserve">respectievelijk </w:t>
      </w:r>
      <w:r>
        <w:rPr>
          <w:lang w:val="nl"/>
        </w:rPr>
        <w:t>5</w:t>
      </w:r>
      <w:r w:rsidR="00A9520D">
        <w:rPr>
          <w:lang w:val="nl"/>
        </w:rPr>
        <w:t>0</w:t>
      </w:r>
      <w:r>
        <w:rPr>
          <w:lang w:val="nl"/>
        </w:rPr>
        <w:t xml:space="preserve"> dB(A) </w:t>
      </w:r>
      <w:r w:rsidR="00BF7EAE">
        <w:rPr>
          <w:lang w:val="nl"/>
        </w:rPr>
        <w:t>(beoordelingspunt op 200 m van de inrichting)</w:t>
      </w:r>
      <w:r w:rsidR="00A9520D">
        <w:rPr>
          <w:rStyle w:val="FootnoteReference"/>
          <w:lang w:val="nl"/>
        </w:rPr>
        <w:footnoteReference w:id="71"/>
      </w:r>
      <w:r w:rsidR="00BF7EAE">
        <w:rPr>
          <w:lang w:val="nl"/>
        </w:rPr>
        <w:t xml:space="preserve"> en 45 dB(A) (beoordelingspunt op 200 m van de grens van het industriegebied).</w:t>
      </w:r>
    </w:p>
    <w:p w:rsidR="000F5070" w:rsidRDefault="005B5A2F" w:rsidP="00AF3F9E">
      <w:r>
        <w:rPr>
          <w:lang w:val="nl-NL"/>
        </w:rPr>
        <w:t xml:space="preserve">Voor de beoordeling van de effecten </w:t>
      </w:r>
      <w:r>
        <w:t>de specifieke geluidsbijdrage berekend zonder enige vorm van afscherming in rekening te brengen, maw uitgaande van een afname van de geluidsbijdrage met 6 dB(A) per verdubbeling van de afstand.</w:t>
      </w:r>
    </w:p>
    <w:p w:rsidR="00053638" w:rsidRDefault="00053638" w:rsidP="00AF3F9E">
      <w:r>
        <w:t>In onderstaande wordt het aldus berekende specifiek geluidsniveau thv de beoordelingspunten weergegeven.</w:t>
      </w:r>
    </w:p>
    <w:p w:rsidR="00053638" w:rsidRDefault="00053638" w:rsidP="00AF3F9E">
      <w:pPr>
        <w:pStyle w:val="tabel0"/>
      </w:pPr>
      <w:r w:rsidRPr="000F5070">
        <w:rPr>
          <w:lang w:val="nl-BE"/>
        </w:rPr>
        <w:t xml:space="preserve">Tabel </w:t>
      </w:r>
      <w:r w:rsidR="00C325A0">
        <w:fldChar w:fldCharType="begin"/>
      </w:r>
      <w:r w:rsidR="000F5070" w:rsidRPr="000F5070">
        <w:rPr>
          <w:lang w:val="nl-BE"/>
        </w:rPr>
        <w:instrText xml:space="preserve"> REF geluid_toetsing \h </w:instrText>
      </w:r>
      <w:r w:rsidR="00C325A0">
        <w:fldChar w:fldCharType="separate"/>
      </w:r>
      <w:r w:rsidR="008102D8">
        <w:t>VIII.4.2</w:t>
      </w:r>
      <w:r w:rsidR="00C325A0">
        <w:fldChar w:fldCharType="end"/>
      </w:r>
      <w:r w:rsidR="000F5070">
        <w:t xml:space="preserve"> </w:t>
      </w:r>
      <w:r>
        <w:t xml:space="preserve">Toetsing van het specifiek geluidsniveau aan de grenswaarden en dit zowel voor situatie met als zonder scheepslossing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2693"/>
        <w:gridCol w:w="2014"/>
        <w:gridCol w:w="1770"/>
      </w:tblGrid>
      <w:tr w:rsidR="00053638" w:rsidRPr="00823AA4" w:rsidTr="00053638">
        <w:tc>
          <w:tcPr>
            <w:tcW w:w="2268" w:type="dxa"/>
            <w:tcBorders>
              <w:top w:val="single" w:sz="4" w:space="0" w:color="auto"/>
              <w:left w:val="single" w:sz="4" w:space="0" w:color="auto"/>
              <w:bottom w:val="single" w:sz="4" w:space="0" w:color="auto"/>
              <w:right w:val="single" w:sz="4" w:space="0" w:color="auto"/>
            </w:tcBorders>
            <w:shd w:val="clear" w:color="auto" w:fill="B3B3B3"/>
            <w:vAlign w:val="center"/>
          </w:tcPr>
          <w:p w:rsidR="00053638" w:rsidRPr="008E6294" w:rsidRDefault="00053638" w:rsidP="00AF3F9E">
            <w:pPr>
              <w:pStyle w:val="normaltabel"/>
            </w:pPr>
            <w:r w:rsidRPr="008E6294">
              <w:t>Beoordelingspunt</w:t>
            </w:r>
          </w:p>
        </w:tc>
        <w:tc>
          <w:tcPr>
            <w:tcW w:w="2693" w:type="dxa"/>
            <w:tcBorders>
              <w:top w:val="single" w:sz="4" w:space="0" w:color="auto"/>
              <w:left w:val="single" w:sz="4" w:space="0" w:color="auto"/>
              <w:bottom w:val="single" w:sz="4" w:space="0" w:color="auto"/>
              <w:right w:val="single" w:sz="4" w:space="0" w:color="auto"/>
            </w:tcBorders>
            <w:shd w:val="clear" w:color="auto" w:fill="B3B3B3"/>
            <w:vAlign w:val="center"/>
          </w:tcPr>
          <w:p w:rsidR="00053638" w:rsidRPr="00823AA4" w:rsidRDefault="00053638" w:rsidP="00AF3F9E">
            <w:pPr>
              <w:pStyle w:val="normaltabel"/>
              <w:rPr>
                <w:rFonts w:ascii="Arial Unicode MS" w:eastAsia="Arial Unicode MS" w:hAnsi="Arial Unicode MS" w:cs="Arial Unicode MS"/>
              </w:rPr>
            </w:pPr>
            <w:r w:rsidRPr="00DE2137">
              <w:t xml:space="preserve">Specifiek </w:t>
            </w:r>
            <w:r>
              <w:t>geluidsniveau van VT</w:t>
            </w:r>
            <w:r w:rsidR="002E742A">
              <w:t>E</w:t>
            </w:r>
            <w:r>
              <w:t xml:space="preserve"> met (en zonder</w:t>
            </w:r>
            <w:r w:rsidRPr="00DE2137">
              <w:t xml:space="preserve"> </w:t>
            </w:r>
            <w:r>
              <w:t>scheepslossing)</w:t>
            </w:r>
          </w:p>
        </w:tc>
        <w:tc>
          <w:tcPr>
            <w:tcW w:w="2014" w:type="dxa"/>
            <w:tcBorders>
              <w:top w:val="single" w:sz="4" w:space="0" w:color="auto"/>
              <w:left w:val="single" w:sz="4" w:space="0" w:color="auto"/>
              <w:bottom w:val="single" w:sz="4" w:space="0" w:color="auto"/>
              <w:right w:val="single" w:sz="4" w:space="0" w:color="auto"/>
            </w:tcBorders>
            <w:shd w:val="clear" w:color="auto" w:fill="B3B3B3"/>
            <w:vAlign w:val="center"/>
          </w:tcPr>
          <w:p w:rsidR="00053638" w:rsidRPr="00823AA4" w:rsidRDefault="00053638" w:rsidP="00AF3F9E">
            <w:pPr>
              <w:pStyle w:val="normaltabel"/>
              <w:rPr>
                <w:rFonts w:ascii="Arial Unicode MS" w:eastAsia="Arial Unicode MS" w:hAnsi="Arial Unicode MS" w:cs="Arial Unicode MS"/>
              </w:rPr>
            </w:pPr>
            <w:r w:rsidRPr="00823AA4">
              <w:t>Grenswaarde specifiek geluidsniveau in dB(A)</w:t>
            </w:r>
          </w:p>
        </w:tc>
        <w:tc>
          <w:tcPr>
            <w:tcW w:w="1770" w:type="dxa"/>
            <w:tcBorders>
              <w:top w:val="single" w:sz="4" w:space="0" w:color="auto"/>
              <w:left w:val="single" w:sz="4" w:space="0" w:color="auto"/>
              <w:bottom w:val="single" w:sz="4" w:space="0" w:color="auto"/>
              <w:right w:val="single" w:sz="4" w:space="0" w:color="auto"/>
            </w:tcBorders>
            <w:shd w:val="clear" w:color="auto" w:fill="B3B3B3"/>
            <w:vAlign w:val="center"/>
          </w:tcPr>
          <w:p w:rsidR="00053638" w:rsidRPr="00823AA4" w:rsidRDefault="00053638" w:rsidP="00AF3F9E">
            <w:pPr>
              <w:pStyle w:val="normaltabel"/>
              <w:rPr>
                <w:rFonts w:eastAsia="Arial Unicode MS"/>
              </w:rPr>
            </w:pPr>
            <w:r w:rsidRPr="00823AA4">
              <w:rPr>
                <w:rFonts w:eastAsia="Arial Unicode MS"/>
              </w:rPr>
              <w:t>Overschrijding</w:t>
            </w:r>
          </w:p>
        </w:tc>
      </w:tr>
      <w:tr w:rsidR="00053638" w:rsidTr="005272D2">
        <w:tc>
          <w:tcPr>
            <w:tcW w:w="2268" w:type="dxa"/>
            <w:tcBorders>
              <w:top w:val="single" w:sz="4" w:space="0" w:color="auto"/>
              <w:left w:val="single" w:sz="4" w:space="0" w:color="auto"/>
              <w:bottom w:val="single" w:sz="4" w:space="0" w:color="auto"/>
              <w:right w:val="single" w:sz="4" w:space="0" w:color="auto"/>
            </w:tcBorders>
            <w:vAlign w:val="center"/>
          </w:tcPr>
          <w:p w:rsidR="00053638" w:rsidRPr="004768CF" w:rsidRDefault="00053638" w:rsidP="00AF3F9E">
            <w:pPr>
              <w:pStyle w:val="normaltabel"/>
            </w:pPr>
            <w:r>
              <w:t>Gelegen in industriezone Rechterscheldeoever</w:t>
            </w:r>
          </w:p>
        </w:tc>
        <w:tc>
          <w:tcPr>
            <w:tcW w:w="2693" w:type="dxa"/>
            <w:tcBorders>
              <w:top w:val="single" w:sz="4" w:space="0" w:color="auto"/>
              <w:left w:val="single" w:sz="4" w:space="0" w:color="auto"/>
              <w:bottom w:val="single" w:sz="4" w:space="0" w:color="auto"/>
              <w:right w:val="single" w:sz="4" w:space="0" w:color="auto"/>
            </w:tcBorders>
          </w:tcPr>
          <w:p w:rsidR="00053638" w:rsidRDefault="00053638" w:rsidP="00AF3F9E">
            <w:pPr>
              <w:pStyle w:val="normaltabel"/>
              <w:rPr>
                <w:rFonts w:eastAsia="Arial Unicode MS"/>
              </w:rPr>
            </w:pPr>
            <w:r>
              <w:rPr>
                <w:rFonts w:eastAsia="Arial Unicode MS"/>
              </w:rPr>
              <w:t>&lt; 50 (&lt; 45)</w:t>
            </w:r>
          </w:p>
        </w:tc>
        <w:tc>
          <w:tcPr>
            <w:tcW w:w="2014" w:type="dxa"/>
            <w:tcBorders>
              <w:top w:val="single" w:sz="4" w:space="0" w:color="auto"/>
              <w:left w:val="single" w:sz="4" w:space="0" w:color="auto"/>
              <w:bottom w:val="single" w:sz="4" w:space="0" w:color="auto"/>
              <w:right w:val="single" w:sz="4" w:space="0" w:color="auto"/>
            </w:tcBorders>
          </w:tcPr>
          <w:p w:rsidR="00053638" w:rsidRPr="00DC558C" w:rsidRDefault="00053638" w:rsidP="00AF3F9E">
            <w:pPr>
              <w:pStyle w:val="normaltabel"/>
            </w:pPr>
            <w:r>
              <w:t>50</w:t>
            </w:r>
          </w:p>
        </w:tc>
        <w:tc>
          <w:tcPr>
            <w:tcW w:w="1770" w:type="dxa"/>
            <w:tcBorders>
              <w:top w:val="single" w:sz="4" w:space="0" w:color="auto"/>
              <w:left w:val="single" w:sz="4" w:space="0" w:color="auto"/>
              <w:bottom w:val="single" w:sz="4" w:space="0" w:color="auto"/>
              <w:right w:val="single" w:sz="4" w:space="0" w:color="auto"/>
            </w:tcBorders>
          </w:tcPr>
          <w:p w:rsidR="00053638" w:rsidRPr="00DC558C" w:rsidRDefault="00053638" w:rsidP="00AF3F9E">
            <w:pPr>
              <w:pStyle w:val="normaltabel"/>
            </w:pPr>
            <w:r>
              <w:t>Geen</w:t>
            </w:r>
          </w:p>
        </w:tc>
      </w:tr>
      <w:tr w:rsidR="00053638" w:rsidTr="00053638">
        <w:tc>
          <w:tcPr>
            <w:tcW w:w="2268" w:type="dxa"/>
            <w:tcBorders>
              <w:top w:val="single" w:sz="4" w:space="0" w:color="auto"/>
              <w:left w:val="single" w:sz="4" w:space="0" w:color="auto"/>
              <w:bottom w:val="single" w:sz="4" w:space="0" w:color="auto"/>
              <w:right w:val="single" w:sz="4" w:space="0" w:color="auto"/>
            </w:tcBorders>
            <w:vAlign w:val="center"/>
          </w:tcPr>
          <w:p w:rsidR="00053638" w:rsidRPr="004768CF" w:rsidRDefault="00053638" w:rsidP="00AF3F9E">
            <w:pPr>
              <w:pStyle w:val="normaltabel"/>
            </w:pPr>
            <w:r>
              <w:t>Gelegen op 200 m van het industriegebied</w:t>
            </w:r>
          </w:p>
        </w:tc>
        <w:tc>
          <w:tcPr>
            <w:tcW w:w="2693" w:type="dxa"/>
            <w:tcBorders>
              <w:top w:val="single" w:sz="4" w:space="0" w:color="auto"/>
              <w:left w:val="single" w:sz="4" w:space="0" w:color="auto"/>
              <w:bottom w:val="single" w:sz="4" w:space="0" w:color="auto"/>
              <w:right w:val="single" w:sz="4" w:space="0" w:color="auto"/>
            </w:tcBorders>
          </w:tcPr>
          <w:p w:rsidR="00053638" w:rsidRDefault="00053638" w:rsidP="00AF3F9E">
            <w:pPr>
              <w:pStyle w:val="normaltabel"/>
              <w:rPr>
                <w:rFonts w:eastAsia="Arial Unicode MS"/>
              </w:rPr>
            </w:pPr>
            <w:r>
              <w:rPr>
                <w:rFonts w:eastAsia="Arial Unicode MS"/>
              </w:rPr>
              <w:t>&lt; 43 (&lt; 38)</w:t>
            </w:r>
          </w:p>
        </w:tc>
        <w:tc>
          <w:tcPr>
            <w:tcW w:w="2014" w:type="dxa"/>
            <w:tcBorders>
              <w:top w:val="single" w:sz="4" w:space="0" w:color="auto"/>
              <w:left w:val="single" w:sz="4" w:space="0" w:color="auto"/>
              <w:bottom w:val="single" w:sz="4" w:space="0" w:color="auto"/>
              <w:right w:val="single" w:sz="4" w:space="0" w:color="auto"/>
            </w:tcBorders>
          </w:tcPr>
          <w:p w:rsidR="00053638" w:rsidRPr="00DC558C" w:rsidRDefault="00053638" w:rsidP="00AF3F9E">
            <w:pPr>
              <w:pStyle w:val="normaltabel"/>
            </w:pPr>
            <w:r>
              <w:t>45</w:t>
            </w:r>
          </w:p>
        </w:tc>
        <w:tc>
          <w:tcPr>
            <w:tcW w:w="1770" w:type="dxa"/>
            <w:tcBorders>
              <w:top w:val="single" w:sz="4" w:space="0" w:color="auto"/>
              <w:left w:val="single" w:sz="4" w:space="0" w:color="auto"/>
              <w:bottom w:val="single" w:sz="4" w:space="0" w:color="auto"/>
              <w:right w:val="single" w:sz="4" w:space="0" w:color="auto"/>
            </w:tcBorders>
          </w:tcPr>
          <w:p w:rsidR="00053638" w:rsidRDefault="00053638" w:rsidP="00AF3F9E">
            <w:pPr>
              <w:pStyle w:val="normaltabel"/>
            </w:pPr>
            <w:r w:rsidRPr="002B5AAB">
              <w:t>Geen</w:t>
            </w:r>
          </w:p>
        </w:tc>
      </w:tr>
    </w:tbl>
    <w:p w:rsidR="00053638" w:rsidRDefault="00053638" w:rsidP="00AF3F9E">
      <w:r>
        <w:t>Uit voorgaande blijkt dat – zonder rekening te houden met enige afscherming van de geluidsbronnen – het specifiek geluidsniveau voor zowel de activiteiten met als zonder boot in, geen enkel beoordelingspunt de grenswaarde overschrijdt.</w:t>
      </w:r>
    </w:p>
    <w:p w:rsidR="005B5A2F" w:rsidRDefault="00053638" w:rsidP="00AF3F9E">
      <w:pPr>
        <w:rPr>
          <w:lang w:val="nl-NL"/>
        </w:rPr>
      </w:pPr>
      <w:r>
        <w:t>De specifieke bijdrage van VTE is ook te verwaarlozen ten opzichte van het huidige omgevingsgeluid</w:t>
      </w:r>
      <w:r w:rsidR="002E742A">
        <w:t xml:space="preserve"> (&gt; 55 dB(A)).</w:t>
      </w:r>
    </w:p>
    <w:p w:rsidR="00F70BB3" w:rsidRDefault="002E742A" w:rsidP="00AF3F9E">
      <w:pPr>
        <w:rPr>
          <w:lang w:val="nl-NL"/>
        </w:rPr>
      </w:pPr>
      <w:r w:rsidRPr="002E742A">
        <w:rPr>
          <w:lang w:val="nl-NL"/>
        </w:rPr>
        <w:t xml:space="preserve">Dit omgevingsgeluid </w:t>
      </w:r>
      <w:r>
        <w:rPr>
          <w:lang w:val="nl-NL"/>
        </w:rPr>
        <w:t>binnen het industriegebied</w:t>
      </w:r>
      <w:r w:rsidRPr="002E742A">
        <w:rPr>
          <w:lang w:val="nl-NL"/>
        </w:rPr>
        <w:t xml:space="preserve"> en ter hoogte van de Scheldedijk langs de Scheldelaan wordt hoofdzakelijk bepaald door het continu geluid van naburige bedrijven (procesinstallaties, koeltorens, flares,…) en tijdens de dagperiode ook nog door het drukke wegverkeer op de Scheldelaan. Kortom de effecten van VT</w:t>
      </w:r>
      <w:r>
        <w:rPr>
          <w:lang w:val="nl-NL"/>
        </w:rPr>
        <w:t>E</w:t>
      </w:r>
      <w:r w:rsidRPr="002E742A">
        <w:rPr>
          <w:lang w:val="nl-NL"/>
        </w:rPr>
        <w:t xml:space="preserve"> zijn te verwaarlozen </w:t>
      </w:r>
      <w:r>
        <w:rPr>
          <w:lang w:val="nl-NL"/>
        </w:rPr>
        <w:t xml:space="preserve">binnen het industriegebied </w:t>
      </w:r>
      <w:r w:rsidRPr="002E742A">
        <w:rPr>
          <w:lang w:val="nl-NL"/>
        </w:rPr>
        <w:t>en zelfs nihil naar de meest nabijgelegen natuurgebieden.</w:t>
      </w:r>
    </w:p>
    <w:p w:rsidR="000F5070" w:rsidRDefault="000F5070">
      <w:pPr>
        <w:keepLines w:val="0"/>
        <w:spacing w:before="0" w:after="0" w:line="240" w:lineRule="auto"/>
        <w:jc w:val="left"/>
        <w:rPr>
          <w:b/>
          <w:smallCaps/>
          <w:spacing w:val="26"/>
          <w:sz w:val="22"/>
          <w:szCs w:val="24"/>
          <w:lang w:val="nl-NL"/>
        </w:rPr>
      </w:pPr>
      <w:r>
        <w:br w:type="page"/>
      </w:r>
    </w:p>
    <w:p w:rsidR="004560FE" w:rsidRDefault="004560FE" w:rsidP="004F40A7">
      <w:pPr>
        <w:pStyle w:val="Heading3"/>
      </w:pPr>
      <w:bookmarkStart w:id="926" w:name="_Toc312069339"/>
      <w:r>
        <w:lastRenderedPageBreak/>
        <w:t>Fauna en flora</w:t>
      </w:r>
      <w:bookmarkEnd w:id="926"/>
    </w:p>
    <w:p w:rsidR="00617415" w:rsidRDefault="00C524CE">
      <w:r>
        <w:t>Langsheen de Schelde-oevers situeren zich natuurgebieden die (quasi integraal) deel uit maken van het verspreide</w:t>
      </w:r>
      <w:r w:rsidR="00241128">
        <w:t xml:space="preserve"> </w:t>
      </w:r>
      <w:r>
        <w:t>habitatrichtlijngebied “Schelde- en Durme-estuarium van de Nederlandse grens tot Gent” en eveneens een onderdeel</w:t>
      </w:r>
      <w:r w:rsidR="00241128">
        <w:t xml:space="preserve"> </w:t>
      </w:r>
      <w:r>
        <w:t>vormen van het VEN-gebied “De slikken en schorren van de Schelde”.</w:t>
      </w:r>
    </w:p>
    <w:p w:rsidR="00617415" w:rsidRDefault="00C524CE">
      <w:r>
        <w:t>De afstand tussen VTE en deze natuurgebieden bedraagt minimaal 400m (in zuidelijke richting).</w:t>
      </w:r>
    </w:p>
    <w:p w:rsidR="00617415" w:rsidRDefault="00CB3B91">
      <w:pPr>
        <w:pStyle w:val="Heading4"/>
        <w:rPr>
          <w:b w:val="0"/>
        </w:rPr>
      </w:pPr>
      <w:bookmarkStart w:id="927" w:name="_Toc312069340"/>
      <w:r w:rsidRPr="00CB3B91">
        <w:t>Atmosferische emissies</w:t>
      </w:r>
      <w:bookmarkEnd w:id="927"/>
    </w:p>
    <w:p w:rsidR="00617415" w:rsidRDefault="00CB3B91">
      <w:r w:rsidRPr="00C7007C">
        <w:t xml:space="preserve">De activiteiten van VTE kunnen aanleiding geven tot de emissies van organische zuren. </w:t>
      </w:r>
      <w:r w:rsidR="009F10AF" w:rsidRPr="00C7007C">
        <w:t>Zoals</w:t>
      </w:r>
      <w:r w:rsidRPr="00C7007C">
        <w:t xml:space="preserve"> </w:t>
      </w:r>
      <w:r w:rsidR="009F10AF" w:rsidRPr="00C7007C">
        <w:t xml:space="preserve">gesteld </w:t>
      </w:r>
      <w:r w:rsidRPr="00C7007C">
        <w:t xml:space="preserve">binnen de discipline lucht </w:t>
      </w:r>
      <w:r w:rsidR="009F10AF" w:rsidRPr="00C7007C">
        <w:t xml:space="preserve">zijn </w:t>
      </w:r>
      <w:r w:rsidRPr="00C7007C">
        <w:t xml:space="preserve">de emissies aan organische zuren echter dermate laag zijn dat zonder meer kan gesteld worden dat deze geen aanleiding  geven tot een relevante zuurdepositie t.h.v. </w:t>
      </w:r>
      <w:r w:rsidR="009F10AF" w:rsidRPr="00C7007C">
        <w:t>het meest nabije natuurgebied.</w:t>
      </w:r>
    </w:p>
    <w:p w:rsidR="00EF24D5" w:rsidRPr="00C7007C" w:rsidRDefault="00EF24D5">
      <w:r>
        <w:t>Ook de NOx emissie is dermate beperkt dat hierdoor geen aantoonbare bijdrage verwacht wordt.</w:t>
      </w:r>
    </w:p>
    <w:p w:rsidR="00617415" w:rsidRDefault="00CB3B91">
      <w:pPr>
        <w:pStyle w:val="Heading4"/>
        <w:rPr>
          <w:b w:val="0"/>
        </w:rPr>
      </w:pPr>
      <w:bookmarkStart w:id="928" w:name="_Toc312069341"/>
      <w:r w:rsidRPr="00CB3B91">
        <w:t>Ge</w:t>
      </w:r>
      <w:r w:rsidR="009F10AF">
        <w:t>l</w:t>
      </w:r>
      <w:r w:rsidRPr="00CB3B91">
        <w:t>uid</w:t>
      </w:r>
      <w:bookmarkEnd w:id="928"/>
    </w:p>
    <w:p w:rsidR="00617415" w:rsidRDefault="00C524CE">
      <w:r>
        <w:t>Uit de discipline geluid is naar voor gekomen dat het geluidsniveau in hoger vermelde natuurgebieden bepaald wordt door het verkeer op de Scheldelaan en de activiteiten van andere bedrijven.</w:t>
      </w:r>
    </w:p>
    <w:p w:rsidR="00617415" w:rsidRDefault="00C524CE">
      <w:r>
        <w:t>Tevens voldoet de specifieke bijdrage van VTE t.h.v. de immissiepunten in de natuurgebieden ruimschoots aan de wettelijke voorwaarden.</w:t>
      </w:r>
      <w:r w:rsidDel="00C524CE">
        <w:t xml:space="preserve"> </w:t>
      </w:r>
    </w:p>
    <w:p w:rsidR="007B1B36" w:rsidRDefault="004560FE" w:rsidP="004F40A7">
      <w:pPr>
        <w:pStyle w:val="Heading3"/>
      </w:pPr>
      <w:bookmarkStart w:id="929" w:name="_Toc297542591"/>
      <w:bookmarkStart w:id="930" w:name="_Toc297546730"/>
      <w:bookmarkStart w:id="931" w:name="_Toc297546895"/>
      <w:bookmarkStart w:id="932" w:name="_Toc297547060"/>
      <w:bookmarkStart w:id="933" w:name="_Toc297547225"/>
      <w:bookmarkStart w:id="934" w:name="_Toc297553726"/>
      <w:bookmarkStart w:id="935" w:name="_Toc297649892"/>
      <w:bookmarkStart w:id="936" w:name="_Toc297722692"/>
      <w:bookmarkStart w:id="937" w:name="_Toc297725710"/>
      <w:bookmarkStart w:id="938" w:name="_Toc298161864"/>
      <w:bookmarkStart w:id="939" w:name="_Toc312069342"/>
      <w:bookmarkEnd w:id="929"/>
      <w:bookmarkEnd w:id="930"/>
      <w:bookmarkEnd w:id="931"/>
      <w:bookmarkEnd w:id="932"/>
      <w:bookmarkEnd w:id="933"/>
      <w:bookmarkEnd w:id="934"/>
      <w:bookmarkEnd w:id="935"/>
      <w:bookmarkEnd w:id="936"/>
      <w:bookmarkEnd w:id="937"/>
      <w:bookmarkEnd w:id="938"/>
      <w:r>
        <w:t>Landschap, bouwkundig erfgoed en archeologie</w:t>
      </w:r>
      <w:bookmarkEnd w:id="939"/>
    </w:p>
    <w:p w:rsidR="00F305A7" w:rsidRDefault="00F305A7" w:rsidP="00AF3F9E">
      <w:r>
        <w:t>In de nabijheid van het bedrijfsterrein zijn er geen beschermde monumenten en landschappen aanwezig.</w:t>
      </w:r>
    </w:p>
    <w:p w:rsidR="00F305A7" w:rsidRDefault="00F305A7" w:rsidP="00AF3F9E">
      <w:r>
        <w:t>VTE is gelegen in de Antwerpse haven en op ruime afstand van bewoning. De nieuwe tankenparken worden daarenboven aangelegd op een locatie die omgeven is door bestaande industriële gebouwen en installaties.</w:t>
      </w:r>
    </w:p>
    <w:p w:rsidR="00F305A7" w:rsidRPr="00F305A7" w:rsidRDefault="00F305A7" w:rsidP="00AF3F9E">
      <w:pPr>
        <w:rPr>
          <w:lang w:val="nl-NL"/>
        </w:rPr>
      </w:pPr>
      <w:r>
        <w:t>De nieuwe opslagtanks zullen dan ook niet opvallend visueel waarneembaar zijn.</w:t>
      </w:r>
    </w:p>
    <w:p w:rsidR="00F305A7" w:rsidRPr="007B1B36" w:rsidRDefault="00F305A7" w:rsidP="00AF3F9E"/>
    <w:p w:rsidR="007B1B36" w:rsidRDefault="007B1B36" w:rsidP="00AF3F9E">
      <w:pPr>
        <w:rPr>
          <w:lang w:val="nl-NL"/>
        </w:rPr>
      </w:pPr>
    </w:p>
    <w:p w:rsidR="006C420E" w:rsidRDefault="006C420E" w:rsidP="00AF3F9E"/>
    <w:p w:rsidR="006C420E" w:rsidRPr="004B5046" w:rsidRDefault="006C420E" w:rsidP="00AF3F9E">
      <w:pPr>
        <w:sectPr w:rsidR="006C420E" w:rsidRPr="004B5046" w:rsidSect="007D2979">
          <w:headerReference w:type="default" r:id="rId82"/>
          <w:pgSz w:w="11909" w:h="16834" w:code="9"/>
          <w:pgMar w:top="1240" w:right="1440" w:bottom="1440" w:left="1440" w:header="454" w:footer="709" w:gutter="0"/>
          <w:pgNumType w:chapStyle="1" w:chapSep="period"/>
          <w:cols w:space="708"/>
          <w:docGrid w:linePitch="272"/>
        </w:sectPr>
      </w:pPr>
    </w:p>
    <w:p w:rsidR="00AF5F28" w:rsidRPr="00BD6BCF" w:rsidRDefault="004560FE" w:rsidP="004F40A7">
      <w:pPr>
        <w:pStyle w:val="Heading1"/>
      </w:pPr>
      <w:bookmarkStart w:id="940" w:name="_Toc107126374"/>
      <w:bookmarkStart w:id="941" w:name="_Toc154566688"/>
      <w:bookmarkStart w:id="942" w:name="_Toc155591985"/>
      <w:bookmarkStart w:id="943" w:name="_Toc160437917"/>
      <w:bookmarkStart w:id="944" w:name="_Toc161021391"/>
      <w:bookmarkStart w:id="945" w:name="_Toc161649845"/>
      <w:bookmarkStart w:id="946" w:name="_Toc162148876"/>
      <w:bookmarkStart w:id="947" w:name="_Toc162939489"/>
      <w:bookmarkStart w:id="948" w:name="_Toc162940268"/>
      <w:bookmarkStart w:id="949" w:name="_Toc163300666"/>
      <w:bookmarkStart w:id="950" w:name="_Toc163303383"/>
      <w:bookmarkStart w:id="951" w:name="_Toc163545222"/>
      <w:bookmarkStart w:id="952" w:name="_Toc163622485"/>
      <w:bookmarkStart w:id="953" w:name="_Toc169529825"/>
      <w:bookmarkStart w:id="954" w:name="_Toc170203159"/>
      <w:bookmarkStart w:id="955" w:name="_Toc171153430"/>
      <w:bookmarkStart w:id="956" w:name="_Toc171438902"/>
      <w:bookmarkStart w:id="957" w:name="_Toc173232391"/>
      <w:bookmarkStart w:id="958" w:name="_Toc180228945"/>
      <w:bookmarkStart w:id="959" w:name="_Toc181154109"/>
      <w:bookmarkStart w:id="960" w:name="_Toc182486272"/>
      <w:bookmarkStart w:id="961" w:name="_Toc183519558"/>
      <w:bookmarkStart w:id="962" w:name="_Toc183832356"/>
      <w:bookmarkStart w:id="963" w:name="_Toc183851306"/>
      <w:bookmarkStart w:id="964" w:name="_Toc183851538"/>
      <w:bookmarkStart w:id="965" w:name="_Toc184443608"/>
      <w:bookmarkStart w:id="966" w:name="_Toc185067548"/>
      <w:bookmarkStart w:id="967" w:name="_Toc189406940"/>
      <w:bookmarkStart w:id="968" w:name="_Toc189451481"/>
      <w:bookmarkStart w:id="969" w:name="_Toc189629877"/>
      <w:bookmarkStart w:id="970" w:name="_Toc224380835"/>
      <w:bookmarkStart w:id="971" w:name="_Toc225309212"/>
      <w:bookmarkStart w:id="972" w:name="_Toc225840160"/>
      <w:bookmarkStart w:id="973" w:name="_Toc225909990"/>
      <w:bookmarkStart w:id="974" w:name="_Toc230433045"/>
      <w:bookmarkStart w:id="975" w:name="_Toc230433594"/>
      <w:bookmarkStart w:id="976" w:name="_Toc236217855"/>
      <w:bookmarkStart w:id="977" w:name="_Toc241482742"/>
      <w:bookmarkStart w:id="978" w:name="_Toc248029470"/>
      <w:bookmarkStart w:id="979" w:name="_Toc251256999"/>
      <w:bookmarkStart w:id="980" w:name="_Toc251767801"/>
      <w:bookmarkStart w:id="981" w:name="_Toc253038399"/>
      <w:bookmarkStart w:id="982" w:name="_Toc259197861"/>
      <w:bookmarkStart w:id="983" w:name="_Toc263434251"/>
      <w:bookmarkStart w:id="984" w:name="_Toc271806542"/>
      <w:bookmarkStart w:id="985" w:name="_Toc272754375"/>
      <w:bookmarkStart w:id="986" w:name="_Toc272754533"/>
      <w:bookmarkStart w:id="987" w:name="_Toc272754691"/>
      <w:bookmarkStart w:id="988" w:name="_Toc278442313"/>
      <w:bookmarkStart w:id="989" w:name="_Toc279411690"/>
      <w:bookmarkStart w:id="990" w:name="hfdst9"/>
      <w:bookmarkStart w:id="991" w:name="_Toc279480207"/>
      <w:bookmarkStart w:id="992" w:name="_Toc282505743"/>
      <w:bookmarkStart w:id="993" w:name="_Toc295920241"/>
      <w:bookmarkStart w:id="994" w:name="_Toc295923472"/>
      <w:bookmarkStart w:id="995" w:name="_Toc295923784"/>
      <w:bookmarkStart w:id="996" w:name="_Toc295995382"/>
      <w:bookmarkStart w:id="997" w:name="_Toc296004964"/>
      <w:bookmarkStart w:id="998" w:name="_Toc296085915"/>
      <w:bookmarkStart w:id="999" w:name="_Toc296330824"/>
      <w:bookmarkStart w:id="1000" w:name="_Toc296419540"/>
      <w:bookmarkStart w:id="1001" w:name="_Toc297286286"/>
      <w:bookmarkStart w:id="1002" w:name="_Toc297542593"/>
      <w:bookmarkStart w:id="1003" w:name="_Toc297546732"/>
      <w:bookmarkStart w:id="1004" w:name="_Toc297546897"/>
      <w:bookmarkStart w:id="1005" w:name="_Toc297547062"/>
      <w:bookmarkStart w:id="1006" w:name="_Toc297547227"/>
      <w:bookmarkStart w:id="1007" w:name="_Toc297553728"/>
      <w:bookmarkStart w:id="1008" w:name="_Toc297649894"/>
      <w:bookmarkStart w:id="1009" w:name="_Toc297722694"/>
      <w:bookmarkStart w:id="1010" w:name="_Toc297725712"/>
      <w:bookmarkStart w:id="1011" w:name="_Toc298161866"/>
      <w:bookmarkStart w:id="1012" w:name="_Toc299981175"/>
      <w:bookmarkStart w:id="1013" w:name="_Toc299981358"/>
      <w:bookmarkStart w:id="1014" w:name="_Toc299981541"/>
      <w:bookmarkStart w:id="1015" w:name="_Toc299982756"/>
      <w:bookmarkStart w:id="1016" w:name="_Toc299982939"/>
      <w:bookmarkStart w:id="1017" w:name="_Toc299985228"/>
      <w:bookmarkStart w:id="1018" w:name="_Toc299986327"/>
      <w:bookmarkStart w:id="1019" w:name="_Toc299986510"/>
      <w:bookmarkStart w:id="1020" w:name="_Toc300045716"/>
      <w:bookmarkStart w:id="1021" w:name="_Toc300232405"/>
      <w:bookmarkStart w:id="1022" w:name="_Toc300303769"/>
      <w:bookmarkStart w:id="1023" w:name="_Toc300559693"/>
      <w:bookmarkStart w:id="1024" w:name="_Toc300561101"/>
      <w:bookmarkStart w:id="1025" w:name="_Toc300561717"/>
      <w:bookmarkStart w:id="1026" w:name="_Toc300561900"/>
      <w:bookmarkStart w:id="1027" w:name="_Toc300562847"/>
      <w:bookmarkStart w:id="1028" w:name="_Toc311109348"/>
      <w:bookmarkStart w:id="1029" w:name="_Toc311212714"/>
      <w:bookmarkStart w:id="1030" w:name="_Toc311451982"/>
      <w:bookmarkStart w:id="1031" w:name="_Toc312069343"/>
      <w:r>
        <w:lastRenderedPageBreak/>
        <w:t>Grensoverschrijdende effecten</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AF5F28" w:rsidRDefault="00AF5F28" w:rsidP="00AF3F9E">
      <w:pPr>
        <w:rPr>
          <w:lang w:val="nl"/>
        </w:rPr>
      </w:pPr>
    </w:p>
    <w:p w:rsidR="00AF5F28" w:rsidRDefault="00AF5F28" w:rsidP="00AF3F9E">
      <w:pPr>
        <w:rPr>
          <w:lang w:val="nl"/>
        </w:rPr>
        <w:sectPr w:rsidR="00AF5F28" w:rsidSect="00C54545">
          <w:headerReference w:type="even" r:id="rId83"/>
          <w:headerReference w:type="default" r:id="rId84"/>
          <w:headerReference w:type="first" r:id="rId85"/>
          <w:pgSz w:w="11909" w:h="16834" w:code="9"/>
          <w:pgMar w:top="1240" w:right="1440" w:bottom="1440" w:left="1440" w:header="454" w:footer="709" w:gutter="0"/>
          <w:pgNumType w:start="1" w:chapStyle="1" w:chapSep="period"/>
          <w:cols w:space="708"/>
        </w:sectPr>
      </w:pPr>
    </w:p>
    <w:p w:rsidR="00341D10" w:rsidRPr="002D1281" w:rsidRDefault="004560FE" w:rsidP="00AF3F9E">
      <w:pPr>
        <w:sectPr w:rsidR="00341D10" w:rsidRPr="002D1281" w:rsidSect="00A94555">
          <w:headerReference w:type="default" r:id="rId86"/>
          <w:pgSz w:w="11909" w:h="16834" w:code="9"/>
          <w:pgMar w:top="1240" w:right="1844" w:bottom="1440" w:left="1440" w:header="454" w:footer="709" w:gutter="0"/>
          <w:pgNumType w:start="1" w:chapStyle="1" w:chapSep="period"/>
          <w:cols w:space="708"/>
        </w:sectPr>
      </w:pPr>
      <w:r w:rsidRPr="00C557A5">
        <w:lastRenderedPageBreak/>
        <w:t xml:space="preserve">Gelet op </w:t>
      </w:r>
      <w:r>
        <w:t>de ruimtelijke situering van de</w:t>
      </w:r>
      <w:r w:rsidRPr="00C557A5">
        <w:t xml:space="preserve"> site </w:t>
      </w:r>
      <w:r>
        <w:t xml:space="preserve">(meer bepaald de grote afstanden tot de grenzen van het Vlaamse Gewest (zie deel </w:t>
      </w:r>
      <w:r w:rsidR="00C325A0">
        <w:fldChar w:fldCharType="begin"/>
      </w:r>
      <w:r>
        <w:instrText xml:space="preserve"> REF hfdst2 \n \h </w:instrText>
      </w:r>
      <w:r w:rsidR="00C325A0">
        <w:fldChar w:fldCharType="separate"/>
      </w:r>
      <w:r w:rsidR="008102D8">
        <w:t>II</w:t>
      </w:r>
      <w:r w:rsidR="00C325A0">
        <w:fldChar w:fldCharType="end"/>
      </w:r>
      <w:r>
        <w:t xml:space="preserve"> §</w:t>
      </w:r>
      <w:r w:rsidR="00C325A0">
        <w:fldChar w:fldCharType="begin"/>
      </w:r>
      <w:r>
        <w:instrText xml:space="preserve"> REF _Ref251767480 \n \h </w:instrText>
      </w:r>
      <w:r w:rsidR="00C325A0">
        <w:fldChar w:fldCharType="separate"/>
      </w:r>
      <w:r w:rsidR="008102D8">
        <w:t>1</w:t>
      </w:r>
      <w:r w:rsidR="00C325A0">
        <w:fldChar w:fldCharType="end"/>
      </w:r>
      <w:r>
        <w:t xml:space="preserve">)) en </w:t>
      </w:r>
      <w:r w:rsidRPr="00C557A5">
        <w:t>gelet op de aard van de activiteiten en de betrokken stoffen, zijn significante grensoverschrijdende effecten op mens en milieu niet te voorzien en is het niet noodzakelijk informatie daaromtrent over te maken aan de bevoegde autoriteiten verme</w:t>
      </w:r>
      <w:r>
        <w:t>ld in art. 4.5.2, §4 van het DA</w:t>
      </w:r>
      <w:r w:rsidRPr="00C557A5">
        <w:t>B</w:t>
      </w:r>
      <w:r>
        <w:t>M</w:t>
      </w:r>
      <w:r w:rsidRPr="00C557A5">
        <w:t>.</w:t>
      </w:r>
    </w:p>
    <w:p w:rsidR="00AF5F28" w:rsidRDefault="00C63292" w:rsidP="004F40A7">
      <w:pPr>
        <w:pStyle w:val="Heading1"/>
      </w:pPr>
      <w:bookmarkStart w:id="1032" w:name="_Toc107126511"/>
      <w:bookmarkStart w:id="1033" w:name="_Toc154566904"/>
      <w:bookmarkStart w:id="1034" w:name="_Toc155592201"/>
      <w:bookmarkStart w:id="1035" w:name="_Toc160438149"/>
      <w:bookmarkStart w:id="1036" w:name="_Toc161021619"/>
      <w:bookmarkStart w:id="1037" w:name="_Toc161650073"/>
      <w:bookmarkStart w:id="1038" w:name="_Toc162149115"/>
      <w:bookmarkStart w:id="1039" w:name="_Toc162939747"/>
      <w:bookmarkStart w:id="1040" w:name="_Toc162940583"/>
      <w:bookmarkStart w:id="1041" w:name="_Toc163300981"/>
      <w:bookmarkStart w:id="1042" w:name="_Toc163303698"/>
      <w:bookmarkStart w:id="1043" w:name="_Toc163545539"/>
      <w:bookmarkStart w:id="1044" w:name="_Toc163622802"/>
      <w:bookmarkStart w:id="1045" w:name="_Toc169530153"/>
      <w:bookmarkStart w:id="1046" w:name="_Toc170203502"/>
      <w:bookmarkStart w:id="1047" w:name="_Toc171153775"/>
      <w:bookmarkStart w:id="1048" w:name="_Toc171439250"/>
      <w:bookmarkStart w:id="1049" w:name="_Toc173232414"/>
      <w:bookmarkStart w:id="1050" w:name="_Toc180229016"/>
      <w:bookmarkStart w:id="1051" w:name="_Toc181154178"/>
      <w:bookmarkStart w:id="1052" w:name="_Toc182486388"/>
      <w:bookmarkStart w:id="1053" w:name="_Toc183519684"/>
      <w:bookmarkStart w:id="1054" w:name="_Toc183832496"/>
      <w:bookmarkStart w:id="1055" w:name="_Toc183851446"/>
      <w:bookmarkStart w:id="1056" w:name="_Toc183851678"/>
      <w:bookmarkStart w:id="1057" w:name="_Toc184443768"/>
      <w:bookmarkStart w:id="1058" w:name="_Toc185067708"/>
      <w:bookmarkStart w:id="1059" w:name="_Toc189407100"/>
      <w:bookmarkStart w:id="1060" w:name="_Toc189451641"/>
      <w:bookmarkStart w:id="1061" w:name="_Toc189630037"/>
      <w:bookmarkStart w:id="1062" w:name="_Toc224380878"/>
      <w:bookmarkStart w:id="1063" w:name="_Toc225309247"/>
      <w:bookmarkStart w:id="1064" w:name="_Toc225840199"/>
      <w:bookmarkStart w:id="1065" w:name="_Toc225910029"/>
      <w:bookmarkStart w:id="1066" w:name="_Toc230433087"/>
      <w:bookmarkStart w:id="1067" w:name="_Toc230433636"/>
      <w:bookmarkStart w:id="1068" w:name="_Toc236217897"/>
      <w:bookmarkStart w:id="1069" w:name="_Toc241482756"/>
      <w:bookmarkStart w:id="1070" w:name="_Toc248029528"/>
      <w:bookmarkStart w:id="1071" w:name="_Toc251257063"/>
      <w:bookmarkStart w:id="1072" w:name="_Toc251767868"/>
      <w:bookmarkStart w:id="1073" w:name="_Toc253038467"/>
      <w:bookmarkStart w:id="1074" w:name="_Toc259197935"/>
      <w:bookmarkStart w:id="1075" w:name="_Toc263434326"/>
      <w:bookmarkStart w:id="1076" w:name="_Toc271806617"/>
      <w:bookmarkStart w:id="1077" w:name="_Toc272754450"/>
      <w:bookmarkStart w:id="1078" w:name="_Toc272754608"/>
      <w:bookmarkStart w:id="1079" w:name="_Toc272754766"/>
      <w:bookmarkStart w:id="1080" w:name="_Toc278442388"/>
      <w:bookmarkStart w:id="1081" w:name="_Toc279411721"/>
      <w:bookmarkStart w:id="1082" w:name="_Toc279480224"/>
      <w:bookmarkStart w:id="1083" w:name="hfdst10"/>
      <w:bookmarkStart w:id="1084" w:name="_Toc282505744"/>
      <w:bookmarkStart w:id="1085" w:name="_Toc295920242"/>
      <w:bookmarkStart w:id="1086" w:name="_Toc295923473"/>
      <w:bookmarkStart w:id="1087" w:name="_Toc295923785"/>
      <w:bookmarkStart w:id="1088" w:name="_Toc295995383"/>
      <w:bookmarkStart w:id="1089" w:name="_Toc296004965"/>
      <w:bookmarkStart w:id="1090" w:name="_Toc296085916"/>
      <w:bookmarkStart w:id="1091" w:name="_Toc296330825"/>
      <w:bookmarkStart w:id="1092" w:name="_Toc296419541"/>
      <w:bookmarkStart w:id="1093" w:name="_Toc297286287"/>
      <w:bookmarkStart w:id="1094" w:name="_Toc297542594"/>
      <w:bookmarkStart w:id="1095" w:name="_Toc297546733"/>
      <w:bookmarkStart w:id="1096" w:name="_Toc297546898"/>
      <w:bookmarkStart w:id="1097" w:name="_Toc297547063"/>
      <w:bookmarkStart w:id="1098" w:name="_Toc297547228"/>
      <w:bookmarkStart w:id="1099" w:name="_Toc297553729"/>
      <w:bookmarkStart w:id="1100" w:name="_Toc297649895"/>
      <w:bookmarkStart w:id="1101" w:name="_Toc297722695"/>
      <w:bookmarkStart w:id="1102" w:name="_Toc297725713"/>
      <w:bookmarkStart w:id="1103" w:name="_Toc298161867"/>
      <w:bookmarkStart w:id="1104" w:name="_Toc299981176"/>
      <w:bookmarkStart w:id="1105" w:name="_Toc299981359"/>
      <w:bookmarkStart w:id="1106" w:name="_Toc299981542"/>
      <w:bookmarkStart w:id="1107" w:name="_Toc299982757"/>
      <w:bookmarkStart w:id="1108" w:name="_Toc299982940"/>
      <w:bookmarkStart w:id="1109" w:name="_Toc299985229"/>
      <w:bookmarkStart w:id="1110" w:name="_Toc299986328"/>
      <w:bookmarkStart w:id="1111" w:name="_Toc299986511"/>
      <w:bookmarkStart w:id="1112" w:name="_Toc300045717"/>
      <w:bookmarkStart w:id="1113" w:name="_Toc300232406"/>
      <w:bookmarkStart w:id="1114" w:name="_Toc300303770"/>
      <w:bookmarkStart w:id="1115" w:name="_Toc300559694"/>
      <w:bookmarkStart w:id="1116" w:name="_Toc300561102"/>
      <w:bookmarkStart w:id="1117" w:name="_Toc300561718"/>
      <w:bookmarkStart w:id="1118" w:name="_Toc300561901"/>
      <w:bookmarkStart w:id="1119" w:name="_Toc300562848"/>
      <w:bookmarkStart w:id="1120" w:name="_Toc311109349"/>
      <w:bookmarkStart w:id="1121" w:name="_Toc311212715"/>
      <w:bookmarkStart w:id="1122" w:name="_Toc311451983"/>
      <w:bookmarkStart w:id="1123" w:name="_Toc312069344"/>
      <w:r>
        <w:lastRenderedPageBreak/>
        <w:t>Leemten in de kennis</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rsidR="00AF5F28" w:rsidRDefault="00AF5F28" w:rsidP="00AF3F9E">
      <w:pPr>
        <w:rPr>
          <w:lang w:val="nl"/>
        </w:rPr>
      </w:pPr>
    </w:p>
    <w:p w:rsidR="00AF5F28" w:rsidRDefault="00AF5F28" w:rsidP="00AF3F9E">
      <w:pPr>
        <w:rPr>
          <w:lang w:val="nl"/>
        </w:rPr>
        <w:sectPr w:rsidR="00AF5F28" w:rsidSect="00C54545">
          <w:headerReference w:type="default" r:id="rId87"/>
          <w:pgSz w:w="11909" w:h="16834" w:code="9"/>
          <w:pgMar w:top="1240" w:right="1440" w:bottom="1440" w:left="1440" w:header="454" w:footer="709" w:gutter="0"/>
          <w:pgNumType w:start="1" w:chapStyle="1" w:chapSep="period"/>
          <w:cols w:space="708"/>
        </w:sectPr>
      </w:pPr>
    </w:p>
    <w:p w:rsidR="00D73288" w:rsidRDefault="004723C2" w:rsidP="004F40A7">
      <w:pPr>
        <w:pStyle w:val="Heading2"/>
      </w:pPr>
      <w:bookmarkStart w:id="1124" w:name="_Toc312069345"/>
      <w:r>
        <w:lastRenderedPageBreak/>
        <w:t>Oppervlaktewater</w:t>
      </w:r>
      <w:bookmarkEnd w:id="1124"/>
    </w:p>
    <w:p w:rsidR="002C5D44" w:rsidRDefault="008D48F8">
      <w:r w:rsidRPr="004B1FE3">
        <w:t>Het aantal parameters waarover gegevens m.b.t. de huidige kwaliteit van de havendokken op Rechteroever gekend zijn, is</w:t>
      </w:r>
      <w:r w:rsidR="00241128">
        <w:t xml:space="preserve"> </w:t>
      </w:r>
      <w:r w:rsidRPr="004B1FE3">
        <w:t>relatief beperkt. Bij de significantiebeoordeling van de mogelijke effecten van de afvalwaterlozingen op de fysico-chemische kwaliteit van de havendokken, wordt dan ook de basismilieukwaliteitsnorm gebruikt  als toetsingswaarde, of bij het ontbreken hiervan een toetsingswaarde uit het buitenland (vb. Nederland).</w:t>
      </w:r>
    </w:p>
    <w:p w:rsidR="00FB3651" w:rsidRDefault="00FB3651" w:rsidP="004F40A7">
      <w:pPr>
        <w:pStyle w:val="Heading2"/>
      </w:pPr>
      <w:bookmarkStart w:id="1125" w:name="_Toc298161869"/>
      <w:bookmarkStart w:id="1126" w:name="_Toc312069346"/>
      <w:bookmarkEnd w:id="1125"/>
      <w:r>
        <w:t>Lucht</w:t>
      </w:r>
      <w:bookmarkEnd w:id="1126"/>
    </w:p>
    <w:p w:rsidR="008D48F8" w:rsidRDefault="008D48F8" w:rsidP="000855A1">
      <w:pPr>
        <w:rPr>
          <w:lang w:val="nl-NL"/>
        </w:rPr>
      </w:pPr>
      <w:r w:rsidRPr="00A5708B">
        <w:rPr>
          <w:lang w:val="nl-NL"/>
        </w:rPr>
        <w:t>In de omgeving van het studiegebied kunnen een aantal meet</w:t>
      </w:r>
      <w:r>
        <w:rPr>
          <w:lang w:val="nl-NL"/>
        </w:rPr>
        <w:t>stations van de VMM</w:t>
      </w:r>
      <w:r w:rsidRPr="00A5708B">
        <w:rPr>
          <w:lang w:val="nl-NL"/>
        </w:rPr>
        <w:t xml:space="preserve"> worden gelokaliseerd</w:t>
      </w:r>
      <w:r>
        <w:rPr>
          <w:lang w:val="nl-NL"/>
        </w:rPr>
        <w:t>.</w:t>
      </w:r>
      <w:r w:rsidRPr="00A5708B">
        <w:rPr>
          <w:lang w:val="nl-NL"/>
        </w:rPr>
        <w:t xml:space="preserve">Deze meetposten worden evenwel sterk </w:t>
      </w:r>
      <w:r>
        <w:rPr>
          <w:lang w:val="nl-NL"/>
        </w:rPr>
        <w:t xml:space="preserve">tot zeer sterk </w:t>
      </w:r>
      <w:r w:rsidRPr="00A5708B">
        <w:rPr>
          <w:lang w:val="nl-NL"/>
        </w:rPr>
        <w:t>beïnvloed door</w:t>
      </w:r>
      <w:r>
        <w:rPr>
          <w:lang w:val="nl-NL"/>
        </w:rPr>
        <w:t xml:space="preserve"> een groot aantal</w:t>
      </w:r>
      <w:r w:rsidRPr="00A5708B">
        <w:rPr>
          <w:lang w:val="nl-NL"/>
        </w:rPr>
        <w:t xml:space="preserve"> lokale bronnen, waardoor de resultaten van deze meetstations in feite enkel indicatief zijn voor de luchtkwaliteit in het project- en studiegebied.</w:t>
      </w:r>
      <w:r>
        <w:rPr>
          <w:lang w:val="nl-NL"/>
        </w:rPr>
        <w:t xml:space="preserve"> </w:t>
      </w:r>
      <w:r w:rsidRPr="00314B0E">
        <w:rPr>
          <w:lang w:val="nl-NL"/>
        </w:rPr>
        <w:t>Zo worden een aa</w:t>
      </w:r>
      <w:r>
        <w:rPr>
          <w:lang w:val="nl-NL"/>
        </w:rPr>
        <w:t xml:space="preserve">ntal nabijgelegen meetstations </w:t>
      </w:r>
      <w:r w:rsidRPr="00314B0E">
        <w:rPr>
          <w:lang w:val="nl-NL"/>
        </w:rPr>
        <w:t xml:space="preserve">dermate beïnvloed door lokale bronnen (schepen in de sluis en emissies </w:t>
      </w:r>
      <w:r>
        <w:rPr>
          <w:lang w:val="nl-NL"/>
        </w:rPr>
        <w:t>elektriciteitscentrale te Kallo</w:t>
      </w:r>
      <w:r w:rsidRPr="00314B0E">
        <w:rPr>
          <w:lang w:val="nl-NL"/>
        </w:rPr>
        <w:t>), dat de meetresultaten van deze meetstations nauwelijks als rele</w:t>
      </w:r>
      <w:r>
        <w:rPr>
          <w:lang w:val="nl-NL"/>
        </w:rPr>
        <w:t>vant kunnen beschouwd worden. Het wordt dan ook weinig zinvol geacht om de resultaten van deze meetstations in dit MER mee op te nemen, temeer daar de impact van het bedrijf zich vnl. situeert ten aanzien van (specifieke) VOS.</w:t>
      </w:r>
    </w:p>
    <w:p w:rsidR="00617415" w:rsidRDefault="008D48F8" w:rsidP="000855A1">
      <w:r>
        <w:rPr>
          <w:lang w:val="nl-NL"/>
        </w:rPr>
        <w:t>Voor de beschrijving van de huidige luchtkwaliteit m.b.t. algemene parameters</w:t>
      </w:r>
      <w:r w:rsidRPr="00A5708B">
        <w:rPr>
          <w:lang w:val="nl-NL"/>
        </w:rPr>
        <w:t xml:space="preserve"> </w:t>
      </w:r>
      <w:r>
        <w:rPr>
          <w:lang w:val="nl-NL"/>
        </w:rPr>
        <w:t>is</w:t>
      </w:r>
      <w:r w:rsidRPr="00A5708B">
        <w:rPr>
          <w:lang w:val="nl-NL"/>
        </w:rPr>
        <w:t xml:space="preserve"> dan ook enkel gebruik gemaakt van de interpolatiekaarten van VMM om de plaatselijke luchtkwaliteit te beschrijven.</w:t>
      </w:r>
      <w:r>
        <w:rPr>
          <w:lang w:val="nl-NL"/>
        </w:rPr>
        <w:t xml:space="preserve"> </w:t>
      </w:r>
    </w:p>
    <w:p w:rsidR="002C5D44" w:rsidRDefault="00CB3B91">
      <w:pPr>
        <w:rPr>
          <w:rFonts w:asciiTheme="minorHAnsi" w:hAnsiTheme="minorHAnsi" w:cstheme="minorHAnsi"/>
        </w:rPr>
      </w:pPr>
      <w:r w:rsidRPr="00CB3B91">
        <w:rPr>
          <w:rFonts w:asciiTheme="minorHAnsi" w:hAnsiTheme="minorHAnsi" w:cstheme="minorHAnsi"/>
        </w:rPr>
        <w:t>Een andere leemte situeert zich op het vlak van het niet beschikbaar (kunnen) zijn van de werkelijke productmatrix die in de toekomst opgeslagen zal worden. Door het berekenen van de impact bij een maximalistische inschatting van de VOS emissies kan deze leemte voldoende ingevuld worden zodat toch met voldoende zekerheid de impactevaluatie kon uitgevoerd worden (door worst-case benadering).</w:t>
      </w:r>
    </w:p>
    <w:p w:rsidR="002C5D44" w:rsidRDefault="00CB3B91">
      <w:pPr>
        <w:rPr>
          <w:rFonts w:asciiTheme="minorHAnsi" w:hAnsiTheme="minorHAnsi" w:cstheme="minorHAnsi"/>
        </w:rPr>
      </w:pPr>
      <w:r w:rsidRPr="00CB3B91">
        <w:rPr>
          <w:rFonts w:asciiTheme="minorHAnsi" w:hAnsiTheme="minorHAnsi" w:cstheme="minorHAnsi"/>
        </w:rPr>
        <w:t>Er kan, omwille van het niet gekend zijn van de werkelijke productmatrix maar vnl. door de zeer discontinue bedrijfsvoering waardoor berekeningen van hogere percentielswaarden welke noodzakelijk zijn voor geurbeoordeling, onvoldoende onderbouwd kunnen worden, evenmin een kwantitatief onderbouwde impact</w:t>
      </w:r>
      <w:r w:rsidR="00241128">
        <w:rPr>
          <w:rFonts w:asciiTheme="minorHAnsi" w:hAnsiTheme="minorHAnsi" w:cstheme="minorHAnsi"/>
        </w:rPr>
        <w:t>-evalu</w:t>
      </w:r>
      <w:r w:rsidRPr="00CB3B91">
        <w:rPr>
          <w:rFonts w:asciiTheme="minorHAnsi" w:hAnsiTheme="minorHAnsi" w:cstheme="minorHAnsi"/>
        </w:rPr>
        <w:t>atie inzake geur uitgevoerd worden. In de mate dat er meer vluchtige producten met een lage geurdrempel zullen opgeslagen worden zal dan ook de kans op het</w:t>
      </w:r>
      <w:r w:rsidR="00F90574">
        <w:rPr>
          <w:rFonts w:asciiTheme="minorHAnsi" w:hAnsiTheme="minorHAnsi" w:cstheme="minorHAnsi"/>
        </w:rPr>
        <w:t xml:space="preserve"> </w:t>
      </w:r>
      <w:r w:rsidRPr="00CB3B91">
        <w:rPr>
          <w:rFonts w:asciiTheme="minorHAnsi" w:hAnsiTheme="minorHAnsi" w:cstheme="minorHAnsi"/>
        </w:rPr>
        <w:t>optreden van geur in de onmiddellijke omgeving van het bedrijf toenemen. Op basis van een simulatie met een zeer geurgevoelige stof werd alsnog een indicatieve evaluatie uitgevoerd.</w:t>
      </w:r>
      <w:r w:rsidR="00F90574">
        <w:rPr>
          <w:rFonts w:asciiTheme="minorHAnsi" w:hAnsiTheme="minorHAnsi" w:cstheme="minorHAnsi"/>
        </w:rPr>
        <w:t xml:space="preserve"> Er wordt hierbij geen verschil verwacht tussen de emissies zoals de</w:t>
      </w:r>
      <w:r w:rsidR="00241128">
        <w:rPr>
          <w:rFonts w:asciiTheme="minorHAnsi" w:hAnsiTheme="minorHAnsi" w:cstheme="minorHAnsi"/>
        </w:rPr>
        <w:t>ze</w:t>
      </w:r>
      <w:r w:rsidR="00F90574">
        <w:rPr>
          <w:rFonts w:asciiTheme="minorHAnsi" w:hAnsiTheme="minorHAnsi" w:cstheme="minorHAnsi"/>
        </w:rPr>
        <w:t xml:space="preserve"> kunnen optreden in de huidige situatie en diegene die voorzien worden voor de geplande situatie.</w:t>
      </w:r>
    </w:p>
    <w:p w:rsidR="00617415" w:rsidRDefault="00F90574">
      <w:pPr>
        <w:pStyle w:val="Heading2"/>
      </w:pPr>
      <w:bookmarkStart w:id="1127" w:name="_Toc312069347"/>
      <w:r>
        <w:t>Mens</w:t>
      </w:r>
      <w:bookmarkEnd w:id="1127"/>
    </w:p>
    <w:p w:rsidR="00F90574" w:rsidRDefault="00F90574" w:rsidP="00F90574">
      <w:pPr>
        <w:rPr>
          <w:lang w:val="nl-NL"/>
        </w:rPr>
      </w:pPr>
      <w:r>
        <w:rPr>
          <w:lang w:val="nl-NL"/>
        </w:rPr>
        <w:t>-</w:t>
      </w:r>
    </w:p>
    <w:p w:rsidR="00670916" w:rsidRDefault="00670916" w:rsidP="00670916">
      <w:pPr>
        <w:pStyle w:val="Heading2"/>
      </w:pPr>
      <w:bookmarkStart w:id="1128" w:name="_Toc312069348"/>
      <w:r>
        <w:t>Overige disciplines</w:t>
      </w:r>
      <w:bookmarkEnd w:id="1128"/>
    </w:p>
    <w:p w:rsidR="00670916" w:rsidRPr="00F90574" w:rsidRDefault="00670916" w:rsidP="00F90574">
      <w:pPr>
        <w:rPr>
          <w:lang w:val="nl-NL"/>
        </w:rPr>
        <w:sectPr w:rsidR="00670916" w:rsidRPr="00F90574" w:rsidSect="00C54545">
          <w:headerReference w:type="even" r:id="rId88"/>
          <w:headerReference w:type="default" r:id="rId89"/>
          <w:headerReference w:type="first" r:id="rId90"/>
          <w:pgSz w:w="11909" w:h="16834" w:code="9"/>
          <w:pgMar w:top="1240" w:right="1440" w:bottom="1440" w:left="1440" w:header="454" w:footer="709" w:gutter="0"/>
          <w:pgNumType w:start="1" w:chapStyle="1" w:chapSep="period"/>
          <w:cols w:space="708"/>
        </w:sectPr>
      </w:pPr>
      <w:r>
        <w:rPr>
          <w:lang w:val="nl-NL"/>
        </w:rPr>
        <w:t>-</w:t>
      </w:r>
    </w:p>
    <w:p w:rsidR="00AF5F28" w:rsidRDefault="00C63292" w:rsidP="004F40A7">
      <w:pPr>
        <w:pStyle w:val="Heading1"/>
      </w:pPr>
      <w:bookmarkStart w:id="1129" w:name="_Toc107126517"/>
      <w:bookmarkStart w:id="1130" w:name="_Toc154566911"/>
      <w:bookmarkStart w:id="1131" w:name="_Toc155592208"/>
      <w:bookmarkStart w:id="1132" w:name="_Toc160438156"/>
      <w:bookmarkStart w:id="1133" w:name="_Toc161021626"/>
      <w:bookmarkStart w:id="1134" w:name="_Toc161650080"/>
      <w:bookmarkStart w:id="1135" w:name="_Toc162149122"/>
      <w:bookmarkStart w:id="1136" w:name="_Toc162939754"/>
      <w:bookmarkStart w:id="1137" w:name="_Toc162940590"/>
      <w:bookmarkStart w:id="1138" w:name="_Toc163300988"/>
      <w:bookmarkStart w:id="1139" w:name="_Toc163303705"/>
      <w:bookmarkStart w:id="1140" w:name="_Toc163545546"/>
      <w:bookmarkStart w:id="1141" w:name="_Toc163622809"/>
      <w:bookmarkStart w:id="1142" w:name="_Toc169530160"/>
      <w:bookmarkStart w:id="1143" w:name="_Toc170203509"/>
      <w:bookmarkStart w:id="1144" w:name="_Toc171153782"/>
      <w:bookmarkStart w:id="1145" w:name="_Toc171439257"/>
      <w:bookmarkStart w:id="1146" w:name="_Toc173232421"/>
      <w:bookmarkStart w:id="1147" w:name="_Toc180229023"/>
      <w:bookmarkStart w:id="1148" w:name="_Toc181154185"/>
      <w:bookmarkStart w:id="1149" w:name="_Toc182486395"/>
      <w:bookmarkStart w:id="1150" w:name="_Toc183519691"/>
      <w:bookmarkStart w:id="1151" w:name="_Toc183832503"/>
      <w:bookmarkStart w:id="1152" w:name="_Toc183851453"/>
      <w:bookmarkStart w:id="1153" w:name="_Toc183851685"/>
      <w:bookmarkStart w:id="1154" w:name="_Toc184443775"/>
      <w:bookmarkStart w:id="1155" w:name="_Toc185067715"/>
      <w:bookmarkStart w:id="1156" w:name="_Toc189407107"/>
      <w:bookmarkStart w:id="1157" w:name="_Toc189451648"/>
      <w:bookmarkStart w:id="1158" w:name="_Toc189630044"/>
      <w:bookmarkStart w:id="1159" w:name="_Toc224380879"/>
      <w:bookmarkStart w:id="1160" w:name="_Toc225309250"/>
      <w:bookmarkStart w:id="1161" w:name="_Toc225840202"/>
      <w:bookmarkStart w:id="1162" w:name="_Toc225910032"/>
      <w:bookmarkStart w:id="1163" w:name="_Toc230433090"/>
      <w:bookmarkStart w:id="1164" w:name="_Toc230433639"/>
      <w:bookmarkStart w:id="1165" w:name="_Toc236217900"/>
      <w:bookmarkStart w:id="1166" w:name="_Toc241482757"/>
      <w:bookmarkStart w:id="1167" w:name="_Toc248029529"/>
      <w:bookmarkStart w:id="1168" w:name="_Toc251257064"/>
      <w:bookmarkStart w:id="1169" w:name="_Toc251767869"/>
      <w:bookmarkStart w:id="1170" w:name="_Toc253038468"/>
      <w:bookmarkStart w:id="1171" w:name="_Toc259197938"/>
      <w:bookmarkStart w:id="1172" w:name="_Toc263434329"/>
      <w:bookmarkStart w:id="1173" w:name="_Toc271806620"/>
      <w:bookmarkStart w:id="1174" w:name="_Toc272754453"/>
      <w:bookmarkStart w:id="1175" w:name="_Toc272754611"/>
      <w:bookmarkStart w:id="1176" w:name="_Toc272754769"/>
      <w:bookmarkStart w:id="1177" w:name="_Toc278442391"/>
      <w:bookmarkStart w:id="1178" w:name="_Toc279411724"/>
      <w:bookmarkStart w:id="1179" w:name="_Toc279480227"/>
      <w:bookmarkStart w:id="1180" w:name="hfdst11"/>
      <w:bookmarkStart w:id="1181" w:name="_Toc282505747"/>
      <w:bookmarkStart w:id="1182" w:name="_Toc295920245"/>
      <w:bookmarkStart w:id="1183" w:name="_Toc295923476"/>
      <w:bookmarkStart w:id="1184" w:name="_Toc295923788"/>
      <w:bookmarkStart w:id="1185" w:name="_Toc295995386"/>
      <w:bookmarkStart w:id="1186" w:name="_Toc296004968"/>
      <w:bookmarkStart w:id="1187" w:name="_Toc296085919"/>
      <w:bookmarkStart w:id="1188" w:name="_Toc296330828"/>
      <w:bookmarkStart w:id="1189" w:name="_Toc296419544"/>
      <w:bookmarkStart w:id="1190" w:name="_Toc297286290"/>
      <w:bookmarkStart w:id="1191" w:name="_Toc297542597"/>
      <w:bookmarkStart w:id="1192" w:name="_Toc297546736"/>
      <w:bookmarkStart w:id="1193" w:name="_Toc297546901"/>
      <w:bookmarkStart w:id="1194" w:name="_Toc297547066"/>
      <w:bookmarkStart w:id="1195" w:name="_Toc297547231"/>
      <w:bookmarkStart w:id="1196" w:name="_Toc297553732"/>
      <w:bookmarkStart w:id="1197" w:name="_Toc297649898"/>
      <w:bookmarkStart w:id="1198" w:name="_Toc297722698"/>
      <w:bookmarkStart w:id="1199" w:name="_Toc297725716"/>
      <w:bookmarkStart w:id="1200" w:name="_Toc298161873"/>
      <w:bookmarkStart w:id="1201" w:name="_Toc299981181"/>
      <w:bookmarkStart w:id="1202" w:name="_Toc299981364"/>
      <w:bookmarkStart w:id="1203" w:name="_Toc299981547"/>
      <w:bookmarkStart w:id="1204" w:name="_Toc299982762"/>
      <w:bookmarkStart w:id="1205" w:name="_Toc299982945"/>
      <w:bookmarkStart w:id="1206" w:name="_Toc299985234"/>
      <w:bookmarkStart w:id="1207" w:name="_Toc299986333"/>
      <w:bookmarkStart w:id="1208" w:name="_Toc299986516"/>
      <w:bookmarkStart w:id="1209" w:name="_Toc300045722"/>
      <w:bookmarkStart w:id="1210" w:name="_Toc300232411"/>
      <w:bookmarkStart w:id="1211" w:name="_Toc300303775"/>
      <w:bookmarkStart w:id="1212" w:name="_Toc300559699"/>
      <w:bookmarkStart w:id="1213" w:name="_Toc300561107"/>
      <w:bookmarkStart w:id="1214" w:name="_Toc300561723"/>
      <w:bookmarkStart w:id="1215" w:name="_Toc300561906"/>
      <w:bookmarkStart w:id="1216" w:name="_Toc300562853"/>
      <w:bookmarkStart w:id="1217" w:name="_Toc311109354"/>
      <w:bookmarkStart w:id="1218" w:name="_Toc311212720"/>
      <w:bookmarkStart w:id="1219" w:name="_Toc311451988"/>
      <w:bookmarkStart w:id="1220" w:name="_Toc312069349"/>
      <w:r>
        <w:lastRenderedPageBreak/>
        <w:t>Postmonitoring en -evaluatie</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rsidR="00AF5F28" w:rsidRDefault="00AF5F28" w:rsidP="00AF3F9E">
      <w:pPr>
        <w:rPr>
          <w:lang w:val="nl"/>
        </w:rPr>
      </w:pPr>
    </w:p>
    <w:p w:rsidR="00AF5F28" w:rsidRDefault="00AF5F28" w:rsidP="00AF3F9E">
      <w:pPr>
        <w:rPr>
          <w:lang w:val="nl"/>
        </w:rPr>
        <w:sectPr w:rsidR="00AF5F28" w:rsidSect="00C54545">
          <w:headerReference w:type="even" r:id="rId91"/>
          <w:headerReference w:type="default" r:id="rId92"/>
          <w:headerReference w:type="first" r:id="rId93"/>
          <w:pgSz w:w="11909" w:h="16834" w:code="9"/>
          <w:pgMar w:top="1240" w:right="1440" w:bottom="1440" w:left="1440" w:header="454" w:footer="709" w:gutter="0"/>
          <w:pgNumType w:start="1" w:chapStyle="1" w:chapSep="period"/>
          <w:cols w:space="708"/>
        </w:sectPr>
      </w:pPr>
    </w:p>
    <w:p w:rsidR="00533166" w:rsidRDefault="004723C2" w:rsidP="004F40A7">
      <w:pPr>
        <w:pStyle w:val="Heading2"/>
      </w:pPr>
      <w:bookmarkStart w:id="1221" w:name="_Toc312069350"/>
      <w:r>
        <w:lastRenderedPageBreak/>
        <w:t>Oppervlaktewater</w:t>
      </w:r>
      <w:bookmarkEnd w:id="1221"/>
    </w:p>
    <w:p w:rsidR="00AA5A9F" w:rsidRPr="00AA5A9F" w:rsidRDefault="00F96475" w:rsidP="00AF3F9E">
      <w:pPr>
        <w:rPr>
          <w:lang w:val="nl-NL"/>
        </w:rPr>
      </w:pPr>
      <w:r>
        <w:rPr>
          <w:lang w:val="nl-NL"/>
        </w:rPr>
        <w:t>.</w:t>
      </w:r>
      <w:r w:rsidR="00AA5A9F">
        <w:rPr>
          <w:lang w:val="nl-NL"/>
        </w:rPr>
        <w:t xml:space="preserve"> </w:t>
      </w:r>
    </w:p>
    <w:p w:rsidR="00670916" w:rsidRDefault="00670916" w:rsidP="00670916">
      <w:pPr>
        <w:pStyle w:val="Heading2"/>
      </w:pPr>
      <w:bookmarkStart w:id="1222" w:name="_Toc312069351"/>
      <w:r>
        <w:t>Lucht</w:t>
      </w:r>
      <w:bookmarkEnd w:id="1222"/>
    </w:p>
    <w:p w:rsidR="00617415" w:rsidRDefault="00617415">
      <w:pPr>
        <w:ind w:left="567"/>
      </w:pPr>
    </w:p>
    <w:p w:rsidR="00670916" w:rsidRDefault="00670916" w:rsidP="00670916">
      <w:r>
        <w:t>Gezien de beperkte bijdragen in de omgeving worden geen bijkomende maatregelen noodzakelijk geacht onder de beschouwde voorwaarden ten aanzien van de rechtstreekse impact op de luchtkwaliteit in het studiegebied.</w:t>
      </w:r>
    </w:p>
    <w:p w:rsidR="00670916" w:rsidRDefault="00670916" w:rsidP="00670916">
      <w:r>
        <w:t>Uiteraard dienen maatregelen zoals aangepast onderhoud, opleiding en training personeel, ingrijpen bij vaststellingen van tekortkomingen, …., maatregelen welke garant staan voor een goede bedrijfsvoering resulterend in minimale emissies, uitgevoerd te worden. Dit is inherent aan het toepassen van BBT.</w:t>
      </w:r>
    </w:p>
    <w:p w:rsidR="00670916" w:rsidRDefault="00670916" w:rsidP="00670916">
      <w:r>
        <w:t xml:space="preserve">In het kader van de NEC doelstellingen dient echter gestreefd te worden naar een verdere beperking van de VOS emissies. Hiermee wordt bij de aanleg van het nieuwe tankenpark reeds rekening gehouden door het  aanpassen van de constructie aan het inzetten van hoge druk ontluchtingsvalven van 100 mbar en – in functie van de noodzaak – het voorzien van damp-retour. Hierdoor kunnen zowel de ademhalingsverliezen  als verpompingsverliezen zeer sterk gereduceerd worden. </w:t>
      </w:r>
    </w:p>
    <w:p w:rsidR="004033E3" w:rsidRDefault="004033E3" w:rsidP="004033E3">
      <w:r>
        <w:t>Wat betreft het nemen van bijkomende emissiereducerende maatregelen die betrekking hebben op bestaande opslagtanks, wordt dit aspect relevant van zodra de totale VOS-emissie een waarde van 146 ton per jaar overschrijden. Een totale VOS-emissie van 146 ton/jaar zal zich enkel manifesteren indien meer dan ca. 160% de voorziene opslagcapaciteit aan P1-producten (na fase 2) wordt ingevuld door de stoffen isopropylacetaat, ethanol, heptaan en methylcyclohexaan. In</w:t>
      </w:r>
      <w:r w:rsidR="008C1183">
        <w:t>dien</w:t>
      </w:r>
      <w:r>
        <w:t xml:space="preserve"> deze situatie </w:t>
      </w:r>
      <w:r w:rsidR="00DD0A55">
        <w:t xml:space="preserve">zich voordoet </w:t>
      </w:r>
      <w:r>
        <w:t>kunnen de gemaakte aannames verder verfijnd worden om een meer realistische  benadering te maken van de investeringskosten.</w:t>
      </w:r>
    </w:p>
    <w:p w:rsidR="004033E3" w:rsidRPr="00266C1E" w:rsidRDefault="004033E3" w:rsidP="000855A1">
      <w:r>
        <w:t>De werkelijk verwachte VOS-emissie bedraagt ca. 11 ton/jaar. In dit geval is het nemen van bijkomende emissiereducerende maatregelen, volgens de gangbare criteria, niet als kosteneffectief te beschouwen.</w:t>
      </w:r>
    </w:p>
    <w:p w:rsidR="00670916" w:rsidRDefault="00670916" w:rsidP="000855A1">
      <w:r>
        <w:t xml:space="preserve">Ten aanzien van de beperking van emissies van toxische en/of kankerverwekkende stoffen geldt in feite een meer vergaande benadering. Hier dient men te stellen dat de emissie van deze stoffen tot het minimum dient beperkt te worden, zeker m.b.t. carcinogene stoffen, gezien hiervoor geen immissiewaarde kan vooropgesteld worden beneden dewelke er geen effecten verwacht worden (enkel de kans neemt af bij dalende concentraties). Voor de carcinogene stoffen dient dan ook systematisch gestreefd te worden naar een absoluut minimum qua emissies en impact. </w:t>
      </w:r>
    </w:p>
    <w:p w:rsidR="00670916" w:rsidRDefault="00670916" w:rsidP="00670916">
      <w:pPr>
        <w:rPr>
          <w:lang w:val="nl"/>
        </w:rPr>
      </w:pPr>
      <w:r>
        <w:rPr>
          <w:lang w:val="nl"/>
        </w:rPr>
        <w:t xml:space="preserve">De voorziene emissiereducerende maatregelen leiden er toe dat </w:t>
      </w:r>
      <w:r>
        <w:t>de restemissies (verbonden aan een maximale op- en overslag van de meest kritische CMR-stoffen), zodanig laag zijn, dat zelfs bij deze worstcase scenario’s</w:t>
      </w:r>
      <w:r>
        <w:rPr>
          <w:lang w:val="nl"/>
        </w:rPr>
        <w:t xml:space="preserve"> de kans op het optreden van gezondheids- en hindereffecten in de omgeving als verwaarloosbaar kan beschouwd wo</w:t>
      </w:r>
      <w:r w:rsidRPr="00884CBE">
        <w:rPr>
          <w:lang w:val="nl"/>
        </w:rPr>
        <w:t>rden (zie ook §</w:t>
      </w:r>
      <w:fldSimple w:instr=" REF _Ref296435070 \r \h  \* MERGEFORMAT ">
        <w:r w:rsidR="00F077DA" w:rsidRPr="00F077DA">
          <w:rPr>
            <w:lang w:val="nl"/>
          </w:rPr>
          <w:t>VIII2.6.2.3</w:t>
        </w:r>
      </w:fldSimple>
      <w:r w:rsidRPr="00884CBE">
        <w:rPr>
          <w:lang w:val="nl"/>
        </w:rPr>
        <w:t>).</w:t>
      </w:r>
      <w:r>
        <w:rPr>
          <w:lang w:val="nl"/>
        </w:rPr>
        <w:t xml:space="preserve"> Dit betekent dat er, vanuit emissie – immissie standpunt, er geen noodzaak is om bijkomende emissiereducerende maatregelen te voorzien.</w:t>
      </w:r>
      <w:r>
        <w:rPr>
          <w:lang w:val="nl"/>
        </w:rPr>
        <w:tab/>
      </w:r>
    </w:p>
    <w:p w:rsidR="00670916" w:rsidRDefault="00670916" w:rsidP="00670916">
      <w:pPr>
        <w:rPr>
          <w:lang w:val="nl"/>
        </w:rPr>
      </w:pPr>
      <w:r w:rsidRPr="00DE2557">
        <w:rPr>
          <w:lang w:val="nl"/>
        </w:rPr>
        <w:t xml:space="preserve">De uitgevoerde effectevaluatie heeft uiteraard betrekking op die </w:t>
      </w:r>
      <w:r>
        <w:rPr>
          <w:lang w:val="nl"/>
        </w:rPr>
        <w:t xml:space="preserve">giftige en / of </w:t>
      </w:r>
      <w:r w:rsidRPr="00DE2557">
        <w:rPr>
          <w:lang w:val="nl"/>
        </w:rPr>
        <w:t xml:space="preserve">CMR-stoffen waarvan bij opmaak van onderhavige </w:t>
      </w:r>
      <w:r>
        <w:rPr>
          <w:lang w:val="nl"/>
        </w:rPr>
        <w:t>rapport</w:t>
      </w:r>
      <w:r w:rsidRPr="00DE2557">
        <w:rPr>
          <w:lang w:val="nl"/>
        </w:rPr>
        <w:t xml:space="preserve"> gesteld werd dat deze momenteel worden of in de toekomst mogelijks zullen worden op- en overgeslagen bij </w:t>
      </w:r>
      <w:r>
        <w:rPr>
          <w:lang w:val="nl"/>
        </w:rPr>
        <w:t xml:space="preserve">VTE (zie tabel </w:t>
      </w:r>
      <w:r w:rsidR="00C325A0">
        <w:rPr>
          <w:lang w:val="nl"/>
        </w:rPr>
        <w:fldChar w:fldCharType="begin"/>
      </w:r>
      <w:r>
        <w:rPr>
          <w:lang w:val="nl"/>
        </w:rPr>
        <w:instrText xml:space="preserve"> REF t_overzicht_gev_stoffen \h </w:instrText>
      </w:r>
      <w:r w:rsidR="00C325A0">
        <w:rPr>
          <w:lang w:val="nl"/>
        </w:rPr>
      </w:r>
      <w:r w:rsidR="00C325A0">
        <w:rPr>
          <w:lang w:val="nl"/>
        </w:rPr>
        <w:fldChar w:fldCharType="separate"/>
      </w:r>
      <w:r w:rsidR="008102D8">
        <w:t>IV.</w:t>
      </w:r>
      <w:r w:rsidR="008102D8">
        <w:rPr>
          <w:noProof/>
        </w:rPr>
        <w:t>1</w:t>
      </w:r>
      <w:r w:rsidR="00C325A0">
        <w:rPr>
          <w:lang w:val="nl"/>
        </w:rPr>
        <w:fldChar w:fldCharType="end"/>
      </w:r>
      <w:r>
        <w:rPr>
          <w:lang w:val="nl"/>
        </w:rPr>
        <w:t>)</w:t>
      </w:r>
      <w:r w:rsidRPr="00DE2557">
        <w:rPr>
          <w:lang w:val="nl"/>
        </w:rPr>
        <w:t>.</w:t>
      </w:r>
    </w:p>
    <w:p w:rsidR="004033E3" w:rsidRDefault="00670916" w:rsidP="000855A1">
      <w:pPr>
        <w:rPr>
          <w:lang w:val="nl"/>
        </w:rPr>
      </w:pPr>
      <w:r>
        <w:rPr>
          <w:lang w:val="nl"/>
        </w:rPr>
        <w:br/>
      </w:r>
      <w:r w:rsidRPr="00DE2557">
        <w:rPr>
          <w:lang w:val="nl"/>
        </w:rPr>
        <w:t xml:space="preserve">Wat betreft “nieuwe” </w:t>
      </w:r>
      <w:r>
        <w:rPr>
          <w:lang w:val="nl"/>
        </w:rPr>
        <w:t xml:space="preserve">giftige en/of </w:t>
      </w:r>
      <w:r w:rsidRPr="00DE2557">
        <w:rPr>
          <w:lang w:val="nl"/>
        </w:rPr>
        <w:t>CMR-stoffen dient in eerste instantie een berekening van het risicokengetal zoals beschreven</w:t>
      </w:r>
      <w:r>
        <w:rPr>
          <w:lang w:val="nl"/>
        </w:rPr>
        <w:t xml:space="preserve"> in bijlage </w:t>
      </w:r>
      <w:r w:rsidR="00C325A0">
        <w:rPr>
          <w:lang w:val="nl"/>
        </w:rPr>
        <w:fldChar w:fldCharType="begin"/>
      </w:r>
      <w:r>
        <w:rPr>
          <w:lang w:val="nl"/>
        </w:rPr>
        <w:instrText xml:space="preserve"> REF b_opslagscenario \h </w:instrText>
      </w:r>
      <w:r w:rsidR="00C325A0">
        <w:rPr>
          <w:lang w:val="nl"/>
        </w:rPr>
      </w:r>
      <w:r w:rsidR="00C325A0">
        <w:rPr>
          <w:lang w:val="nl"/>
        </w:rPr>
        <w:fldChar w:fldCharType="separate"/>
      </w:r>
      <w:r w:rsidR="008102D8">
        <w:t>4</w:t>
      </w:r>
      <w:r w:rsidR="00C325A0">
        <w:rPr>
          <w:lang w:val="nl"/>
        </w:rPr>
        <w:fldChar w:fldCharType="end"/>
      </w:r>
      <w:r w:rsidRPr="00DE2557">
        <w:rPr>
          <w:lang w:val="nl"/>
        </w:rPr>
        <w:t xml:space="preserve">, uitgevoerd te worden. Indien het berekende risicokengetal lager is dan dit voor </w:t>
      </w:r>
      <w:r w:rsidR="00DF21FD" w:rsidRPr="00DF21FD">
        <w:rPr>
          <w:lang w:val="nl"/>
        </w:rPr>
        <w:t>chloroform</w:t>
      </w:r>
      <w:r w:rsidRPr="00DF21FD">
        <w:rPr>
          <w:lang w:val="nl"/>
        </w:rPr>
        <w:t xml:space="preserve">, al dan niet na het nemen extra maatregelen zoals beperking van de opslag, impliceert dit dat </w:t>
      </w:r>
      <w:r w:rsidR="00DF21FD" w:rsidRPr="00DF21FD">
        <w:rPr>
          <w:lang w:val="nl"/>
        </w:rPr>
        <w:t>chloroform</w:t>
      </w:r>
      <w:r w:rsidRPr="00DF21FD">
        <w:rPr>
          <w:lang w:val="nl"/>
        </w:rPr>
        <w:t xml:space="preserve"> ook in de</w:t>
      </w:r>
      <w:r w:rsidRPr="00DE2557">
        <w:rPr>
          <w:lang w:val="nl"/>
        </w:rPr>
        <w:t xml:space="preserve"> toekomst de meest kritische stof blijft. De resultaten van </w:t>
      </w:r>
      <w:r w:rsidR="004033E3">
        <w:rPr>
          <w:lang w:val="nl"/>
        </w:rPr>
        <w:t>de</w:t>
      </w:r>
      <w:r w:rsidRPr="00DE2557">
        <w:rPr>
          <w:lang w:val="nl"/>
        </w:rPr>
        <w:t xml:space="preserve"> uitgevoerde effectevaluatie blijven dan ook zonder meer geldig.</w:t>
      </w:r>
    </w:p>
    <w:p w:rsidR="00670916" w:rsidRDefault="00670916" w:rsidP="000855A1">
      <w:pPr>
        <w:rPr>
          <w:lang w:val="nl"/>
        </w:rPr>
      </w:pPr>
      <w:r w:rsidRPr="00DE2557">
        <w:rPr>
          <w:lang w:val="nl"/>
        </w:rPr>
        <w:lastRenderedPageBreak/>
        <w:t xml:space="preserve">In het andere geval, indien de “nieuwe” </w:t>
      </w:r>
      <w:r>
        <w:rPr>
          <w:lang w:val="nl"/>
        </w:rPr>
        <w:t xml:space="preserve">giftige en/of </w:t>
      </w:r>
      <w:r w:rsidRPr="00DE2557">
        <w:rPr>
          <w:lang w:val="nl"/>
        </w:rPr>
        <w:t>CMR-stof de meest kristische stof wordt, is het aangewezen om de restemissies van deze stof te berekenen en de impact van de restemissies op de omgeving opnieuw te evaluere</w:t>
      </w:r>
      <w:r>
        <w:rPr>
          <w:lang w:val="nl"/>
        </w:rPr>
        <w:t>n.</w:t>
      </w:r>
    </w:p>
    <w:p w:rsidR="00670916" w:rsidRPr="00F70BB3" w:rsidRDefault="00670916" w:rsidP="00670916">
      <w:pPr>
        <w:rPr>
          <w:lang w:val="nl-NL"/>
        </w:rPr>
      </w:pPr>
      <w:r w:rsidRPr="002E4263">
        <w:t>Wat betreft de opslag van stoffen waarvan de (berekende) dampspanning bij 35°C de waarde van 13,3 kPa benadert, dient men er bij de bedrijfsvoering ernaar te streven om deze op te slaan in tanks die uitgerust zijn met een dampbalans. Dit uiteraard steeds rekening houdend met de beschikbaarheid van dergelijke tanks en zonder de opslag te hypothekeren van die stoffen waarvoor de toepassing van dampbalans als absoluut noodzakelijk geacht wordt</w:t>
      </w:r>
    </w:p>
    <w:p w:rsidR="005D1D6E" w:rsidRDefault="005D1D6E" w:rsidP="00670916">
      <w:pPr>
        <w:keepLines w:val="0"/>
        <w:spacing w:before="0" w:after="0" w:line="240" w:lineRule="auto"/>
        <w:jc w:val="left"/>
      </w:pPr>
    </w:p>
    <w:p w:rsidR="005D1D6E" w:rsidRDefault="005D1D6E" w:rsidP="005D1D6E">
      <w:pPr>
        <w:pStyle w:val="Heading2"/>
      </w:pPr>
      <w:bookmarkStart w:id="1223" w:name="_Toc312069352"/>
      <w:r>
        <w:t>Mens</w:t>
      </w:r>
      <w:bookmarkEnd w:id="1223"/>
    </w:p>
    <w:p w:rsidR="005D1D6E" w:rsidRDefault="005D1D6E" w:rsidP="005D1D6E">
      <w:pPr>
        <w:rPr>
          <w:lang w:val="nl-NL"/>
        </w:rPr>
      </w:pPr>
      <w:r>
        <w:rPr>
          <w:lang w:val="nl-NL"/>
        </w:rPr>
        <w:t>-</w:t>
      </w:r>
    </w:p>
    <w:p w:rsidR="005D1D6E" w:rsidRDefault="005D1D6E" w:rsidP="005D1D6E">
      <w:pPr>
        <w:pStyle w:val="Heading2"/>
      </w:pPr>
      <w:bookmarkStart w:id="1224" w:name="_Toc312069353"/>
      <w:r>
        <w:t>Overige disciplines</w:t>
      </w:r>
      <w:bookmarkEnd w:id="1224"/>
    </w:p>
    <w:p w:rsidR="00617415" w:rsidRDefault="005D1D6E">
      <w:pPr>
        <w:rPr>
          <w:b/>
          <w:smallCaps/>
          <w:spacing w:val="20"/>
          <w:sz w:val="24"/>
          <w:lang w:val="nl-NL"/>
        </w:rPr>
      </w:pPr>
      <w:r>
        <w:rPr>
          <w:lang w:val="nl-NL"/>
        </w:rPr>
        <w:t>-</w:t>
      </w:r>
      <w:r w:rsidR="00670916">
        <w:br w:type="page"/>
      </w:r>
    </w:p>
    <w:p w:rsidR="00670916" w:rsidRPr="00AA5A9F" w:rsidRDefault="00670916" w:rsidP="00AF3F9E">
      <w:pPr>
        <w:rPr>
          <w:lang w:val="nl-NL"/>
        </w:rPr>
        <w:sectPr w:rsidR="00670916" w:rsidRPr="00AA5A9F" w:rsidSect="00C54545">
          <w:headerReference w:type="even" r:id="rId94"/>
          <w:headerReference w:type="default" r:id="rId95"/>
          <w:headerReference w:type="first" r:id="rId96"/>
          <w:pgSz w:w="11909" w:h="16834" w:code="9"/>
          <w:pgMar w:top="1240" w:right="1440" w:bottom="1440" w:left="1440" w:header="454" w:footer="709" w:gutter="0"/>
          <w:pgNumType w:start="1" w:chapStyle="1" w:chapSep="period"/>
          <w:cols w:space="708"/>
        </w:sectPr>
      </w:pPr>
    </w:p>
    <w:p w:rsidR="00AF5F28" w:rsidRDefault="00AF5F28" w:rsidP="004F40A7">
      <w:pPr>
        <w:pStyle w:val="Heading1"/>
      </w:pPr>
      <w:bookmarkStart w:id="1225" w:name="_Toc107126518"/>
      <w:bookmarkStart w:id="1226" w:name="_Toc154566914"/>
      <w:bookmarkStart w:id="1227" w:name="_Toc155592212"/>
      <w:bookmarkStart w:id="1228" w:name="_Toc160438160"/>
      <w:bookmarkStart w:id="1229" w:name="_Toc161021630"/>
      <w:bookmarkStart w:id="1230" w:name="_Toc161650084"/>
      <w:bookmarkStart w:id="1231" w:name="_Toc162149126"/>
      <w:bookmarkStart w:id="1232" w:name="_Toc162939758"/>
      <w:bookmarkStart w:id="1233" w:name="_Toc162940594"/>
      <w:bookmarkStart w:id="1234" w:name="_Toc163300991"/>
      <w:bookmarkStart w:id="1235" w:name="_Toc163303708"/>
      <w:bookmarkStart w:id="1236" w:name="_Toc163545550"/>
      <w:bookmarkStart w:id="1237" w:name="_Toc163622813"/>
      <w:bookmarkStart w:id="1238" w:name="_Toc169530165"/>
      <w:bookmarkStart w:id="1239" w:name="_Toc170203514"/>
      <w:bookmarkStart w:id="1240" w:name="_Toc171153787"/>
      <w:bookmarkStart w:id="1241" w:name="_Toc171439262"/>
      <w:bookmarkStart w:id="1242" w:name="_Toc173232426"/>
      <w:bookmarkStart w:id="1243" w:name="_Toc180229028"/>
      <w:bookmarkStart w:id="1244" w:name="_Toc181154190"/>
      <w:bookmarkStart w:id="1245" w:name="_Toc182486400"/>
      <w:bookmarkStart w:id="1246" w:name="_Toc183519696"/>
      <w:bookmarkStart w:id="1247" w:name="_Toc183832510"/>
      <w:bookmarkStart w:id="1248" w:name="_Toc183851460"/>
      <w:bookmarkStart w:id="1249" w:name="_Toc183851692"/>
      <w:bookmarkStart w:id="1250" w:name="_Toc184443782"/>
      <w:bookmarkStart w:id="1251" w:name="_Toc185067722"/>
      <w:bookmarkStart w:id="1252" w:name="_Toc189407114"/>
      <w:bookmarkStart w:id="1253" w:name="_Toc189451655"/>
      <w:bookmarkStart w:id="1254" w:name="_Toc189630051"/>
      <w:bookmarkStart w:id="1255" w:name="_Toc224380880"/>
      <w:bookmarkStart w:id="1256" w:name="_Toc225309252"/>
      <w:bookmarkStart w:id="1257" w:name="_Toc225840204"/>
      <w:bookmarkStart w:id="1258" w:name="_Toc225910034"/>
      <w:bookmarkStart w:id="1259" w:name="_Toc230433092"/>
      <w:bookmarkStart w:id="1260" w:name="_Toc230433641"/>
      <w:bookmarkStart w:id="1261" w:name="_Toc236217902"/>
      <w:bookmarkStart w:id="1262" w:name="_Toc241482758"/>
      <w:bookmarkStart w:id="1263" w:name="_Toc248029530"/>
      <w:bookmarkStart w:id="1264" w:name="_Toc251257065"/>
      <w:bookmarkStart w:id="1265" w:name="_Toc251767870"/>
      <w:bookmarkStart w:id="1266" w:name="_Toc253038469"/>
      <w:bookmarkStart w:id="1267" w:name="_Toc259197940"/>
      <w:bookmarkStart w:id="1268" w:name="_Toc263434331"/>
      <w:bookmarkStart w:id="1269" w:name="_Toc271806622"/>
      <w:bookmarkStart w:id="1270" w:name="_Toc272754455"/>
      <w:bookmarkStart w:id="1271" w:name="_Toc272754613"/>
      <w:bookmarkStart w:id="1272" w:name="_Toc272754771"/>
      <w:bookmarkStart w:id="1273" w:name="_Toc278442393"/>
      <w:bookmarkStart w:id="1274" w:name="_Toc279411726"/>
      <w:bookmarkStart w:id="1275" w:name="_Toc279480229"/>
      <w:bookmarkStart w:id="1276" w:name="hfdst12"/>
      <w:bookmarkStart w:id="1277" w:name="_Toc282505749"/>
      <w:bookmarkStart w:id="1278" w:name="_Toc295920247"/>
      <w:bookmarkStart w:id="1279" w:name="_Toc295923478"/>
      <w:bookmarkStart w:id="1280" w:name="_Toc295923790"/>
      <w:bookmarkStart w:id="1281" w:name="_Toc295995388"/>
      <w:bookmarkStart w:id="1282" w:name="_Toc296004970"/>
      <w:bookmarkStart w:id="1283" w:name="_Toc296085921"/>
      <w:bookmarkStart w:id="1284" w:name="_Toc296330830"/>
      <w:bookmarkStart w:id="1285" w:name="_Toc296419546"/>
      <w:bookmarkStart w:id="1286" w:name="_Toc297286292"/>
      <w:bookmarkStart w:id="1287" w:name="_Toc297542599"/>
      <w:bookmarkStart w:id="1288" w:name="_Toc297546738"/>
      <w:bookmarkStart w:id="1289" w:name="_Toc297546903"/>
      <w:bookmarkStart w:id="1290" w:name="_Toc297547068"/>
      <w:bookmarkStart w:id="1291" w:name="_Toc297547233"/>
      <w:bookmarkStart w:id="1292" w:name="_Toc297553734"/>
      <w:bookmarkStart w:id="1293" w:name="_Toc297649900"/>
      <w:bookmarkStart w:id="1294" w:name="_Toc297722700"/>
      <w:bookmarkStart w:id="1295" w:name="_Toc297725718"/>
      <w:bookmarkStart w:id="1296" w:name="_Toc298161878"/>
      <w:bookmarkStart w:id="1297" w:name="_Toc299981186"/>
      <w:bookmarkStart w:id="1298" w:name="_Toc299981369"/>
      <w:bookmarkStart w:id="1299" w:name="_Toc299981552"/>
      <w:bookmarkStart w:id="1300" w:name="_Toc299982767"/>
      <w:bookmarkStart w:id="1301" w:name="_Toc299982950"/>
      <w:bookmarkStart w:id="1302" w:name="_Toc299985239"/>
      <w:bookmarkStart w:id="1303" w:name="_Toc299986338"/>
      <w:bookmarkStart w:id="1304" w:name="_Toc299986521"/>
      <w:bookmarkStart w:id="1305" w:name="_Toc300045727"/>
      <w:bookmarkStart w:id="1306" w:name="_Toc300232416"/>
      <w:bookmarkStart w:id="1307" w:name="_Toc300303780"/>
      <w:bookmarkStart w:id="1308" w:name="_Toc300559704"/>
      <w:bookmarkStart w:id="1309" w:name="_Toc300561112"/>
      <w:bookmarkStart w:id="1310" w:name="_Toc300561728"/>
      <w:bookmarkStart w:id="1311" w:name="_Toc300561911"/>
      <w:bookmarkStart w:id="1312" w:name="_Toc300562858"/>
      <w:bookmarkStart w:id="1313" w:name="_Toc311109359"/>
      <w:bookmarkStart w:id="1314" w:name="_Toc311212725"/>
      <w:bookmarkStart w:id="1315" w:name="_Toc311451993"/>
      <w:bookmarkStart w:id="1316" w:name="_Toc312069354"/>
      <w:r>
        <w:lastRenderedPageBreak/>
        <w:t>Integratie en eindsynthese</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rsidR="00AF5F28" w:rsidRDefault="00AF5F28" w:rsidP="00AF3F9E">
      <w:pPr>
        <w:rPr>
          <w:lang w:val="nl"/>
        </w:rPr>
      </w:pPr>
    </w:p>
    <w:p w:rsidR="00AF5F28" w:rsidRDefault="00AF5F28" w:rsidP="00AF3F9E">
      <w:pPr>
        <w:rPr>
          <w:lang w:val="nl"/>
        </w:rPr>
        <w:sectPr w:rsidR="00AF5F28" w:rsidSect="00C54545">
          <w:headerReference w:type="even" r:id="rId97"/>
          <w:headerReference w:type="default" r:id="rId98"/>
          <w:headerReference w:type="first" r:id="rId99"/>
          <w:pgSz w:w="11909" w:h="16834" w:code="9"/>
          <w:pgMar w:top="1240" w:right="1440" w:bottom="1440" w:left="1440" w:header="454" w:footer="709" w:gutter="0"/>
          <w:pgNumType w:start="1" w:chapStyle="1" w:chapSep="period"/>
          <w:cols w:space="708"/>
        </w:sectPr>
      </w:pPr>
    </w:p>
    <w:p w:rsidR="00B93A06" w:rsidRDefault="00B721EB" w:rsidP="004F40A7">
      <w:pPr>
        <w:pStyle w:val="Heading2"/>
      </w:pPr>
      <w:bookmarkStart w:id="1317" w:name="_Toc312069355"/>
      <w:r>
        <w:lastRenderedPageBreak/>
        <w:t>Synthese van de effecten</w:t>
      </w:r>
      <w:bookmarkEnd w:id="1317"/>
    </w:p>
    <w:p w:rsidR="00617415" w:rsidRPr="00965583" w:rsidRDefault="00B721EB" w:rsidP="00965583">
      <w:pPr>
        <w:keepLines w:val="0"/>
        <w:autoSpaceDE w:val="0"/>
        <w:autoSpaceDN w:val="0"/>
        <w:adjustRightInd w:val="0"/>
        <w:spacing w:before="0" w:after="0" w:line="240" w:lineRule="auto"/>
        <w:rPr>
          <w:rFonts w:asciiTheme="minorHAnsi" w:hAnsiTheme="minorHAnsi" w:cstheme="minorHAnsi"/>
        </w:rPr>
      </w:pPr>
      <w:r w:rsidRPr="00965583">
        <w:rPr>
          <w:rFonts w:asciiTheme="minorHAnsi" w:hAnsiTheme="minorHAnsi" w:cstheme="minorHAnsi"/>
        </w:rPr>
        <w:t>In de eindsynthese worden de significante effecten voor de verschillende disciplines, die kunnen optreden als gevolg van de uitvoering van het project, samengevat.</w:t>
      </w:r>
      <w:r w:rsidR="00617415" w:rsidRPr="00965583">
        <w:rPr>
          <w:rFonts w:asciiTheme="minorHAnsi" w:hAnsiTheme="minorHAnsi" w:cstheme="minorHAnsi"/>
        </w:rPr>
        <w:t xml:space="preserve"> De elementen ter beoordeling van effecten op het watersysteem ten behoeve van de watertoets, zijn gebundeld in §</w:t>
      </w:r>
      <w:r w:rsidR="00C325A0">
        <w:fldChar w:fldCharType="begin"/>
      </w:r>
      <w:r w:rsidR="00611319">
        <w:rPr>
          <w:rFonts w:asciiTheme="minorHAnsi" w:hAnsiTheme="minorHAnsi" w:cstheme="minorHAnsi"/>
        </w:rPr>
        <w:instrText xml:space="preserve"> REF _Ref299712873 \r \h </w:instrText>
      </w:r>
      <w:r w:rsidR="00C325A0">
        <w:fldChar w:fldCharType="separate"/>
      </w:r>
      <w:r w:rsidR="008102D8">
        <w:rPr>
          <w:rFonts w:asciiTheme="minorHAnsi" w:hAnsiTheme="minorHAnsi" w:cstheme="minorHAnsi"/>
        </w:rPr>
        <w:t>2</w:t>
      </w:r>
      <w:r w:rsidR="00C325A0">
        <w:fldChar w:fldCharType="end"/>
      </w:r>
      <w:r w:rsidR="00617415" w:rsidRPr="00965583">
        <w:rPr>
          <w:rFonts w:asciiTheme="minorHAnsi" w:hAnsiTheme="minorHAnsi" w:cstheme="minorHAnsi"/>
        </w:rPr>
        <w:t>.</w:t>
      </w:r>
    </w:p>
    <w:p w:rsidR="00617415" w:rsidRDefault="00B721EB">
      <w:pPr>
        <w:pStyle w:val="Heading3"/>
      </w:pPr>
      <w:bookmarkStart w:id="1318" w:name="_Toc312069356"/>
      <w:r>
        <w:t>Oppervlaktewater</w:t>
      </w:r>
      <w:bookmarkEnd w:id="1318"/>
    </w:p>
    <w:p w:rsidR="00965583" w:rsidRPr="00965583" w:rsidRDefault="00965583" w:rsidP="00965583">
      <w:pPr>
        <w:pStyle w:val="Heading4"/>
      </w:pPr>
      <w:bookmarkStart w:id="1319" w:name="_Toc312069357"/>
      <w:r>
        <w:t>Bedrijfsafvalwater</w:t>
      </w:r>
      <w:bookmarkEnd w:id="1319"/>
    </w:p>
    <w:p w:rsidR="00617415" w:rsidRDefault="00617415" w:rsidP="00965583">
      <w:r>
        <w:t xml:space="preserve">Op  basis van </w:t>
      </w:r>
      <w:r w:rsidR="00E53C52">
        <w:t xml:space="preserve">meetgegevens van het geloosde bedrijfsafvalwater werden aan de hand van bestaande lozingsvoorwaarden </w:t>
      </w:r>
      <w:r w:rsidR="007B0CAD">
        <w:t>(</w:t>
      </w:r>
      <w:r w:rsidR="00E53C52">
        <w:t>of bij gebrek daaraan milieukwaliteitsnormen</w:t>
      </w:r>
      <w:r w:rsidR="007B0CAD">
        <w:t>)</w:t>
      </w:r>
      <w:r w:rsidR="00E53C52">
        <w:t xml:space="preserve"> de  parameters geselecteerd waarvoor er zich een overschrijding van de lozingsvoorwaarde</w:t>
      </w:r>
      <w:r w:rsidR="007B0CAD">
        <w:t xml:space="preserve"> (of </w:t>
      </w:r>
      <w:r w:rsidR="00E53C52">
        <w:t>milieukwaliteitsnorm</w:t>
      </w:r>
      <w:r w:rsidR="007B0CAD">
        <w:t>)</w:t>
      </w:r>
      <w:r w:rsidR="00E53C52">
        <w:t xml:space="preserve"> voordeed. Voor deze parameters worden aan te vragen lozingsnormen voorgesteld. </w:t>
      </w:r>
    </w:p>
    <w:p w:rsidR="00617415" w:rsidRDefault="00617415" w:rsidP="00965583">
      <w:r>
        <w:t xml:space="preserve">Voor het bepalen van de mogelijke impact van de afvalwaterlozingen op de fysico-chemische kwaliteit van de havendokken werden voor </w:t>
      </w:r>
      <w:r w:rsidR="00E53C52">
        <w:t>deze stoffen</w:t>
      </w:r>
      <w:r>
        <w:t xml:space="preserve"> de invulling </w:t>
      </w:r>
      <w:r w:rsidR="00E53C52">
        <w:t xml:space="preserve">van de milieukwaliteitsnorm  voor de dokken </w:t>
      </w:r>
      <w:r w:rsidR="007B0CAD">
        <w:t>begroot</w:t>
      </w:r>
      <w:r w:rsidR="00E53C52">
        <w:t xml:space="preserve">. Hierbij wordt </w:t>
      </w:r>
      <w:r w:rsidR="007B0CAD">
        <w:t xml:space="preserve">in de worst-case benadering </w:t>
      </w:r>
      <w:r w:rsidR="00E53C52">
        <w:t xml:space="preserve">aangenomen dat er aan het maximaal vergunde debiet wordt geloosd, met een vuilvracht die voor alle stoffen gelijk is aan de voorgestelde normen. </w:t>
      </w:r>
    </w:p>
    <w:p w:rsidR="007B0CAD" w:rsidRDefault="007B0CAD" w:rsidP="00965583">
      <w:r>
        <w:t>De impact is voor alle parameters als zeer beperkt te beoordelen. Voor geen enkele parameter wordt een bijdrage van meer dan 10% van de geldende milieukwaliteitsnorm begroot. Het is zelfs zo dat de impact van de meeste parameters in de worst-case benadering als verwaarloosbaar te beschouwen is (&lt; 0,5% van de MKN).</w:t>
      </w:r>
    </w:p>
    <w:p w:rsidR="00E53C52" w:rsidRDefault="007B0CAD" w:rsidP="00965583">
      <w:r>
        <w:t xml:space="preserve">De geplande </w:t>
      </w:r>
      <w:r w:rsidR="00965583">
        <w:t xml:space="preserve">uitbreiding </w:t>
      </w:r>
      <w:r w:rsidR="00E53C52">
        <w:t>heeft slechts een zeer beperkte impact o</w:t>
      </w:r>
      <w:r>
        <w:t xml:space="preserve">p de bestaande afvalwaterlozing (toename van het volume met ca. 3% en verwaarloosbare toename van de vuilvracht). Bovenstaande conclusie m.b.t. de bestaande situatie geldt dan ook zonder meer voor de situatie na de realisatie van de uitbreiding. </w:t>
      </w:r>
    </w:p>
    <w:p w:rsidR="00965583" w:rsidRDefault="00965583" w:rsidP="00965583">
      <w:pPr>
        <w:pStyle w:val="Heading4"/>
      </w:pPr>
      <w:bookmarkStart w:id="1320" w:name="_Toc312069358"/>
      <w:r>
        <w:t>Lozen van niet verontreinigd Hemelwater</w:t>
      </w:r>
      <w:bookmarkEnd w:id="1320"/>
    </w:p>
    <w:p w:rsidR="00965583" w:rsidRDefault="00965583" w:rsidP="00965583">
      <w:r>
        <w:t xml:space="preserve">De verharde oppervlakte die </w:t>
      </w:r>
      <w:r w:rsidRPr="008D163E">
        <w:rPr>
          <w:i/>
        </w:rPr>
        <w:t>rechtstreeks</w:t>
      </w:r>
      <w:r>
        <w:t xml:space="preserve"> afwatert naar het Industriedok bedraagt </w:t>
      </w:r>
      <w:r>
        <w:rPr>
          <w:rFonts w:cs="Calibri"/>
        </w:rPr>
        <w:t>±</w:t>
      </w:r>
      <w:r>
        <w:t xml:space="preserve"> 100 are. </w:t>
      </w:r>
    </w:p>
    <w:p w:rsidR="00965583" w:rsidRDefault="00611319" w:rsidP="00965583">
      <w:r>
        <w:t>Zoals eerder aangegeven staat</w:t>
      </w:r>
      <w:r w:rsidR="00965583">
        <w:t xml:space="preserve"> kunnen de dokken als een bekken beschouwd worden dat in verbinding staat met de Schelde, waarbij peilverhogingen in de dokken aanleiding geven tot een afvoer van water naar de Schelde. Door de omvang van de havendokken zal de impact van de lozing van het niet verontreingd hemelwater, verwaarloosbaar zijn.</w:t>
      </w:r>
    </w:p>
    <w:p w:rsidR="00246816" w:rsidRPr="00531192" w:rsidRDefault="00246816" w:rsidP="00246816">
      <w:r>
        <w:rPr>
          <w:lang w:val="nl-NL"/>
        </w:rPr>
        <w:t>De geplande wijzigingen hebben geen impact op het rechtstreeks geloosde hemelwater</w:t>
      </w:r>
    </w:p>
    <w:p w:rsidR="00965583" w:rsidRDefault="00965583" w:rsidP="00965583">
      <w:pPr>
        <w:pStyle w:val="Heading4"/>
      </w:pPr>
      <w:bookmarkStart w:id="1321" w:name="_Toc312069359"/>
      <w:r>
        <w:t>Lozen van huishoudelijk afvalwater</w:t>
      </w:r>
      <w:bookmarkEnd w:id="1321"/>
    </w:p>
    <w:p w:rsidR="00965583" w:rsidRDefault="00965583" w:rsidP="00965583">
      <w:pPr>
        <w:rPr>
          <w:lang w:val="nl-NL"/>
        </w:rPr>
      </w:pPr>
      <w:r>
        <w:rPr>
          <w:lang w:val="nl-NL"/>
        </w:rPr>
        <w:t xml:space="preserve">In de huidige situatie wordt het afvalwater van de sanitaire installaties via een septische put geloosd in het Industriedok. </w:t>
      </w:r>
    </w:p>
    <w:p w:rsidR="00965583" w:rsidRDefault="00965583" w:rsidP="00965583">
      <w:pPr>
        <w:rPr>
          <w:lang w:val="nl-NL"/>
        </w:rPr>
      </w:pPr>
      <w:r>
        <w:t>Daar de geloosde hoeveelheid huishoudelijk afvalwater (</w:t>
      </w:r>
      <w:r>
        <w:rPr>
          <w:rFonts w:cs="Calibri"/>
        </w:rPr>
        <w:t>±</w:t>
      </w:r>
      <w:r>
        <w:t xml:space="preserve"> 3.500 m³/j) verwaarloosbaar is t</w:t>
      </w:r>
      <w:r>
        <w:rPr>
          <w:lang w:val="nl-NL"/>
        </w:rPr>
        <w:t>.a.v. de ingeschatte doorstroom</w:t>
      </w:r>
      <w:r>
        <w:rPr>
          <w:lang w:val="nl-NL"/>
        </w:rPr>
        <w:softHyphen/>
        <w:t>debieten t.h.v. de verschillende dokken, zal deze lozing hoogstens een verwaarloosbare impact hebben op de kwaliteit van de dokken op Rechteroever.</w:t>
      </w:r>
    </w:p>
    <w:p w:rsidR="00965583" w:rsidRPr="00531192" w:rsidRDefault="00965583" w:rsidP="00965583">
      <w:r>
        <w:rPr>
          <w:lang w:val="nl-NL"/>
        </w:rPr>
        <w:t>De geplande wijzi</w:t>
      </w:r>
      <w:r w:rsidR="00246816">
        <w:rPr>
          <w:lang w:val="nl-NL"/>
        </w:rPr>
        <w:t>gingen hebben geen impact op het geloosde huishoudelijke afvalwater.</w:t>
      </w:r>
    </w:p>
    <w:p w:rsidR="00965583" w:rsidRDefault="00965583" w:rsidP="00C10756">
      <w:pPr>
        <w:pStyle w:val="Heading4"/>
      </w:pPr>
      <w:bookmarkStart w:id="1322" w:name="_Toc312069360"/>
      <w:r>
        <w:lastRenderedPageBreak/>
        <w:t>Captatie van oppervlaktewater</w:t>
      </w:r>
      <w:bookmarkEnd w:id="1322"/>
    </w:p>
    <w:p w:rsidR="00965583" w:rsidRPr="00B412B3" w:rsidRDefault="00965583" w:rsidP="00C10756">
      <w:pPr>
        <w:keepNext/>
        <w:rPr>
          <w:lang w:val="nl-NL"/>
        </w:rPr>
      </w:pPr>
      <w:r>
        <w:rPr>
          <w:lang w:val="nl-NL"/>
        </w:rPr>
        <w:t xml:space="preserve">Uit de registreerde opgepompte hoeveelheden oppervlaktewater blijkt dat de afgelopen jaren max. </w:t>
      </w:r>
      <w:r>
        <w:rPr>
          <w:rFonts w:cs="Calibri"/>
          <w:lang w:val="nl-NL"/>
        </w:rPr>
        <w:t>±</w:t>
      </w:r>
      <w:r>
        <w:rPr>
          <w:lang w:val="nl-NL"/>
        </w:rPr>
        <w:t xml:space="preserve"> 19.000 m³ per jaar werd opgepompt.</w:t>
      </w:r>
    </w:p>
    <w:p w:rsidR="00965583" w:rsidRDefault="00965583" w:rsidP="00C10756">
      <w:pPr>
        <w:keepNext/>
        <w:rPr>
          <w:lang w:val="nl-NL"/>
        </w:rPr>
      </w:pPr>
      <w:r>
        <w:rPr>
          <w:lang w:val="nl-NL"/>
        </w:rPr>
        <w:t>Zoals hoger aangegeven blijkt dat het 5</w:t>
      </w:r>
      <w:r w:rsidRPr="00B412B3">
        <w:rPr>
          <w:vertAlign w:val="superscript"/>
          <w:lang w:val="nl-NL"/>
        </w:rPr>
        <w:t>de</w:t>
      </w:r>
      <w:r>
        <w:rPr>
          <w:lang w:val="nl-NL"/>
        </w:rPr>
        <w:t xml:space="preserve"> Havendok (= dok dat rechtstreeks in verbinding staat met het Industriedok) jaarlijks gevoed wordt met ca. 206 x 10</w:t>
      </w:r>
      <w:r w:rsidRPr="00B412B3">
        <w:rPr>
          <w:vertAlign w:val="superscript"/>
          <w:lang w:val="nl-NL"/>
        </w:rPr>
        <w:t>6</w:t>
      </w:r>
      <w:r>
        <w:rPr>
          <w:lang w:val="nl-NL"/>
        </w:rPr>
        <w:t xml:space="preserve"> m³.  De door </w:t>
      </w:r>
      <w:r w:rsidR="00C325A0">
        <w:rPr>
          <w:lang w:val="nl-NL"/>
        </w:rPr>
        <w:fldChar w:fldCharType="begin"/>
      </w:r>
      <w:r>
        <w:rPr>
          <w:lang w:val="nl-NL"/>
        </w:rPr>
        <w:instrText xml:space="preserve"> klant </w:instrText>
      </w:r>
      <w:r w:rsidR="00C325A0">
        <w:rPr>
          <w:lang w:val="nl-NL"/>
        </w:rPr>
        <w:fldChar w:fldCharType="separate"/>
      </w:r>
      <w:r w:rsidR="008102D8">
        <w:t xml:space="preserve">Vopak Terminal Eurotank NV </w:t>
      </w:r>
      <w:r w:rsidR="00C325A0">
        <w:rPr>
          <w:lang w:val="nl-NL"/>
        </w:rPr>
        <w:fldChar w:fldCharType="end"/>
      </w:r>
      <w:r>
        <w:rPr>
          <w:lang w:val="nl-NL"/>
        </w:rPr>
        <w:t xml:space="preserve"> gecapteerde hoeveelheid dokwater is dan ook verwaarloosbaar t.o.v. dit voedingsdebiet.</w:t>
      </w:r>
    </w:p>
    <w:p w:rsidR="00246816" w:rsidRPr="00531192" w:rsidRDefault="00246816" w:rsidP="00C10756">
      <w:pPr>
        <w:keepNext/>
      </w:pPr>
      <w:r>
        <w:rPr>
          <w:lang w:val="nl-NL"/>
        </w:rPr>
        <w:t>De geplande wijzigingen hebben geen impact op de hoeveelheid gecapteerd oppervlaktewater.</w:t>
      </w:r>
    </w:p>
    <w:p w:rsidR="00965583" w:rsidRDefault="00965583" w:rsidP="00965583">
      <w:pPr>
        <w:pStyle w:val="Heading4"/>
      </w:pPr>
      <w:bookmarkStart w:id="1323" w:name="_Toc312069361"/>
      <w:r>
        <w:t>Incidenten / calamiteiten</w:t>
      </w:r>
      <w:bookmarkEnd w:id="1323"/>
    </w:p>
    <w:p w:rsidR="00965583" w:rsidRDefault="00965583" w:rsidP="00965583">
      <w:r w:rsidRPr="00903775">
        <w:t>Uit tabel </w:t>
      </w:r>
      <w:r w:rsidR="00C325A0">
        <w:fldChar w:fldCharType="begin"/>
      </w:r>
      <w:r>
        <w:instrText xml:space="preserve"> REF t_overzicht_gev_stoffen \h </w:instrText>
      </w:r>
      <w:r w:rsidR="00C325A0">
        <w:fldChar w:fldCharType="separate"/>
      </w:r>
      <w:r w:rsidR="008102D8">
        <w:t>IV.</w:t>
      </w:r>
      <w:r w:rsidR="008102D8">
        <w:rPr>
          <w:noProof/>
        </w:rPr>
        <w:t>1</w:t>
      </w:r>
      <w:r w:rsidR="00C325A0">
        <w:fldChar w:fldCharType="end"/>
      </w:r>
      <w:r>
        <w:t xml:space="preserve"> (overzicht van de re</w:t>
      </w:r>
      <w:r>
        <w:softHyphen/>
        <w:t xml:space="preserve">presentatieve producten) volgt dat er voor het aquatisch milieu zeer giftige stoffen in opslag zijn bij VTE. </w:t>
      </w:r>
    </w:p>
    <w:p w:rsidR="00965583" w:rsidRPr="00965583" w:rsidRDefault="00965583" w:rsidP="00965583">
      <w:r>
        <w:t xml:space="preserve">Daar deze stoffen onder het toepassingsgebied van de SEVESO-richtlijn vallen, is de evaluatie van de vrijzetting van deze stoffen bij incidenten of calamiteiten gevat door de milieurisico-evaluatie die wordt uitgevoerd in het kader van de opmaak van een omgevingsveiligheidsrapport. </w:t>
      </w:r>
    </w:p>
    <w:p w:rsidR="00965583" w:rsidRPr="002C7946" w:rsidRDefault="00965583" w:rsidP="00965583">
      <w:pPr>
        <w:rPr>
          <w:lang w:val="nl-NL"/>
        </w:rPr>
      </w:pPr>
      <w:r>
        <w:rPr>
          <w:lang w:val="nl-NL"/>
        </w:rPr>
        <w:t>Hoe dan ook mag gesteld worden dat de bevindingen van het OVR afdoende waarborgen zullen bieden m.b.t. het aspect milieurisico’s.</w:t>
      </w:r>
    </w:p>
    <w:p w:rsidR="00617415" w:rsidRDefault="007C5B27">
      <w:pPr>
        <w:pStyle w:val="Heading3"/>
      </w:pPr>
      <w:bookmarkStart w:id="1324" w:name="_Toc312069362"/>
      <w:r>
        <w:t>L</w:t>
      </w:r>
      <w:r w:rsidR="004A557E">
        <w:t>ucht</w:t>
      </w:r>
      <w:bookmarkEnd w:id="1324"/>
    </w:p>
    <w:p w:rsidR="006949B2" w:rsidRDefault="007900BF" w:rsidP="006949B2">
      <w:pPr>
        <w:pStyle w:val="Heading4"/>
      </w:pPr>
      <w:bookmarkStart w:id="1325" w:name="_Toc312069363"/>
      <w:r>
        <w:t>Producte</w:t>
      </w:r>
      <w:r w:rsidR="006949B2">
        <w:t>missies</w:t>
      </w:r>
      <w:bookmarkEnd w:id="1325"/>
      <w:r w:rsidR="006949B2">
        <w:t xml:space="preserve"> </w:t>
      </w:r>
    </w:p>
    <w:p w:rsidR="006949B2" w:rsidRDefault="006949B2" w:rsidP="006949B2">
      <w:pPr>
        <w:keepLines w:val="0"/>
        <w:autoSpaceDE w:val="0"/>
        <w:autoSpaceDN w:val="0"/>
        <w:adjustRightInd w:val="0"/>
        <w:spacing w:before="0" w:after="0" w:line="240" w:lineRule="auto"/>
        <w:rPr>
          <w:rFonts w:asciiTheme="minorHAnsi" w:hAnsiTheme="minorHAnsi" w:cstheme="minorHAnsi"/>
        </w:rPr>
      </w:pPr>
      <w:r w:rsidRPr="00D7523E">
        <w:rPr>
          <w:rFonts w:asciiTheme="minorHAnsi" w:hAnsiTheme="minorHAnsi" w:cstheme="minorHAnsi"/>
        </w:rPr>
        <w:t>Wat betreft de discipline lucht werd er bijzondere aandacht besteed aan de mogelijke impact van de emissies van vluchtigeorganische stoffen die gepaard gaan met de op- en overslagactiviteiten. De beoordeling van het project voor de discipline lucht is gebaseerd geweest op diverse scenario’s die zowel tot doel hadden om een realistische impact als tevens om een maximalistische impact (rekening houdend met de in de vergunning aangevraagde opslaghoeveelheden</w:t>
      </w:r>
      <w:r w:rsidR="00D7523E" w:rsidRPr="00D7523E">
        <w:rPr>
          <w:rFonts w:asciiTheme="minorHAnsi" w:hAnsiTheme="minorHAnsi" w:cstheme="minorHAnsi"/>
        </w:rPr>
        <w:t xml:space="preserve"> en de geslecteerde referentieproducten</w:t>
      </w:r>
      <w:r w:rsidRPr="00D7523E">
        <w:rPr>
          <w:rFonts w:asciiTheme="minorHAnsi" w:hAnsiTheme="minorHAnsi" w:cstheme="minorHAnsi"/>
        </w:rPr>
        <w:t>) te evalueren.</w:t>
      </w:r>
    </w:p>
    <w:p w:rsidR="008E3C11" w:rsidRDefault="007900BF" w:rsidP="008E3C11">
      <w:pPr>
        <w:rPr>
          <w:lang w:val="nl-NL"/>
        </w:rPr>
      </w:pPr>
      <w:r>
        <w:rPr>
          <w:lang w:val="nl-NL"/>
        </w:rPr>
        <w:t xml:space="preserve">In het realistisch scenario wordt een afname van de emissies/impact verwacht t.o.v. de actuele situatie (zonder DVI). </w:t>
      </w:r>
      <w:r w:rsidR="008E3C11">
        <w:rPr>
          <w:lang w:val="nl-NL"/>
        </w:rPr>
        <w:t>Berekend t.o.v. de referentie situatie met DVI in werking treedt een beperkte toename op.</w:t>
      </w:r>
    </w:p>
    <w:p w:rsidR="006C3F02" w:rsidRDefault="006C3F02" w:rsidP="006949B2">
      <w:pPr>
        <w:keepLines w:val="0"/>
        <w:autoSpaceDE w:val="0"/>
        <w:autoSpaceDN w:val="0"/>
        <w:adjustRightInd w:val="0"/>
        <w:spacing w:before="0" w:after="0" w:line="240" w:lineRule="auto"/>
        <w:rPr>
          <w:rFonts w:asciiTheme="minorHAnsi" w:hAnsiTheme="minorHAnsi" w:cstheme="minorHAnsi"/>
        </w:rPr>
      </w:pPr>
      <w:r>
        <w:rPr>
          <w:rFonts w:asciiTheme="minorHAnsi" w:hAnsiTheme="minorHAnsi" w:cstheme="minorHAnsi"/>
        </w:rPr>
        <w:t xml:space="preserve">De impact van emissies van VOS </w:t>
      </w:r>
      <w:r w:rsidR="005C7548">
        <w:rPr>
          <w:rFonts w:asciiTheme="minorHAnsi" w:hAnsiTheme="minorHAnsi" w:cstheme="minorHAnsi"/>
        </w:rPr>
        <w:t>totaal kan</w:t>
      </w:r>
      <w:r w:rsidR="007900BF">
        <w:rPr>
          <w:rFonts w:asciiTheme="minorHAnsi" w:hAnsiTheme="minorHAnsi" w:cstheme="minorHAnsi"/>
        </w:rPr>
        <w:t xml:space="preserve"> in de actuele situatie</w:t>
      </w:r>
      <w:r w:rsidR="005C7548">
        <w:rPr>
          <w:rFonts w:asciiTheme="minorHAnsi" w:hAnsiTheme="minorHAnsi" w:cstheme="minorHAnsi"/>
        </w:rPr>
        <w:t xml:space="preserve"> als beperkt beoordeeld worden. </w:t>
      </w:r>
      <w:r w:rsidR="007900BF">
        <w:rPr>
          <w:rFonts w:asciiTheme="minorHAnsi" w:hAnsiTheme="minorHAnsi" w:cstheme="minorHAnsi"/>
        </w:rPr>
        <w:t xml:space="preserve">In  het maximalistische scenario voor VOS word de extra bijdrage (ca. 25%) na realisatie van de uitbreiding een verwaarloosbare tot beperkte bijdrage begroot. </w:t>
      </w:r>
    </w:p>
    <w:p w:rsidR="00C447E8" w:rsidRDefault="007900BF" w:rsidP="00F00031">
      <w:pPr>
        <w:rPr>
          <w:lang w:val="nl-NL"/>
        </w:rPr>
      </w:pPr>
      <w:r>
        <w:rPr>
          <w:lang w:val="nl-NL"/>
        </w:rPr>
        <w:t xml:space="preserve">De in kaart gebrachte maximalistische benadering inzake CMR stoffen leidt, rekening houdend met de gehanteerde aannames, </w:t>
      </w:r>
      <w:r w:rsidR="00F00031">
        <w:rPr>
          <w:lang w:val="nl-NL"/>
        </w:rPr>
        <w:t xml:space="preserve">voor chloroform </w:t>
      </w:r>
      <w:r>
        <w:rPr>
          <w:lang w:val="nl-NL"/>
        </w:rPr>
        <w:t xml:space="preserve">tot een belangrijke </w:t>
      </w:r>
      <w:r w:rsidR="00F00031">
        <w:rPr>
          <w:lang w:val="nl-NL"/>
        </w:rPr>
        <w:t xml:space="preserve">bijdrage t.h.v. L.O. –St-Anneke en een relevante bijdrage t.h.v. Ekeren bij vergelijking met de in Nederland gehanteerde streefwaarden (die beschouwd worden als een niveau van duurzame milieukwaliteit op lange termijn). </w:t>
      </w:r>
    </w:p>
    <w:p w:rsidR="00C447E8" w:rsidRDefault="00C447E8" w:rsidP="00C447E8">
      <w:pPr>
        <w:rPr>
          <w:lang w:val="nl-NL"/>
        </w:rPr>
      </w:pPr>
      <w:r>
        <w:rPr>
          <w:lang w:val="nl-NL"/>
        </w:rPr>
        <w:t>Indien de opgeslagen hoeveelheid chloroform waarmee de emissies berekend worden kleiner is dan ca. 9.260 ton</w:t>
      </w:r>
      <w:r>
        <w:rPr>
          <w:rStyle w:val="FootnoteReference"/>
          <w:lang w:val="nl-NL"/>
        </w:rPr>
        <w:footnoteReference w:id="72"/>
      </w:r>
      <w:r>
        <w:rPr>
          <w:lang w:val="nl-NL"/>
        </w:rPr>
        <w:t xml:space="preserve"> is de totale bijdrage van het bedrijf t.h.v. L.O.–St-Anneke niet meer als belangrijk te aanzien (&lt; 5% t.o.v. de Nederlandse streefwaarde).</w:t>
      </w:r>
    </w:p>
    <w:p w:rsidR="00F00031" w:rsidRDefault="00F00031" w:rsidP="00F00031">
      <w:pPr>
        <w:rPr>
          <w:lang w:val="nl-NL"/>
        </w:rPr>
      </w:pPr>
      <w:r>
        <w:rPr>
          <w:lang w:val="nl-NL"/>
        </w:rPr>
        <w:t xml:space="preserve">Wordt bij de beoordeling rekening gehouden met de MTR- waarde, dan kan de bijdrage als verwaarloosbaar beschouwd worden. </w:t>
      </w:r>
    </w:p>
    <w:p w:rsidR="00F00031" w:rsidRDefault="00F00031" w:rsidP="00F00031">
      <w:pPr>
        <w:rPr>
          <w:lang w:val="nl-NL"/>
        </w:rPr>
      </w:pPr>
      <w:r>
        <w:rPr>
          <w:lang w:val="nl-NL"/>
        </w:rPr>
        <w:t>Voor de andere stoffen zijn de bijdragen minder relevant tot verwaarloosbaar bij toetsing aan de streefwaarden, en verwaarloosbaar bij vergelijking met de MTR waarden.</w:t>
      </w:r>
    </w:p>
    <w:p w:rsidR="00704979" w:rsidRDefault="00704979" w:rsidP="00704979">
      <w:pPr>
        <w:pStyle w:val="Heading4"/>
      </w:pPr>
      <w:bookmarkStart w:id="1326" w:name="_Toc311452003"/>
      <w:bookmarkStart w:id="1327" w:name="_Toc312069364"/>
      <w:bookmarkStart w:id="1328" w:name="_Toc312069365"/>
      <w:bookmarkEnd w:id="1326"/>
      <w:bookmarkEnd w:id="1327"/>
      <w:r>
        <w:lastRenderedPageBreak/>
        <w:t>Geuremissies</w:t>
      </w:r>
      <w:bookmarkEnd w:id="1328"/>
      <w:r>
        <w:t xml:space="preserve"> </w:t>
      </w:r>
    </w:p>
    <w:p w:rsidR="008E3C11" w:rsidRDefault="008E3C11" w:rsidP="008E3C11">
      <w:pPr>
        <w:rPr>
          <w:lang w:val="nl-NL"/>
        </w:rPr>
      </w:pPr>
      <w:r>
        <w:rPr>
          <w:lang w:val="nl-NL"/>
        </w:rPr>
        <w:t xml:space="preserve">Het gebruik van nieuwe druktanks met ademventielen van 100 mbar in de plaats van bestaande tanks met ademventielen van 18 mbar leidt tot een beperkte afname van de potentiële geuremissie. De afname is evenwel niet van die mate dat van een aanzienlijke afname van de potentiële impact kan gesproken worden. Uiteraard zijn de aard van de opgeslagen stoffen bepalend voor een eventuele impact </w:t>
      </w:r>
    </w:p>
    <w:p w:rsidR="00704979" w:rsidRDefault="00704979" w:rsidP="00704979">
      <w:pPr>
        <w:rPr>
          <w:lang w:val="nl-NL"/>
        </w:rPr>
      </w:pPr>
    </w:p>
    <w:p w:rsidR="008E3C11" w:rsidRDefault="008E3C11" w:rsidP="008E3C11">
      <w:pPr>
        <w:pStyle w:val="Heading4"/>
      </w:pPr>
      <w:bookmarkStart w:id="1329" w:name="_Toc312069366"/>
      <w:r>
        <w:t>Transport</w:t>
      </w:r>
      <w:bookmarkEnd w:id="1329"/>
    </w:p>
    <w:p w:rsidR="006949B2" w:rsidRPr="006949B2" w:rsidRDefault="008E3C11" w:rsidP="008E3C11">
      <w:pPr>
        <w:pStyle w:val="normaltabel"/>
      </w:pPr>
      <w:r>
        <w:t>Ten aanzien van het vrachtwagentransport kan gesteld worden dat de impact verwaarloosbaar is.</w:t>
      </w:r>
    </w:p>
    <w:p w:rsidR="00617415" w:rsidRDefault="008E3C11">
      <w:pPr>
        <w:pStyle w:val="Heading3"/>
      </w:pPr>
      <w:bookmarkStart w:id="1330" w:name="_Toc298161890"/>
      <w:bookmarkStart w:id="1331" w:name="_Toc312069367"/>
      <w:bookmarkEnd w:id="1330"/>
      <w:r>
        <w:t>Mens</w:t>
      </w:r>
      <w:bookmarkEnd w:id="1331"/>
    </w:p>
    <w:p w:rsidR="008E3C11" w:rsidRDefault="00CA4D74" w:rsidP="00CA4D74">
      <w:pPr>
        <w:pStyle w:val="Heading4"/>
      </w:pPr>
      <w:bookmarkStart w:id="1332" w:name="_Toc312069368"/>
      <w:r>
        <w:t>Gezondheid</w:t>
      </w:r>
      <w:bookmarkEnd w:id="1332"/>
      <w:r>
        <w:t xml:space="preserve"> </w:t>
      </w:r>
    </w:p>
    <w:p w:rsidR="00F00031" w:rsidRDefault="00F00031" w:rsidP="00F00031">
      <w:pPr>
        <w:rPr>
          <w:lang w:val="nl-NL"/>
        </w:rPr>
      </w:pPr>
      <w:r>
        <w:rPr>
          <w:lang w:val="nl-NL"/>
        </w:rPr>
        <w:t xml:space="preserve">De totale bijdrage in de maximalistische CMR-beoordeling van de toekomstige situatie overschrijdt voor geen van de van de geëvalueerde stoffen, noch t.h.v. de Polderdijk als t.h.v. LO (St-Anna) de toetsingswaarde. </w:t>
      </w:r>
    </w:p>
    <w:p w:rsidR="00F00031" w:rsidRDefault="00F00031" w:rsidP="00F00031">
      <w:pPr>
        <w:rPr>
          <w:lang w:val="nl-NL"/>
        </w:rPr>
      </w:pPr>
      <w:r>
        <w:rPr>
          <w:lang w:val="nl-NL"/>
        </w:rPr>
        <w:t xml:space="preserve">De totale bijdrage van het bedrijf (zie ook tabel </w:t>
      </w:r>
      <w:r w:rsidR="00C325A0">
        <w:rPr>
          <w:lang w:val="nl-NL"/>
        </w:rPr>
        <w:fldChar w:fldCharType="begin"/>
      </w:r>
      <w:r>
        <w:rPr>
          <w:lang w:val="nl-NL"/>
        </w:rPr>
        <w:instrText xml:space="preserve"> REF t_lucht_TCMR_max_berekend_woonzone \h </w:instrText>
      </w:r>
      <w:r w:rsidR="00C325A0">
        <w:rPr>
          <w:lang w:val="nl-NL"/>
        </w:rPr>
      </w:r>
      <w:r w:rsidR="00C325A0">
        <w:rPr>
          <w:lang w:val="nl-NL"/>
        </w:rPr>
        <w:fldChar w:fldCharType="separate"/>
      </w:r>
      <w:r w:rsidR="008102D8">
        <w:t>VIII.2.21</w:t>
      </w:r>
      <w:r w:rsidR="00C325A0">
        <w:rPr>
          <w:lang w:val="nl-NL"/>
        </w:rPr>
        <w:fldChar w:fldCharType="end"/>
      </w:r>
      <w:r>
        <w:rPr>
          <w:lang w:val="nl-NL"/>
        </w:rPr>
        <w:t xml:space="preserve">.B) inzake chloroform t.h.v. L.O. –St-Anneke is als belangrijk, en t.h.v. Ekeren als relevant te aanzien bij vergelijking met de in Nederland gehanteerde streefwaarden (die beschouwd worden als een niveau van duurzame milieukwaliteit op lange termijn). </w:t>
      </w:r>
    </w:p>
    <w:p w:rsidR="00F00031" w:rsidRDefault="00F00031" w:rsidP="00F00031">
      <w:pPr>
        <w:rPr>
          <w:lang w:val="nl-NL"/>
        </w:rPr>
      </w:pPr>
      <w:r>
        <w:rPr>
          <w:lang w:val="nl-NL"/>
        </w:rPr>
        <w:t xml:space="preserve">Wordt bij de beoordeling rekening gehouden met de MTR- waarde op zich, dan kan de bijdrage als verwaarloosbaar beschouwd worden. De MTR waarde is cfr de definiëring in Nederland te aanzien als een concentratie waaronder geen negatief effect te verwachten is of waarbij toelaatbare risico’s optreden (voor beoordeling van kankerverwekkende stoffen wordt over een toelaatbaar risico gesproken). </w:t>
      </w:r>
    </w:p>
    <w:p w:rsidR="00F00031" w:rsidRDefault="00F00031" w:rsidP="00F00031">
      <w:pPr>
        <w:rPr>
          <w:lang w:val="nl-NL"/>
        </w:rPr>
      </w:pPr>
      <w:r>
        <w:rPr>
          <w:lang w:val="nl-NL"/>
        </w:rPr>
        <w:t xml:space="preserve">Gezien de definitie is de MTR-waarde de meest relevante toetsingswaarde voor de discipline mens, worden er geen significante negatieve effecten verwacht. </w:t>
      </w:r>
    </w:p>
    <w:p w:rsidR="00CA4D74" w:rsidRDefault="00CA4D74" w:rsidP="00CA4D74">
      <w:pPr>
        <w:rPr>
          <w:lang w:val="nl-NL"/>
        </w:rPr>
      </w:pPr>
      <w:r>
        <w:rPr>
          <w:lang w:val="nl-NL"/>
        </w:rPr>
        <w:t xml:space="preserve">De gemaakte berekening houdt echter nog geen rekening met het gebruik van </w:t>
      </w:r>
      <w:r w:rsidRPr="00EF4F02">
        <w:rPr>
          <w:lang w:val="nl-NL"/>
        </w:rPr>
        <w:t xml:space="preserve">hoge drukvalven van 100 mbar </w:t>
      </w:r>
      <w:r>
        <w:rPr>
          <w:lang w:val="nl-NL"/>
        </w:rPr>
        <w:t xml:space="preserve">die voorzien worden bij de nieuwe tanks maar die actueel </w:t>
      </w:r>
      <w:r w:rsidRPr="00EF4F02">
        <w:rPr>
          <w:lang w:val="nl-NL"/>
        </w:rPr>
        <w:t>nauwelijks in gebruik zijn. Hierdoor wordt een aanzienlijke overschatting van de te verwachten verliezen bij de nieuwe tanks meegenomen bij de impactberekening.</w:t>
      </w:r>
    </w:p>
    <w:p w:rsidR="00CA4D74" w:rsidRPr="00B639D8" w:rsidRDefault="00CA4D74" w:rsidP="00CA4D74">
      <w:pPr>
        <w:pStyle w:val="Heading4"/>
      </w:pPr>
      <w:bookmarkStart w:id="1333" w:name="_Toc312069369"/>
      <w:r w:rsidRPr="00CB3B91">
        <w:t>Geurhinder</w:t>
      </w:r>
      <w:bookmarkEnd w:id="1333"/>
    </w:p>
    <w:p w:rsidR="00CA4D74" w:rsidRPr="00EF4F02" w:rsidRDefault="00CA4D74" w:rsidP="00CA4D74">
      <w:pPr>
        <w:rPr>
          <w:lang w:val="nl-NL"/>
        </w:rPr>
      </w:pPr>
      <w:r w:rsidRPr="00CB3B91">
        <w:rPr>
          <w:lang w:val="nl-NL"/>
        </w:rPr>
        <w:t xml:space="preserve">Op basis van de berekeningen van de potentiële emissies van  </w:t>
      </w:r>
      <w:r w:rsidR="000615B1" w:rsidRPr="00DF21FD">
        <w:rPr>
          <w:lang w:val="nl-NL"/>
        </w:rPr>
        <w:t>ethylacrylaten</w:t>
      </w:r>
      <w:r w:rsidRPr="00CB3B91">
        <w:rPr>
          <w:lang w:val="nl-NL"/>
        </w:rPr>
        <w:t xml:space="preserve"> wordt nauwelijks een verschil aangetoond tussen de berekende emissies in de actuele vergunde situatie (voor zover dit product zou gebruikt worden wat de laatste jaren niet het geval was) en de geplande situatie fase 2. Het gebruik van nieuwe druktanks met ademventielen van 100 mbar in de plaats van bestaande tanks met ademventielen van 18 mbar leidt zelfs tot een afname van de geuremissie. Omwille van de voorziene afname van de potentiële geuremissies wordt het dan ook niet noodzakelijk geacht een indicatieve berekening uit te voeren.</w:t>
      </w:r>
    </w:p>
    <w:p w:rsidR="00CA4D74" w:rsidRDefault="00CA4D74" w:rsidP="00CA4D74">
      <w:pPr>
        <w:pStyle w:val="Heading4"/>
      </w:pPr>
      <w:bookmarkStart w:id="1334" w:name="_Toc312069370"/>
      <w:r>
        <w:t>Externe risico’s</w:t>
      </w:r>
      <w:bookmarkEnd w:id="1334"/>
    </w:p>
    <w:p w:rsidR="00CA4D74" w:rsidRDefault="00CA4D74" w:rsidP="00CA4D74">
      <w:pPr>
        <w:rPr>
          <w:lang w:val="nl-NL"/>
        </w:rPr>
      </w:pPr>
      <w:r>
        <w:rPr>
          <w:lang w:val="nl-NL"/>
        </w:rPr>
        <w:t xml:space="preserve">Naar aanleiding van de geplande uitbreiding wordt er tevens een nieuw omgevingsveiligheidsrapport opgesteld. </w:t>
      </w:r>
    </w:p>
    <w:p w:rsidR="00CA4D74" w:rsidRDefault="00CA4D74" w:rsidP="00CA4D74">
      <w:pPr>
        <w:rPr>
          <w:lang w:val="nl-NL"/>
        </w:rPr>
      </w:pPr>
      <w:r>
        <w:rPr>
          <w:lang w:val="nl-NL"/>
        </w:rPr>
        <w:t>Hoe dan ook mag gesteld worden dat de bevindingen van het OVR afdoende waarborgen zullen bieden m.b.t. het aspect externe risico’s.</w:t>
      </w:r>
    </w:p>
    <w:p w:rsidR="00CA4D74" w:rsidRDefault="00CA4D74" w:rsidP="00CA4D74">
      <w:pPr>
        <w:pStyle w:val="Heading4"/>
      </w:pPr>
      <w:bookmarkStart w:id="1335" w:name="_Toc312069371"/>
      <w:r>
        <w:lastRenderedPageBreak/>
        <w:t>Mobiliteit</w:t>
      </w:r>
      <w:bookmarkEnd w:id="1335"/>
    </w:p>
    <w:p w:rsidR="00CA4D74" w:rsidRDefault="00CA4D74" w:rsidP="00CA4D74">
      <w:pPr>
        <w:keepNext/>
        <w:rPr>
          <w:lang w:val="nl-NL"/>
        </w:rPr>
      </w:pPr>
      <w:r>
        <w:rPr>
          <w:lang w:val="nl-NL"/>
        </w:rPr>
        <w:t>De bewoners in de omgeving ondervinden geen rechtstreekse hinder van het transport van en naar VTE en ook de veiligheid van de zwakke weggebruikers komt niet in het gedrang.</w:t>
      </w:r>
    </w:p>
    <w:p w:rsidR="00CA4D74" w:rsidRDefault="00611319" w:rsidP="00CA4D74">
      <w:pPr>
        <w:keepNext/>
        <w:rPr>
          <w:lang w:val="nl-NL"/>
        </w:rPr>
      </w:pPr>
      <w:r>
        <w:rPr>
          <w:lang w:val="nl-NL"/>
        </w:rPr>
        <w:t>Slechts 4-29</w:t>
      </w:r>
      <w:r w:rsidR="00CA4D74">
        <w:rPr>
          <w:lang w:val="nl-NL"/>
        </w:rPr>
        <w:t>% van de jaarlijks aan- en afgevoerde producten naar VTE gaat via wegtransport. Het overgrote deel wordt via pijpleiding, zeeschepen, lichters en spoorketelwagons aan- en afgevoerd. De hoeveelheid daaraan gekoppelde transportbewegingen is verwaarloosbaar tov de huidige verkeerintensiteit op de ring rond Antwerpen.</w:t>
      </w:r>
    </w:p>
    <w:p w:rsidR="00CA4D74" w:rsidRPr="00B94127" w:rsidRDefault="00CA4D74" w:rsidP="00CA4D74">
      <w:pPr>
        <w:keepNext/>
        <w:rPr>
          <w:lang w:val="nl-NL"/>
        </w:rPr>
      </w:pPr>
      <w:r>
        <w:rPr>
          <w:lang w:val="nl-NL"/>
        </w:rPr>
        <w:t>De inzet van andere transportmiddelen voor de afvoer van producten zoals spoorketelwagons en schepen, wordt volledig gestuurd door de ligging en de beschikbare infrastructuur bij de afnemers, waar VTE weinig of geen impact op heeft.</w:t>
      </w:r>
    </w:p>
    <w:p w:rsidR="002C5D44" w:rsidRDefault="002C5D44"/>
    <w:p w:rsidR="008E3C11" w:rsidRDefault="008E3C11" w:rsidP="008E3C11">
      <w:pPr>
        <w:pStyle w:val="Heading3"/>
      </w:pPr>
      <w:bookmarkStart w:id="1336" w:name="_Toc312069372"/>
      <w:r>
        <w:t>Overige elementen</w:t>
      </w:r>
      <w:bookmarkEnd w:id="1336"/>
    </w:p>
    <w:p w:rsidR="008E3C11" w:rsidRDefault="00C7007C" w:rsidP="00C7007C">
      <w:pPr>
        <w:pStyle w:val="Heading4"/>
      </w:pPr>
      <w:bookmarkStart w:id="1337" w:name="_Toc312069373"/>
      <w:r>
        <w:t>Bodem en grondwater</w:t>
      </w:r>
      <w:bookmarkEnd w:id="1337"/>
    </w:p>
    <w:p w:rsidR="00C7007C" w:rsidRDefault="00C7007C" w:rsidP="00C7007C">
      <w:pPr>
        <w:rPr>
          <w:lang w:val="nl-NL"/>
        </w:rPr>
      </w:pPr>
      <w:r>
        <w:rPr>
          <w:lang w:val="nl-NL"/>
        </w:rPr>
        <w:t>Gezien de gering</w:t>
      </w:r>
      <w:r w:rsidR="00611319">
        <w:rPr>
          <w:lang w:val="nl-NL"/>
        </w:rPr>
        <w:t>e</w:t>
      </w:r>
      <w:r>
        <w:rPr>
          <w:lang w:val="nl-NL"/>
        </w:rPr>
        <w:t xml:space="preserve"> diepte van de constructies wordt er geen grondwaterbemalingen voorzien</w:t>
      </w:r>
      <w:r w:rsidR="00273B70">
        <w:rPr>
          <w:lang w:val="nl-NL"/>
        </w:rPr>
        <w:t xml:space="preserve"> tijdens de aanlegfase van de nieuwe tanks</w:t>
      </w:r>
      <w:r>
        <w:rPr>
          <w:lang w:val="nl-NL"/>
        </w:rPr>
        <w:t>. Het eventueel tijdelijk oppompen en zuiveren van verontreinigd grondwater is dan ook niet aan de orde.</w:t>
      </w:r>
    </w:p>
    <w:p w:rsidR="00C7007C" w:rsidRPr="00C7007C" w:rsidRDefault="00C7007C" w:rsidP="00C7007C">
      <w:pPr>
        <w:rPr>
          <w:lang w:val="nl-NL"/>
        </w:rPr>
      </w:pPr>
      <w:r>
        <w:t>Alle nieuwe tankenparken worden vloeistofdicht uitgevoerd. Ook nieuw te voorziene overslagfaciliteiten worden voorzien van vloeistofdichte opvanginrichtingen en/of verhardingen.</w:t>
      </w:r>
    </w:p>
    <w:p w:rsidR="00C7007C" w:rsidRDefault="00C7007C" w:rsidP="00C7007C">
      <w:pPr>
        <w:rPr>
          <w:lang w:val="nl-NL"/>
        </w:rPr>
      </w:pPr>
      <w:r>
        <w:t xml:space="preserve">In de toekomst zal de </w:t>
      </w:r>
      <w:r w:rsidRPr="00EA6FA3">
        <w:rPr>
          <w:lang w:val="nl-NL"/>
        </w:rPr>
        <w:t xml:space="preserve">kans op </w:t>
      </w:r>
      <w:r>
        <w:rPr>
          <w:lang w:val="nl-NL"/>
        </w:rPr>
        <w:t xml:space="preserve">het ontstaan van </w:t>
      </w:r>
      <w:r w:rsidRPr="00EA6FA3">
        <w:rPr>
          <w:lang w:val="nl-NL"/>
        </w:rPr>
        <w:t xml:space="preserve">nieuwe bodem- of grondwaterverontreiniging tijdens de exploitatie van de terminal </w:t>
      </w:r>
      <w:r>
        <w:rPr>
          <w:lang w:val="nl-NL"/>
        </w:rPr>
        <w:t>niet wijzigen t.o.v. de huidige situatie.</w:t>
      </w:r>
    </w:p>
    <w:p w:rsidR="00C7007C" w:rsidRDefault="00C7007C" w:rsidP="00C7007C">
      <w:pPr>
        <w:pStyle w:val="Heading4"/>
      </w:pPr>
      <w:bookmarkStart w:id="1338" w:name="_Toc298161898"/>
      <w:bookmarkStart w:id="1339" w:name="_Toc312069374"/>
      <w:bookmarkEnd w:id="1338"/>
      <w:r>
        <w:t>Geluid</w:t>
      </w:r>
      <w:bookmarkEnd w:id="1339"/>
    </w:p>
    <w:p w:rsidR="00C7007C" w:rsidRDefault="00C7007C" w:rsidP="00C7007C">
      <w:r>
        <w:t>Zelfs zonder rekening te houden met enige afscherming van de geluidsbronnen blijkt het specifiek geluidsniveau voor zowel de activiteiten met als zonder boot op geen enkel beoordelingspunt de grenswaarde te overschrijden.</w:t>
      </w:r>
    </w:p>
    <w:p w:rsidR="00C7007C" w:rsidRDefault="00C7007C" w:rsidP="00C7007C">
      <w:pPr>
        <w:rPr>
          <w:lang w:val="nl-NL"/>
        </w:rPr>
      </w:pPr>
      <w:r>
        <w:t>De specifieke bijdrage van VTE is ook te verwaarlozen ten opzichte van het huidige omgevingsgeluid (&gt; 55 dB(A)).</w:t>
      </w:r>
    </w:p>
    <w:p w:rsidR="00B721EB" w:rsidRDefault="00C7007C" w:rsidP="00C7007C">
      <w:pPr>
        <w:pStyle w:val="Heading4"/>
      </w:pPr>
      <w:bookmarkStart w:id="1340" w:name="_Toc312069375"/>
      <w:r>
        <w:t>Fauna  en Flora</w:t>
      </w:r>
      <w:bookmarkEnd w:id="1340"/>
    </w:p>
    <w:p w:rsidR="00C7007C" w:rsidRPr="00C7007C" w:rsidRDefault="00C7007C" w:rsidP="00C7007C">
      <w:r w:rsidRPr="00C7007C">
        <w:t>De activiteiten van VTE kunnen aanleiding geven tot de emissies van organische zuren. Zoals gesteld binnen de discipline lucht zijn de emissies aan organische zuren echter dermate laag dat zonder meer kan gesteld worden dat deze geen aanleiding  geven tot een relevante zuurdepositie t.h.v. het meest nabije natuurgebied.</w:t>
      </w:r>
    </w:p>
    <w:p w:rsidR="00C7007C" w:rsidRDefault="00C7007C" w:rsidP="00C7007C">
      <w:r>
        <w:t>Uit de discipline geluid is naar voor gekomen dat het geluidsniveau in hoger vermelde natuurgebieden bepaald wordt door het verkeer op de Scheldelaan en de activiteiten van andere bedrijven.</w:t>
      </w:r>
    </w:p>
    <w:p w:rsidR="00C7007C" w:rsidRPr="00C7007C" w:rsidRDefault="00C7007C" w:rsidP="00C7007C"/>
    <w:p w:rsidR="00142B89" w:rsidRDefault="00142B89" w:rsidP="00B721EB">
      <w:pPr>
        <w:rPr>
          <w:spacing w:val="20"/>
          <w:sz w:val="24"/>
          <w:lang w:val="nl-NL"/>
        </w:rPr>
      </w:pPr>
    </w:p>
    <w:p w:rsidR="00C10756" w:rsidRDefault="00C10756">
      <w:pPr>
        <w:keepLines w:val="0"/>
        <w:spacing w:before="0" w:after="0" w:line="240" w:lineRule="auto"/>
        <w:jc w:val="left"/>
        <w:rPr>
          <w:b/>
          <w:smallCaps/>
          <w:spacing w:val="20"/>
          <w:sz w:val="24"/>
          <w:lang w:val="nl-NL"/>
        </w:rPr>
      </w:pPr>
      <w:bookmarkStart w:id="1341" w:name="_Ref298146353"/>
      <w:r>
        <w:br w:type="page"/>
      </w:r>
    </w:p>
    <w:p w:rsidR="005D2B74" w:rsidRDefault="00E44A29" w:rsidP="004F40A7">
      <w:pPr>
        <w:pStyle w:val="Heading2"/>
      </w:pPr>
      <w:bookmarkStart w:id="1342" w:name="_Ref299712873"/>
      <w:bookmarkStart w:id="1343" w:name="_Toc312069376"/>
      <w:r>
        <w:lastRenderedPageBreak/>
        <w:t>Elementen ten behoeve van de watertoets</w:t>
      </w:r>
      <w:bookmarkEnd w:id="1341"/>
      <w:bookmarkEnd w:id="1342"/>
      <w:bookmarkEnd w:id="1343"/>
    </w:p>
    <w:p w:rsidR="00E44A29" w:rsidRDefault="00E44A29" w:rsidP="00AF3F9E">
      <w:pPr>
        <w:rPr>
          <w:lang w:val="nl-NL"/>
        </w:rPr>
      </w:pPr>
      <w:r>
        <w:rPr>
          <w:lang w:val="nl-NL"/>
        </w:rPr>
        <w:t>In onderstaande tabel wordt de vraagstelling zoals opgenomen in het watertoetsinstrument (</w:t>
      </w:r>
      <w:hyperlink r:id="rId100" w:history="1">
        <w:r w:rsidRPr="00733A1B">
          <w:rPr>
            <w:rStyle w:val="Hyperlink"/>
            <w:lang w:val="nl-NL"/>
          </w:rPr>
          <w:t>www.watertoets.be</w:t>
        </w:r>
      </w:hyperlink>
      <w:r>
        <w:rPr>
          <w:lang w:val="nl-NL"/>
        </w:rPr>
        <w:t>) weergegeven.</w:t>
      </w:r>
    </w:p>
    <w:p w:rsidR="00E44A29" w:rsidRDefault="00E44A29" w:rsidP="00AF3F9E">
      <w:pPr>
        <w:rPr>
          <w:lang w:val="nl-NL"/>
        </w:rPr>
      </w:pPr>
      <w:r>
        <w:rPr>
          <w:lang w:val="nl-NL"/>
        </w:rPr>
        <w:t>Voor de vragen die met ja beantwoord worden, wordt verwezen naar de verschillende onderdelen van dit MER welke de nodige gegevens bevatten om de watertoets te vervolledigen en/of een uitspraak te doen over het betrokken aspect.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536"/>
      </w:tblGrid>
      <w:tr w:rsidR="00E44A29" w:rsidRPr="00F42D89" w:rsidTr="003F48A4">
        <w:tc>
          <w:tcPr>
            <w:tcW w:w="5211" w:type="dxa"/>
          </w:tcPr>
          <w:p w:rsidR="00E44A29" w:rsidRPr="00A65D7E" w:rsidRDefault="00E44A29" w:rsidP="00AF3F9E">
            <w:pPr>
              <w:pStyle w:val="normaltabel"/>
            </w:pPr>
            <w:r w:rsidRPr="00A65D7E">
              <w:t>Vraagstelling www.watertoets.be (zie technisch luik)</w:t>
            </w:r>
          </w:p>
        </w:tc>
        <w:tc>
          <w:tcPr>
            <w:tcW w:w="4536" w:type="dxa"/>
          </w:tcPr>
          <w:p w:rsidR="00E44A29" w:rsidRPr="00A65D7E" w:rsidRDefault="00E44A29" w:rsidP="00AF3F9E">
            <w:pPr>
              <w:pStyle w:val="normaltabel"/>
            </w:pPr>
            <w:r w:rsidRPr="00A65D7E">
              <w:t>Antwoord</w:t>
            </w:r>
          </w:p>
        </w:tc>
      </w:tr>
      <w:tr w:rsidR="00E44A29" w:rsidTr="003F48A4">
        <w:tc>
          <w:tcPr>
            <w:tcW w:w="5211" w:type="dxa"/>
          </w:tcPr>
          <w:p w:rsidR="00E44A29" w:rsidRDefault="00E44A29" w:rsidP="00AF3F9E">
            <w:pPr>
              <w:pStyle w:val="normaltabel"/>
            </w:pPr>
            <w:r w:rsidRPr="00BB24D7">
              <w:t>Wordt in het project</w:t>
            </w:r>
            <w:r>
              <w:t xml:space="preserve"> </w:t>
            </w:r>
            <w:r w:rsidRPr="00BB24D7">
              <w:t>een stuk grond verkaveld?</w:t>
            </w:r>
          </w:p>
        </w:tc>
        <w:tc>
          <w:tcPr>
            <w:tcW w:w="4536" w:type="dxa"/>
          </w:tcPr>
          <w:p w:rsidR="00E44A29" w:rsidRDefault="00E44A29" w:rsidP="00AF3F9E">
            <w:pPr>
              <w:pStyle w:val="normaltabel"/>
            </w:pPr>
            <w:r>
              <w:t>Nee</w:t>
            </w:r>
          </w:p>
        </w:tc>
      </w:tr>
      <w:tr w:rsidR="00E44A29" w:rsidTr="003F48A4">
        <w:tc>
          <w:tcPr>
            <w:tcW w:w="5211" w:type="dxa"/>
          </w:tcPr>
          <w:p w:rsidR="00E44A29" w:rsidRPr="00BB24D7" w:rsidRDefault="00E44A29" w:rsidP="00AF3F9E">
            <w:pPr>
              <w:pStyle w:val="normaltabel"/>
            </w:pPr>
            <w:r w:rsidRPr="00BB24D7">
              <w:t>Worden in het project gebouwen</w:t>
            </w:r>
            <w:r>
              <w:t xml:space="preserve"> </w:t>
            </w:r>
            <w:r w:rsidRPr="00BB24D7">
              <w:t>voorzien?</w:t>
            </w:r>
          </w:p>
        </w:tc>
        <w:tc>
          <w:tcPr>
            <w:tcW w:w="4536" w:type="dxa"/>
          </w:tcPr>
          <w:p w:rsidR="00E44A29" w:rsidRPr="00A65D7E" w:rsidRDefault="00E44A29" w:rsidP="00AF3F9E">
            <w:pPr>
              <w:pStyle w:val="normaltabel"/>
              <w:rPr>
                <w:lang w:val="nl-BE"/>
              </w:rPr>
            </w:pPr>
            <w:r>
              <w:t>Nee</w:t>
            </w:r>
          </w:p>
        </w:tc>
      </w:tr>
      <w:tr w:rsidR="00E44A29" w:rsidTr="003F48A4">
        <w:tc>
          <w:tcPr>
            <w:tcW w:w="5211" w:type="dxa"/>
          </w:tcPr>
          <w:p w:rsidR="00E44A29" w:rsidRPr="00BB24D7" w:rsidRDefault="00E44A29" w:rsidP="00AF3F9E">
            <w:pPr>
              <w:pStyle w:val="normaltabel"/>
            </w:pPr>
            <w:r w:rsidRPr="00BB24D7">
              <w:t>Worden in het project ondergrondse constructies</w:t>
            </w:r>
            <w:r>
              <w:t xml:space="preserve"> </w:t>
            </w:r>
            <w:r w:rsidRPr="00BB24D7">
              <w:t>voorzien?</w:t>
            </w:r>
          </w:p>
        </w:tc>
        <w:tc>
          <w:tcPr>
            <w:tcW w:w="4536" w:type="dxa"/>
          </w:tcPr>
          <w:p w:rsidR="00E44A29" w:rsidRDefault="00E44A29" w:rsidP="00AF3F9E">
            <w:pPr>
              <w:pStyle w:val="normaltabel"/>
            </w:pPr>
            <w:r>
              <w:t>Nee</w:t>
            </w:r>
          </w:p>
        </w:tc>
      </w:tr>
      <w:tr w:rsidR="00E44A29" w:rsidTr="003F48A4">
        <w:tc>
          <w:tcPr>
            <w:tcW w:w="5211" w:type="dxa"/>
          </w:tcPr>
          <w:p w:rsidR="00E44A29" w:rsidRPr="00BB24D7" w:rsidRDefault="00E44A29" w:rsidP="00AF3F9E">
            <w:pPr>
              <w:pStyle w:val="normaltabel"/>
            </w:pPr>
            <w:r w:rsidRPr="00BB24D7">
              <w:t>Worden in het project verhardingen</w:t>
            </w:r>
            <w:r>
              <w:t xml:space="preserve"> </w:t>
            </w:r>
            <w:r w:rsidRPr="00BB24D7">
              <w:t>voorzien?</w:t>
            </w:r>
          </w:p>
        </w:tc>
        <w:tc>
          <w:tcPr>
            <w:tcW w:w="4536" w:type="dxa"/>
          </w:tcPr>
          <w:p w:rsidR="00E44A29" w:rsidRDefault="00611319" w:rsidP="00AF3F9E">
            <w:pPr>
              <w:pStyle w:val="normaltabel"/>
            </w:pPr>
            <w:r>
              <w:t>Ja, vloeistofdichte tankparken en laad-/losplaatsen</w:t>
            </w:r>
          </w:p>
        </w:tc>
      </w:tr>
      <w:tr w:rsidR="00E44A29" w:rsidTr="003F48A4">
        <w:tc>
          <w:tcPr>
            <w:tcW w:w="5211" w:type="dxa"/>
            <w:shd w:val="clear" w:color="auto" w:fill="DBE5F1" w:themeFill="accent1" w:themeFillTint="33"/>
          </w:tcPr>
          <w:p w:rsidR="00E44A29" w:rsidRPr="00443572" w:rsidRDefault="00E44A29" w:rsidP="00AF3F9E">
            <w:pPr>
              <w:pStyle w:val="normaltabel"/>
            </w:pPr>
            <w:r w:rsidRPr="00443572">
              <w:t>Is de lozing op het rioleringsstelsel, oppervlaktewater of grondwater een ingedeelde ingreep ?</w:t>
            </w:r>
          </w:p>
        </w:tc>
        <w:tc>
          <w:tcPr>
            <w:tcW w:w="4536" w:type="dxa"/>
            <w:shd w:val="clear" w:color="auto" w:fill="DBE5F1" w:themeFill="accent1" w:themeFillTint="33"/>
          </w:tcPr>
          <w:p w:rsidR="00E44A29" w:rsidRPr="00443572" w:rsidRDefault="00E44A29" w:rsidP="00AF3F9E">
            <w:pPr>
              <w:pStyle w:val="normaltabel"/>
            </w:pPr>
            <w:r w:rsidRPr="00443572">
              <w:t xml:space="preserve">Ja </w:t>
            </w:r>
          </w:p>
          <w:p w:rsidR="005D2B74" w:rsidRDefault="00E44A29" w:rsidP="00863900">
            <w:pPr>
              <w:pStyle w:val="normaltabel"/>
            </w:pPr>
            <w:r>
              <w:t xml:space="preserve">Beschrijving geloosde waterstromen </w:t>
            </w:r>
            <w:r>
              <w:br/>
            </w:r>
            <w:r w:rsidRPr="00A65D7E">
              <w:sym w:font="Symbol" w:char="F0DE"/>
            </w:r>
            <w:r>
              <w:t xml:space="preserve"> deel IV §5.1.2</w:t>
            </w:r>
            <w:r>
              <w:br/>
              <w:t xml:space="preserve">Evaluatie impact lozingen op kwaliteit </w:t>
            </w:r>
            <w:r w:rsidR="00863900" w:rsidRPr="00863900">
              <w:t>dokken</w:t>
            </w:r>
            <w:r w:rsidR="00A34A14" w:rsidRPr="00863900">
              <w:t>/</w:t>
            </w:r>
            <w:r w:rsidR="00273B70" w:rsidRPr="00863900" w:rsidDel="00273B70">
              <w:t xml:space="preserve"> </w:t>
            </w:r>
            <w:r>
              <w:br/>
            </w:r>
            <w:r w:rsidRPr="00A65D7E">
              <w:sym w:font="Symbol" w:char="F0DE"/>
            </w:r>
            <w:r>
              <w:t xml:space="preserve"> deel VII §1.1 (evaluatie effecten verbonden aan lozing sanitair afvalwater + niet-verontreinigd hemelwater)</w:t>
            </w:r>
            <w:r w:rsidRPr="00A65D7E">
              <w:sym w:font="Symbol" w:char="F0DE"/>
            </w:r>
            <w:r>
              <w:t xml:space="preserve"> deel VIII §1.4 (evaluatie effecten verbonden aan lozing run-off water)</w:t>
            </w:r>
            <w:r>
              <w:br/>
            </w:r>
            <w:r w:rsidRPr="00A65D7E">
              <w:sym w:font="Symbol" w:char="F0DE"/>
            </w:r>
            <w:r>
              <w:t xml:space="preserve"> deel VIII §1.5 (milderende maatregelen)</w:t>
            </w:r>
          </w:p>
        </w:tc>
      </w:tr>
      <w:tr w:rsidR="00E44A29" w:rsidTr="003F48A4">
        <w:tc>
          <w:tcPr>
            <w:tcW w:w="5211" w:type="dxa"/>
          </w:tcPr>
          <w:p w:rsidR="00E44A29" w:rsidRPr="00BB24D7" w:rsidRDefault="00E44A29" w:rsidP="00AF3F9E">
            <w:pPr>
              <w:pStyle w:val="normaltabel"/>
            </w:pPr>
            <w:r w:rsidRPr="00BB24D7">
              <w:t>Wordt in het project een buffer-</w:t>
            </w:r>
            <w:r>
              <w:t xml:space="preserve"> </w:t>
            </w:r>
            <w:r w:rsidRPr="00BB24D7">
              <w:t>of infiltratievoorziening</w:t>
            </w:r>
            <w:r>
              <w:t xml:space="preserve"> </w:t>
            </w:r>
            <w:r w:rsidRPr="00BB24D7">
              <w:t>voor de opvang van oppervlakte- en hemelwater voorzien?</w:t>
            </w:r>
          </w:p>
        </w:tc>
        <w:tc>
          <w:tcPr>
            <w:tcW w:w="4536" w:type="dxa"/>
          </w:tcPr>
          <w:p w:rsidR="00E44A29" w:rsidRDefault="00E44A29" w:rsidP="00AF3F9E">
            <w:pPr>
              <w:pStyle w:val="normaltabel"/>
            </w:pPr>
            <w:r>
              <w:t>Nee</w:t>
            </w:r>
          </w:p>
        </w:tc>
      </w:tr>
      <w:tr w:rsidR="00E44A29" w:rsidTr="003F48A4">
        <w:tc>
          <w:tcPr>
            <w:tcW w:w="5211" w:type="dxa"/>
          </w:tcPr>
          <w:p w:rsidR="00E44A29" w:rsidRPr="00BB24D7" w:rsidRDefault="00E44A29" w:rsidP="00AF3F9E">
            <w:pPr>
              <w:pStyle w:val="normaltabel"/>
            </w:pPr>
            <w:r w:rsidRPr="00BB24D7">
              <w:t>Wordt in het project bodemvreemd materiaal</w:t>
            </w:r>
            <w:r>
              <w:t xml:space="preserve"> </w:t>
            </w:r>
            <w:r w:rsidRPr="00BB24D7">
              <w:t>opgeslagen of gestort?</w:t>
            </w:r>
          </w:p>
        </w:tc>
        <w:tc>
          <w:tcPr>
            <w:tcW w:w="4536" w:type="dxa"/>
          </w:tcPr>
          <w:p w:rsidR="00E44A29" w:rsidRDefault="00E44A29" w:rsidP="00AF3F9E">
            <w:pPr>
              <w:pStyle w:val="normaltabel"/>
            </w:pPr>
            <w:r>
              <w:t>Nee</w:t>
            </w:r>
          </w:p>
        </w:tc>
      </w:tr>
      <w:tr w:rsidR="00E44A29" w:rsidTr="003F48A4">
        <w:tc>
          <w:tcPr>
            <w:tcW w:w="5211" w:type="dxa"/>
          </w:tcPr>
          <w:p w:rsidR="00E44A29" w:rsidRPr="00BB24D7" w:rsidRDefault="00E44A29" w:rsidP="00AF3F9E">
            <w:pPr>
              <w:pStyle w:val="normaltabel"/>
            </w:pPr>
            <w:r w:rsidRPr="00BB24D7">
              <w:t>Wordt in het project een vegetatiewijziging</w:t>
            </w:r>
            <w:r>
              <w:t xml:space="preserve"> </w:t>
            </w:r>
            <w:r w:rsidRPr="00BB24D7">
              <w:t>doorgevoerd?</w:t>
            </w:r>
          </w:p>
        </w:tc>
        <w:tc>
          <w:tcPr>
            <w:tcW w:w="4536" w:type="dxa"/>
          </w:tcPr>
          <w:p w:rsidR="00E44A29" w:rsidRDefault="00E44A29" w:rsidP="00AF3F9E">
            <w:pPr>
              <w:pStyle w:val="normaltabel"/>
            </w:pPr>
            <w:r>
              <w:t>Nee</w:t>
            </w:r>
          </w:p>
        </w:tc>
      </w:tr>
      <w:tr w:rsidR="00E44A29" w:rsidTr="003F48A4">
        <w:tc>
          <w:tcPr>
            <w:tcW w:w="5211" w:type="dxa"/>
          </w:tcPr>
          <w:p w:rsidR="00E44A29" w:rsidRPr="00BB24D7" w:rsidRDefault="00E44A29" w:rsidP="00AF3F9E">
            <w:pPr>
              <w:pStyle w:val="normaltabel"/>
            </w:pPr>
            <w:r w:rsidRPr="00BB24D7">
              <w:t>Wordt in het project het reliëf van het terrein gewijzigd (ophoging, uitdieping, uitgraving of aanvulling)?</w:t>
            </w:r>
          </w:p>
        </w:tc>
        <w:tc>
          <w:tcPr>
            <w:tcW w:w="4536" w:type="dxa"/>
          </w:tcPr>
          <w:p w:rsidR="00E44A29" w:rsidRDefault="00E44A29" w:rsidP="00AF3F9E">
            <w:pPr>
              <w:pStyle w:val="normaltabel"/>
            </w:pPr>
            <w:r>
              <w:t>Nee</w:t>
            </w:r>
          </w:p>
        </w:tc>
      </w:tr>
      <w:tr w:rsidR="00E44A29" w:rsidTr="003F48A4">
        <w:tc>
          <w:tcPr>
            <w:tcW w:w="5211" w:type="dxa"/>
            <w:shd w:val="clear" w:color="auto" w:fill="auto"/>
          </w:tcPr>
          <w:p w:rsidR="00E44A29" w:rsidRPr="00566D0D" w:rsidRDefault="00E44A29" w:rsidP="00AF3F9E">
            <w:pPr>
              <w:pStyle w:val="normaltabel"/>
            </w:pPr>
            <w:r w:rsidRPr="00566D0D">
              <w:t>Is de grondwaterwinning een ingedeelde ingreep?</w:t>
            </w:r>
          </w:p>
        </w:tc>
        <w:tc>
          <w:tcPr>
            <w:tcW w:w="4536" w:type="dxa"/>
            <w:shd w:val="clear" w:color="auto" w:fill="auto"/>
          </w:tcPr>
          <w:p w:rsidR="00E44A29" w:rsidRDefault="00E44A29" w:rsidP="00AF3F9E">
            <w:pPr>
              <w:pStyle w:val="normaltabel"/>
            </w:pPr>
            <w:r>
              <w:t>Nee</w:t>
            </w:r>
          </w:p>
          <w:p w:rsidR="00E44A29" w:rsidRDefault="00E44A29" w:rsidP="00AF3F9E">
            <w:pPr>
              <w:pStyle w:val="normaltabel"/>
            </w:pPr>
          </w:p>
        </w:tc>
      </w:tr>
      <w:tr w:rsidR="00E44A29" w:rsidTr="003F48A4">
        <w:tc>
          <w:tcPr>
            <w:tcW w:w="5211" w:type="dxa"/>
          </w:tcPr>
          <w:p w:rsidR="00E44A29" w:rsidRPr="00BB24D7" w:rsidRDefault="00E44A29" w:rsidP="00AF3F9E">
            <w:pPr>
              <w:pStyle w:val="normaltabel"/>
            </w:pPr>
            <w:r w:rsidRPr="00BB24D7">
              <w:t>Wordt door de uitvoering van het project een nieuw knelpunt voor vismigratie</w:t>
            </w:r>
            <w:r>
              <w:t xml:space="preserve"> </w:t>
            </w:r>
            <w:r w:rsidRPr="00BB24D7">
              <w:t>gecreëerd of wordt er een bestaan knelpunt in stand gehouden?</w:t>
            </w:r>
          </w:p>
        </w:tc>
        <w:tc>
          <w:tcPr>
            <w:tcW w:w="4536" w:type="dxa"/>
          </w:tcPr>
          <w:p w:rsidR="00E44A29" w:rsidRDefault="00E44A29" w:rsidP="00AF3F9E">
            <w:pPr>
              <w:pStyle w:val="normaltabel"/>
            </w:pPr>
            <w:r>
              <w:t>Nee</w:t>
            </w:r>
          </w:p>
        </w:tc>
      </w:tr>
      <w:tr w:rsidR="00E44A29" w:rsidTr="003F48A4">
        <w:tc>
          <w:tcPr>
            <w:tcW w:w="5211" w:type="dxa"/>
          </w:tcPr>
          <w:p w:rsidR="00E44A29" w:rsidRPr="00BB24D7" w:rsidRDefault="00E44A29" w:rsidP="00AF3F9E">
            <w:pPr>
              <w:pStyle w:val="normaltabel"/>
            </w:pPr>
            <w:r w:rsidRPr="00BB24D7">
              <w:t>Worden door de uitvoering van het project de mogelijkheid voor migratie van fauna op de oever, of de mogelijkheid voor de fauna om uit het water te geraken beperkt?</w:t>
            </w:r>
          </w:p>
        </w:tc>
        <w:tc>
          <w:tcPr>
            <w:tcW w:w="4536" w:type="dxa"/>
          </w:tcPr>
          <w:p w:rsidR="00E44A29" w:rsidRDefault="00E44A29" w:rsidP="00AF3F9E">
            <w:pPr>
              <w:pStyle w:val="normaltabel"/>
            </w:pPr>
            <w:r>
              <w:t>Nee</w:t>
            </w:r>
          </w:p>
        </w:tc>
      </w:tr>
      <w:tr w:rsidR="00E44A29" w:rsidTr="003F48A4">
        <w:tc>
          <w:tcPr>
            <w:tcW w:w="5211" w:type="dxa"/>
          </w:tcPr>
          <w:p w:rsidR="00E44A29" w:rsidRPr="00BB24D7" w:rsidRDefault="00E44A29" w:rsidP="00AF3F9E">
            <w:pPr>
              <w:pStyle w:val="normaltabel"/>
            </w:pPr>
            <w:r w:rsidRPr="00BB24D7">
              <w:t>Wordt door de uitvoering van het project de structuurkwaliteit</w:t>
            </w:r>
            <w:r>
              <w:t xml:space="preserve"> </w:t>
            </w:r>
            <w:r w:rsidRPr="00BB24D7">
              <w:t>van de waterloop</w:t>
            </w:r>
            <w:r>
              <w:t xml:space="preserve"> </w:t>
            </w:r>
            <w:r w:rsidRPr="00BB24D7">
              <w:t>aangetast</w:t>
            </w:r>
            <w:r>
              <w:t>?</w:t>
            </w:r>
          </w:p>
        </w:tc>
        <w:tc>
          <w:tcPr>
            <w:tcW w:w="4536" w:type="dxa"/>
          </w:tcPr>
          <w:p w:rsidR="00E44A29" w:rsidRDefault="00E44A29" w:rsidP="00AF3F9E">
            <w:pPr>
              <w:pStyle w:val="normaltabel"/>
            </w:pPr>
            <w:r>
              <w:t>Nee</w:t>
            </w:r>
          </w:p>
        </w:tc>
      </w:tr>
    </w:tbl>
    <w:p w:rsidR="00134B26" w:rsidRDefault="00134B26" w:rsidP="00AF3F9E">
      <w:pPr>
        <w:rPr>
          <w:lang w:val="nl-NL"/>
        </w:rPr>
      </w:pPr>
    </w:p>
    <w:p w:rsidR="00E44A29" w:rsidRDefault="00E44A29" w:rsidP="00AF3F9E"/>
    <w:p w:rsidR="00E44A29" w:rsidRDefault="00E44A29" w:rsidP="00AF3F9E">
      <w:pPr>
        <w:sectPr w:rsidR="00E44A29" w:rsidSect="00C54545">
          <w:headerReference w:type="even" r:id="rId101"/>
          <w:headerReference w:type="default" r:id="rId102"/>
          <w:headerReference w:type="first" r:id="rId103"/>
          <w:pgSz w:w="11909" w:h="16834" w:code="9"/>
          <w:pgMar w:top="1240" w:right="1440" w:bottom="1440" w:left="1440" w:header="454" w:footer="709" w:gutter="0"/>
          <w:pgNumType w:start="1" w:chapStyle="1" w:chapSep="period"/>
          <w:cols w:space="708"/>
          <w:docGrid w:linePitch="360"/>
        </w:sectPr>
      </w:pPr>
    </w:p>
    <w:p w:rsidR="00A92DDB" w:rsidRDefault="00D50DEA" w:rsidP="004F40A7">
      <w:pPr>
        <w:pStyle w:val="Heading1"/>
      </w:pPr>
      <w:bookmarkStart w:id="1344" w:name="_Toc271806627"/>
      <w:bookmarkStart w:id="1345" w:name="_Toc272754461"/>
      <w:bookmarkStart w:id="1346" w:name="_Toc272754619"/>
      <w:bookmarkStart w:id="1347" w:name="_Toc272754777"/>
      <w:bookmarkStart w:id="1348" w:name="_Toc278442399"/>
      <w:bookmarkStart w:id="1349" w:name="_Toc279411732"/>
      <w:bookmarkStart w:id="1350" w:name="_Toc279480235"/>
      <w:bookmarkStart w:id="1351" w:name="hfdst13"/>
      <w:bookmarkStart w:id="1352" w:name="_Toc282505755"/>
      <w:bookmarkStart w:id="1353" w:name="_Toc295920253"/>
      <w:bookmarkStart w:id="1354" w:name="_Toc295923484"/>
      <w:bookmarkStart w:id="1355" w:name="_Toc295923796"/>
      <w:bookmarkStart w:id="1356" w:name="_Toc295995394"/>
      <w:bookmarkStart w:id="1357" w:name="_Toc296004976"/>
      <w:bookmarkStart w:id="1358" w:name="_Toc296085927"/>
      <w:bookmarkStart w:id="1359" w:name="_Toc296330836"/>
      <w:bookmarkStart w:id="1360" w:name="_Toc296419552"/>
      <w:bookmarkStart w:id="1361" w:name="_Toc297286298"/>
      <w:bookmarkStart w:id="1362" w:name="_Toc297542605"/>
      <w:bookmarkStart w:id="1363" w:name="_Toc297546744"/>
      <w:bookmarkStart w:id="1364" w:name="_Toc297546909"/>
      <w:bookmarkStart w:id="1365" w:name="_Toc297547074"/>
      <w:bookmarkStart w:id="1366" w:name="_Toc297547239"/>
      <w:bookmarkStart w:id="1367" w:name="_Toc297553740"/>
      <w:bookmarkStart w:id="1368" w:name="_Toc297649906"/>
      <w:bookmarkStart w:id="1369" w:name="_Toc297722706"/>
      <w:bookmarkStart w:id="1370" w:name="_Toc297725724"/>
      <w:bookmarkStart w:id="1371" w:name="_Toc298161902"/>
      <w:bookmarkStart w:id="1372" w:name="_Toc299981208"/>
      <w:bookmarkStart w:id="1373" w:name="_Toc299981391"/>
      <w:bookmarkStart w:id="1374" w:name="_Toc299981574"/>
      <w:bookmarkStart w:id="1375" w:name="_Toc299982789"/>
      <w:bookmarkStart w:id="1376" w:name="_Toc299982972"/>
      <w:bookmarkStart w:id="1377" w:name="_Toc299985261"/>
      <w:bookmarkStart w:id="1378" w:name="_Toc299986360"/>
      <w:bookmarkStart w:id="1379" w:name="_Toc299986543"/>
      <w:bookmarkStart w:id="1380" w:name="_Toc300045749"/>
      <w:bookmarkStart w:id="1381" w:name="_Toc300232438"/>
      <w:bookmarkStart w:id="1382" w:name="_Toc300303802"/>
      <w:bookmarkStart w:id="1383" w:name="_Toc300559726"/>
      <w:bookmarkStart w:id="1384" w:name="_Toc300561134"/>
      <w:bookmarkStart w:id="1385" w:name="_Toc300561750"/>
      <w:bookmarkStart w:id="1386" w:name="_Toc300561933"/>
      <w:bookmarkStart w:id="1387" w:name="_Toc300562880"/>
      <w:bookmarkStart w:id="1388" w:name="_Toc311109381"/>
      <w:bookmarkStart w:id="1389" w:name="_Toc311212747"/>
      <w:bookmarkStart w:id="1390" w:name="_Toc311452016"/>
      <w:bookmarkStart w:id="1391" w:name="_Toc312069377"/>
      <w:r>
        <w:lastRenderedPageBreak/>
        <w:t>Niet technische samenvatting</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rsidR="00EE53B6" w:rsidRDefault="00EE53B6" w:rsidP="00AF3F9E">
      <w:pPr>
        <w:rPr>
          <w:lang w:val="nl-NL"/>
        </w:rPr>
      </w:pPr>
    </w:p>
    <w:p w:rsidR="00753B93" w:rsidRDefault="00753B93" w:rsidP="00AF3F9E">
      <w:pPr>
        <w:rPr>
          <w:lang w:val="nl"/>
        </w:rPr>
      </w:pPr>
      <w:r>
        <w:rPr>
          <w:lang w:val="nl"/>
        </w:rPr>
        <w:br w:type="page"/>
      </w:r>
    </w:p>
    <w:p w:rsidR="00B43D54" w:rsidRDefault="00B43D54" w:rsidP="00AF3F9E">
      <w:pPr>
        <w:rPr>
          <w:lang w:val="nl"/>
        </w:rPr>
        <w:sectPr w:rsidR="00B43D54" w:rsidSect="00C54545">
          <w:headerReference w:type="default" r:id="rId104"/>
          <w:pgSz w:w="11909" w:h="16834" w:code="9"/>
          <w:pgMar w:top="1240" w:right="1440" w:bottom="1440" w:left="1440" w:header="454" w:footer="709" w:gutter="0"/>
          <w:pgNumType w:start="1" w:chapStyle="1" w:chapSep="period"/>
          <w:cols w:space="708"/>
          <w:docGrid w:linePitch="360"/>
        </w:sectPr>
      </w:pPr>
    </w:p>
    <w:p w:rsidR="00B43D54" w:rsidRDefault="00B43D54" w:rsidP="00AF3F9E">
      <w:pPr>
        <w:rPr>
          <w:lang w:val="nl"/>
        </w:rPr>
        <w:sectPr w:rsidR="00B43D54" w:rsidSect="00C54545">
          <w:headerReference w:type="default" r:id="rId105"/>
          <w:pgSz w:w="11909" w:h="16834" w:code="9"/>
          <w:pgMar w:top="1240" w:right="1440" w:bottom="1440" w:left="1440" w:header="454" w:footer="709" w:gutter="0"/>
          <w:pgNumType w:start="1" w:chapStyle="1" w:chapSep="period"/>
          <w:cols w:space="708"/>
          <w:docGrid w:linePitch="360"/>
        </w:sectPr>
      </w:pPr>
      <w:r>
        <w:rPr>
          <w:lang w:val="nl"/>
        </w:rPr>
        <w:lastRenderedPageBreak/>
        <w:t>BIJLAGEN</w:t>
      </w:r>
    </w:p>
    <w:p w:rsidR="00B43D54" w:rsidRDefault="00B43D54" w:rsidP="00AF3F9E">
      <w:pPr>
        <w:rPr>
          <w:lang w:val="nl"/>
        </w:rPr>
        <w:sectPr w:rsidR="00B43D54" w:rsidSect="00C54545">
          <w:headerReference w:type="default" r:id="rId106"/>
          <w:pgSz w:w="11909" w:h="16834" w:code="9"/>
          <w:pgMar w:top="1240" w:right="1440" w:bottom="1440" w:left="1440" w:header="454" w:footer="709" w:gutter="0"/>
          <w:pgNumType w:start="1" w:chapStyle="1" w:chapSep="period"/>
          <w:cols w:space="708"/>
          <w:docGrid w:linePitch="360"/>
        </w:sectPr>
      </w:pPr>
      <w:r>
        <w:rPr>
          <w:lang w:val="nl"/>
        </w:rPr>
        <w:lastRenderedPageBreak/>
        <w:t>FIGUREN</w:t>
      </w:r>
    </w:p>
    <w:p w:rsidR="00B43D54" w:rsidRDefault="00B43D54" w:rsidP="00AF3F9E">
      <w:pPr>
        <w:rPr>
          <w:lang w:val="nl"/>
        </w:rPr>
        <w:sectPr w:rsidR="00B43D54" w:rsidSect="00C54545">
          <w:headerReference w:type="default" r:id="rId107"/>
          <w:pgSz w:w="11909" w:h="16834" w:code="9"/>
          <w:pgMar w:top="1240" w:right="1440" w:bottom="1440" w:left="1440" w:header="454" w:footer="709" w:gutter="0"/>
          <w:pgNumType w:start="1" w:chapStyle="1" w:chapSep="period"/>
          <w:cols w:space="708"/>
          <w:docGrid w:linePitch="360"/>
        </w:sectPr>
      </w:pPr>
      <w:r>
        <w:rPr>
          <w:lang w:val="nl"/>
        </w:rPr>
        <w:lastRenderedPageBreak/>
        <w:t>TABELLEN</w:t>
      </w:r>
    </w:p>
    <w:p w:rsidR="00AF5F28" w:rsidRPr="00CE7B49" w:rsidRDefault="00CE7B49" w:rsidP="00AF3F9E">
      <w:pPr>
        <w:rPr>
          <w:lang w:val="nl"/>
        </w:rPr>
      </w:pPr>
      <w:r>
        <w:rPr>
          <w:lang w:val="nl"/>
        </w:rPr>
        <w:lastRenderedPageBreak/>
        <w:t>Referenties</w:t>
      </w:r>
    </w:p>
    <w:sectPr w:rsidR="00AF5F28" w:rsidRPr="00CE7B49" w:rsidSect="00C54545">
      <w:headerReference w:type="default" r:id="rId108"/>
      <w:pgSz w:w="11909" w:h="16834" w:code="9"/>
      <w:pgMar w:top="1240" w:right="1440" w:bottom="1440" w:left="1440" w:header="454" w:footer="709" w:gutter="0"/>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E75" w:rsidRDefault="00525E75" w:rsidP="00AF3F9E">
      <w:r>
        <w:separator/>
      </w:r>
    </w:p>
  </w:endnote>
  <w:endnote w:type="continuationSeparator" w:id="0">
    <w:p w:rsidR="00525E75" w:rsidRDefault="00525E75" w:rsidP="00AF3F9E">
      <w:r>
        <w:continuationSeparator/>
      </w:r>
    </w:p>
  </w:endnote>
  <w:endnote w:id="1">
    <w:p w:rsidR="00525E75" w:rsidRPr="00876E33" w:rsidRDefault="00525E75" w:rsidP="00AF3F9E">
      <w:pPr>
        <w:pStyle w:val="EndnoteText"/>
      </w:pPr>
      <w:r>
        <w:rPr>
          <w:rStyle w:val="EndnoteReference"/>
        </w:rPr>
        <w:endnoteRef/>
      </w:r>
      <w:r>
        <w:t xml:space="preserve"> </w:t>
      </w:r>
      <w:r>
        <w:tab/>
        <w:t>Samenvatting waterhuishouding Rechter Oever, Gemeentelijk Havenbedrij Antwerpen,2008</w:t>
      </w:r>
    </w:p>
  </w:endnote>
  <w:endnote w:id="2">
    <w:p w:rsidR="00525E75" w:rsidRPr="00965878" w:rsidRDefault="00525E75" w:rsidP="00AF3F9E">
      <w:pPr>
        <w:pStyle w:val="EndnoteText"/>
        <w:rPr>
          <w:lang w:val="en-US"/>
        </w:rPr>
      </w:pPr>
      <w:r>
        <w:rPr>
          <w:rStyle w:val="EndnoteReference"/>
        </w:rPr>
        <w:endnoteRef/>
      </w:r>
      <w:r w:rsidRPr="00965878">
        <w:rPr>
          <w:lang w:val="en-US"/>
        </w:rPr>
        <w:t xml:space="preserve"> </w:t>
      </w:r>
      <w:r w:rsidRPr="00965878">
        <w:rPr>
          <w:lang w:val="en-US"/>
        </w:rPr>
        <w:tab/>
        <w:t>Wastewaterwater Engineering (3th edition), Metcalf &amp; Eddy, 1991</w:t>
      </w:r>
    </w:p>
  </w:endnote>
  <w:endnote w:id="3">
    <w:p w:rsidR="00525E75" w:rsidRPr="00085CAC" w:rsidRDefault="00525E75" w:rsidP="005B5D40">
      <w:pPr>
        <w:pStyle w:val="EndnoteText"/>
      </w:pPr>
      <w:r>
        <w:rPr>
          <w:rStyle w:val="EndnoteReference"/>
        </w:rPr>
        <w:endnoteRef/>
      </w:r>
      <w:r>
        <w:t xml:space="preserve"> </w:t>
      </w:r>
      <w:r>
        <w:tab/>
      </w:r>
      <w:r w:rsidRPr="00085CAC">
        <w:t>Diffuse emissies en emissies bij op- en overslag (handboek emissiefactoren), Rijksinstituut voor Volksgezondheid en Milieu (RIVM), maart 2004</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LT Condensed">
    <w:altName w:val="Arial Narrow"/>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genda">
    <w:altName w:val="Agenda"/>
    <w:panose1 w:val="00000000000000000000"/>
    <w:charset w:val="00"/>
    <w:family w:val="swiss"/>
    <w:notTrueType/>
    <w:pitch w:val="default"/>
    <w:sig w:usb0="00000003" w:usb1="00000000" w:usb2="00000000" w:usb3="00000000" w:csb0="00000001" w:csb1="00000000"/>
  </w:font>
  <w:font w:name="MyriaMM_400 wt 400 wd">
    <w:panose1 w:val="00000000000000000000"/>
    <w:charset w:val="00"/>
    <w:family w:val="swiss"/>
    <w:notTrueType/>
    <w:pitch w:val="variable"/>
    <w:sig w:usb0="00000003" w:usb1="00000000" w:usb2="00000000" w:usb3="00000000" w:csb0="00000001" w:csb1="00000000"/>
  </w:font>
  <w:font w:name="Swis721 Blk BT">
    <w:altName w:val="Arial Black"/>
    <w:charset w:val="00"/>
    <w:family w:val="swiss"/>
    <w:pitch w:val="variable"/>
    <w:sig w:usb0="00000001" w:usb1="00000000" w:usb2="00000000" w:usb3="00000000" w:csb0="0000001B"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Pr="00AB0B2E" w:rsidRDefault="00525E75" w:rsidP="0029137A">
    <w:pPr>
      <w:pStyle w:val="Footer"/>
      <w:jc w:val="center"/>
    </w:pPr>
    <w:r>
      <w:t xml:space="preserve">MER Vopak VTE </w:t>
    </w:r>
    <w:r w:rsidR="00DB118E">
      <w:t xml:space="preserve">Project - </w:t>
    </w:r>
    <w:r>
      <w:t>milieueffectrapportage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E75" w:rsidRDefault="00525E75" w:rsidP="00AF3F9E">
      <w:r>
        <w:separator/>
      </w:r>
    </w:p>
  </w:footnote>
  <w:footnote w:type="continuationSeparator" w:id="0">
    <w:p w:rsidR="00525E75" w:rsidRDefault="00525E75" w:rsidP="00AF3F9E">
      <w:r>
        <w:continuationSeparator/>
      </w:r>
    </w:p>
  </w:footnote>
  <w:footnote w:id="1">
    <w:p w:rsidR="00525E75" w:rsidRDefault="00525E75">
      <w:pPr>
        <w:pStyle w:val="FootnoteText"/>
      </w:pPr>
      <w:r>
        <w:rPr>
          <w:rStyle w:val="FootnoteReference"/>
        </w:rPr>
        <w:footnoteRef/>
      </w:r>
      <w:r>
        <w:t xml:space="preserve"> </w:t>
      </w:r>
      <w:r>
        <w:tab/>
        <w:t>De  tankparken betreffen; TP10/50/100/200, TP300/400, TP500, TP550, TP600, TP650/660, TP700/750, TP800 en TP810</w:t>
      </w:r>
    </w:p>
  </w:footnote>
  <w:footnote w:id="2">
    <w:p w:rsidR="00525E75" w:rsidRPr="00D55CFF" w:rsidRDefault="00525E75" w:rsidP="00AF3F9E">
      <w:pPr>
        <w:pStyle w:val="FootnoteText"/>
      </w:pPr>
      <w:r w:rsidRPr="00D55CFF">
        <w:rPr>
          <w:rStyle w:val="FootnoteReference"/>
        </w:rPr>
        <w:footnoteRef/>
      </w:r>
      <w:r w:rsidRPr="00D55CFF">
        <w:t xml:space="preserve"> </w:t>
      </w:r>
      <w:r w:rsidRPr="00D55CFF">
        <w:tab/>
        <w:t xml:space="preserve">Dit is de datum waarop </w:t>
      </w:r>
      <w:r w:rsidR="00C325A0">
        <w:fldChar w:fldCharType="begin"/>
      </w:r>
      <w:r>
        <w:instrText xml:space="preserve"> REF klant \h </w:instrText>
      </w:r>
      <w:r w:rsidR="00C325A0">
        <w:fldChar w:fldCharType="separate"/>
      </w:r>
      <w:r>
        <w:t xml:space="preserve">Vopak Terminal Eurotank NV </w:t>
      </w:r>
      <w:r w:rsidR="00C325A0">
        <w:fldChar w:fldCharType="end"/>
      </w:r>
      <w:r w:rsidRPr="00D55CFF">
        <w:t>, louter door naamsverandering, de exploitant is geworden van de terminal die reeds veel langer in exploitatie is door de Vopak groep.</w:t>
      </w:r>
    </w:p>
  </w:footnote>
  <w:footnote w:id="3">
    <w:p w:rsidR="00525E75" w:rsidRDefault="00525E75">
      <w:pPr>
        <w:pStyle w:val="FootnoteText"/>
      </w:pPr>
      <w:r>
        <w:rPr>
          <w:rStyle w:val="FootnoteReference"/>
        </w:rPr>
        <w:footnoteRef/>
      </w:r>
      <w:r>
        <w:t xml:space="preserve"> </w:t>
      </w:r>
      <w:r>
        <w:tab/>
        <w:t>De eerste exploitatievergunning werd verleend in 1969. In de tekst worden enkel de VLAREM-vergunning verder besproken.</w:t>
      </w:r>
    </w:p>
  </w:footnote>
  <w:footnote w:id="4">
    <w:p w:rsidR="00525E75" w:rsidRPr="00D55CFF" w:rsidRDefault="00525E75" w:rsidP="00AF3F9E">
      <w:pPr>
        <w:pStyle w:val="FootnoteText"/>
      </w:pPr>
      <w:r w:rsidRPr="00D55CFF">
        <w:rPr>
          <w:rStyle w:val="FootnoteReference"/>
        </w:rPr>
        <w:footnoteRef/>
      </w:r>
      <w:r w:rsidRPr="00D55CFF">
        <w:t xml:space="preserve"> </w:t>
      </w:r>
      <w:r w:rsidRPr="00D55CFF">
        <w:tab/>
        <w:t xml:space="preserve">De maximale opslaghoeveelheden gevaarlijke stoffen aanwezig in de inrichting overschrijden de drempel voor de VR-plicht zoals opgenomen in bijlage 6 van VLAREM I. </w:t>
      </w:r>
    </w:p>
  </w:footnote>
  <w:footnote w:id="5">
    <w:p w:rsidR="00525E75" w:rsidRPr="00707D07" w:rsidRDefault="00525E75" w:rsidP="00AF3F9E">
      <w:pPr>
        <w:pStyle w:val="FootnoteText"/>
      </w:pPr>
      <w:r w:rsidRPr="00D55CFF">
        <w:rPr>
          <w:rStyle w:val="FootnoteReference"/>
        </w:rPr>
        <w:footnoteRef/>
      </w:r>
      <w:r w:rsidRPr="00D55CFF">
        <w:t xml:space="preserve"> </w:t>
      </w:r>
      <w:r w:rsidRPr="00D55CFF">
        <w:tab/>
        <w:t>Het meest recente SWA-VR dateert van begin 2006. Bij opmaak van voorliggend document was ook het OVR voor betreffend project in in opmaak.</w:t>
      </w:r>
    </w:p>
  </w:footnote>
  <w:footnote w:id="6">
    <w:p w:rsidR="00525E75" w:rsidRDefault="00525E75" w:rsidP="00EF6C76">
      <w:pPr>
        <w:pStyle w:val="FootnoteText"/>
      </w:pPr>
      <w:r>
        <w:rPr>
          <w:rStyle w:val="FootnoteReference"/>
        </w:rPr>
        <w:footnoteRef/>
      </w:r>
      <w:r>
        <w:t xml:space="preserve"> Dit besluit behandelt de uitspraak over de afwijkingsaanvragen ingediend voor Paktank Chemical België NV, de vorige exploitant van de terminal.</w:t>
      </w:r>
    </w:p>
    <w:p w:rsidR="00525E75" w:rsidRDefault="00525E75" w:rsidP="00EF6C76">
      <w:pPr>
        <w:pStyle w:val="FootnoteText"/>
      </w:pPr>
      <w:r>
        <w:t xml:space="preserve"> </w:t>
      </w:r>
    </w:p>
  </w:footnote>
  <w:footnote w:id="7">
    <w:p w:rsidR="00525E75" w:rsidRDefault="00525E75" w:rsidP="000729E8">
      <w:pPr>
        <w:pStyle w:val="FootnoteText"/>
      </w:pPr>
      <w:r>
        <w:rPr>
          <w:rStyle w:val="FootnoteReference"/>
        </w:rPr>
        <w:footnoteRef/>
      </w:r>
      <w:r>
        <w:t xml:space="preserve"> Deze tanks zijn momenteel vergund voor de opslag van chemicaliën.</w:t>
      </w:r>
    </w:p>
  </w:footnote>
  <w:footnote w:id="8">
    <w:p w:rsidR="00525E75" w:rsidRDefault="00525E75" w:rsidP="000729E8">
      <w:pPr>
        <w:pStyle w:val="FootnoteText"/>
      </w:pPr>
      <w:r>
        <w:rPr>
          <w:rStyle w:val="FootnoteReference"/>
        </w:rPr>
        <w:footnoteRef/>
      </w:r>
      <w:r>
        <w:t xml:space="preserve"> Drie van deze tanks betreffen liggende tanks voor de buffering van afvalwater.</w:t>
      </w:r>
    </w:p>
  </w:footnote>
  <w:footnote w:id="9">
    <w:p w:rsidR="00525E75" w:rsidRDefault="00525E75" w:rsidP="00863B7A">
      <w:pPr>
        <w:pStyle w:val="FootnoteText"/>
        <w:tabs>
          <w:tab w:val="clear" w:pos="198"/>
          <w:tab w:val="left" w:pos="142"/>
        </w:tabs>
        <w:ind w:left="142" w:hanging="142"/>
      </w:pPr>
      <w:r>
        <w:rPr>
          <w:rStyle w:val="FootnoteReference"/>
        </w:rPr>
        <w:footnoteRef/>
      </w:r>
      <w:r>
        <w:t xml:space="preserve"> Aangezien zowel producten met een dichtheid lager dan 1kg/l (vb. solventen) als producten met een dichtheid hoger dan 1kg/l (vb. anorganische chemicaliën) wordt er voor de schatting van de totale capaciteit vanuit gegaan dat de dichtheid ca. gelijk is aan 1 kg/l.</w:t>
      </w:r>
    </w:p>
  </w:footnote>
  <w:footnote w:id="10">
    <w:p w:rsidR="00525E75" w:rsidRDefault="00525E75" w:rsidP="00863B7A">
      <w:pPr>
        <w:pStyle w:val="FootnoteText"/>
        <w:tabs>
          <w:tab w:val="clear" w:pos="198"/>
          <w:tab w:val="left" w:pos="142"/>
        </w:tabs>
        <w:ind w:left="142" w:hanging="142"/>
      </w:pPr>
      <w:r>
        <w:rPr>
          <w:rStyle w:val="FootnoteReference"/>
        </w:rPr>
        <w:footnoteRef/>
      </w:r>
      <w:r>
        <w:t xml:space="preserve"> De opslag van TP800 wordt niet rechsttreeks meegenomen in de impactberekeningen van deel </w:t>
      </w:r>
      <w:r w:rsidR="00C325A0">
        <w:fldChar w:fldCharType="begin"/>
      </w:r>
      <w:r>
        <w:instrText xml:space="preserve"> REF _Ref311457633 \w \h </w:instrText>
      </w:r>
      <w:r w:rsidR="00C325A0">
        <w:fldChar w:fldCharType="separate"/>
      </w:r>
      <w:r>
        <w:t>VIII2.6</w:t>
      </w:r>
      <w:r w:rsidR="00C325A0">
        <w:fldChar w:fldCharType="end"/>
      </w:r>
      <w:r>
        <w:t xml:space="preserve">, zoals uitgelegd in bijlage </w:t>
      </w:r>
      <w:r w:rsidR="00C325A0">
        <w:fldChar w:fldCharType="begin"/>
      </w:r>
      <w:r>
        <w:instrText xml:space="preserve"> REF b_opslagscenario \h </w:instrText>
      </w:r>
      <w:r w:rsidR="00C325A0">
        <w:fldChar w:fldCharType="separate"/>
      </w:r>
      <w:r>
        <w:t>4</w:t>
      </w:r>
      <w:r w:rsidR="00C325A0">
        <w:fldChar w:fldCharType="end"/>
      </w:r>
      <w:r>
        <w:t xml:space="preserve"> (zie opmerking p. 8). Indien TP800 bvb. zou opgevuld worden met Crude (= 100.000 t P1-product) zou door het respecteren van de vergunde hoeveelheden en de werkelijke opslagcapaciteiten ca. 10.000 t P1-referentieproducten en ca. 90.000 t referentieproducten minder in rekening moeten worden gebracht. De berekende emissies van deze referentieproducten overstijgen de potentiële emissies van 100.000 t Crude in TP800.</w:t>
      </w:r>
    </w:p>
  </w:footnote>
  <w:footnote w:id="11">
    <w:p w:rsidR="00525E75" w:rsidRDefault="00525E75" w:rsidP="00AF3F9E">
      <w:pPr>
        <w:pStyle w:val="FootnoteText"/>
      </w:pPr>
      <w:r>
        <w:rPr>
          <w:rStyle w:val="FootnoteReference"/>
        </w:rPr>
        <w:footnoteRef/>
      </w:r>
      <w:r>
        <w:t xml:space="preserve"> </w:t>
      </w:r>
      <w:r>
        <w:tab/>
        <w:t>Besluit van de Vlaamse Regering houdende vaststelling van de categorieën van projecten onderworpen aan milieueffectrapportage (B.S. 17/02/2005).</w:t>
      </w:r>
    </w:p>
  </w:footnote>
  <w:footnote w:id="12">
    <w:p w:rsidR="00525E75" w:rsidRDefault="00525E75" w:rsidP="00AF3F9E">
      <w:pPr>
        <w:pStyle w:val="FootnoteText"/>
      </w:pPr>
      <w:r>
        <w:rPr>
          <w:rStyle w:val="FootnoteReference"/>
        </w:rPr>
        <w:footnoteRef/>
      </w:r>
      <w:r>
        <w:t xml:space="preserve"> </w:t>
      </w:r>
      <w:r>
        <w:tab/>
      </w:r>
      <w:r w:rsidRPr="00EB4089">
        <w:t>binnen een straal van ruim een 750-tal meter</w:t>
      </w:r>
    </w:p>
  </w:footnote>
  <w:footnote w:id="13">
    <w:p w:rsidR="00525E75" w:rsidRDefault="00525E75">
      <w:pPr>
        <w:pStyle w:val="FootnoteText"/>
      </w:pPr>
      <w:r>
        <w:rPr>
          <w:rStyle w:val="FootnoteReference"/>
        </w:rPr>
        <w:footnoteRef/>
      </w:r>
      <w:r>
        <w:t xml:space="preserve"> Achteraan het document toegevoegd</w:t>
      </w:r>
    </w:p>
  </w:footnote>
  <w:footnote w:id="14">
    <w:p w:rsidR="00525E75" w:rsidRDefault="00525E75" w:rsidP="00AF3F9E">
      <w:pPr>
        <w:pStyle w:val="FootnoteText"/>
      </w:pPr>
      <w:r>
        <w:rPr>
          <w:rStyle w:val="FootnoteReference"/>
        </w:rPr>
        <w:footnoteRef/>
      </w:r>
      <w:r>
        <w:t xml:space="preserve"> </w:t>
      </w:r>
      <w:r>
        <w:tab/>
        <w:t>Naast de opslagtanks voor de opslag van chemicaliën, zijn er ook nog 3 liggende tanks aanwezig voor de buffering van afvalwater (totale inhoud 399 m³), vergund voor opslag van producten voor derden.</w:t>
      </w:r>
    </w:p>
  </w:footnote>
  <w:footnote w:id="15">
    <w:p w:rsidR="00525E75" w:rsidRDefault="00525E75">
      <w:pPr>
        <w:pStyle w:val="FootnoteText"/>
      </w:pPr>
      <w:r>
        <w:rPr>
          <w:rStyle w:val="FootnoteReference"/>
        </w:rPr>
        <w:footnoteRef/>
      </w:r>
      <w:r>
        <w:t xml:space="preserve"> Aangezien zowel producten met een dichtheid lager dan 1kg/l (vb. solventen) als producten met een dichtheid hoger dan 1kg/l (vb. anorganische chemicaliën) wordt er voor de schatting van de totale capaciteit vanuit gegaan dat de dichtheid ca. gelijk is aan 1 kg/l.</w:t>
      </w:r>
    </w:p>
  </w:footnote>
  <w:footnote w:id="16">
    <w:p w:rsidR="00525E75" w:rsidRDefault="00525E75" w:rsidP="00AF3F9E">
      <w:pPr>
        <w:pStyle w:val="FootnoteText"/>
      </w:pPr>
      <w:r>
        <w:rPr>
          <w:rStyle w:val="FootnoteReference"/>
        </w:rPr>
        <w:footnoteRef/>
      </w:r>
      <w:r>
        <w:t xml:space="preserve"> </w:t>
      </w:r>
      <w:r>
        <w:tab/>
      </w:r>
      <w:r w:rsidRPr="001D447A">
        <w:t>het gebruik van een pijpleiding m.n. voor aardolieproducten is specifiek voor tankenpark 800 en de grootste tanks (TK750, TK751, TK759, TK760, TK761) van tankenpark 700/750.</w:t>
      </w:r>
    </w:p>
  </w:footnote>
  <w:footnote w:id="17">
    <w:p w:rsidR="00525E75" w:rsidRPr="00D5724D" w:rsidRDefault="00525E75" w:rsidP="00AF3F9E">
      <w:pPr>
        <w:pStyle w:val="FootnoteText"/>
      </w:pPr>
      <w:r>
        <w:rPr>
          <w:rStyle w:val="FootnoteReference"/>
        </w:rPr>
        <w:footnoteRef/>
      </w:r>
      <w:r>
        <w:t xml:space="preserve"> </w:t>
      </w:r>
      <w:r>
        <w:tab/>
      </w:r>
      <w:r w:rsidRPr="00D5724D">
        <w:t xml:space="preserve">Naast </w:t>
      </w:r>
      <w:r>
        <w:t xml:space="preserve">de overslag verbonden aan de </w:t>
      </w:r>
      <w:r w:rsidRPr="00D5724D">
        <w:t>aan- en afvoer van vloeistoffen, is er ook nog een zeer beperkte hoeveelheid vloeistoffen (enkele procenten) die getransfereerd wordt van de ene opslagtank naar de andere.</w:t>
      </w:r>
      <w:r>
        <w:t xml:space="preserve"> Dergelijke overslag zal zich bvb. voordoen indien een tank dient geledigd te worden voor het uitvoeren van onderhoudswerkzaamheden of wettelijke keuringen.</w:t>
      </w:r>
    </w:p>
  </w:footnote>
  <w:footnote w:id="18">
    <w:p w:rsidR="00525E75" w:rsidRDefault="00525E75">
      <w:pPr>
        <w:pStyle w:val="FootnoteText"/>
      </w:pPr>
      <w:r>
        <w:rPr>
          <w:rStyle w:val="FootnoteReference"/>
        </w:rPr>
        <w:footnoteRef/>
      </w:r>
      <w:r>
        <w:t xml:space="preserve"> De doorzet is normaliter evenredig met de opslagcapaciteit gezien het in economisch opzicht interessant is een grote opslagcapaciteit te voorzien voor product met een hoge doorzet. Er zijn hierop uitzonderingen mogelijk, afhankelijk van de op dat moment beschikbare opslagcapaciteit en de wensen van de klanten.  </w:t>
      </w:r>
    </w:p>
  </w:footnote>
  <w:footnote w:id="19">
    <w:p w:rsidR="00525E75" w:rsidRDefault="00525E75">
      <w:pPr>
        <w:pStyle w:val="FootnoteText"/>
      </w:pPr>
      <w:r>
        <w:rPr>
          <w:rStyle w:val="FootnoteReference"/>
        </w:rPr>
        <w:footnoteRef/>
      </w:r>
      <w:r>
        <w:t xml:space="preserve"> In tabel </w:t>
      </w:r>
      <w:r w:rsidR="00C325A0">
        <w:fldChar w:fldCharType="begin"/>
      </w:r>
      <w:r>
        <w:instrText xml:space="preserve"> REF t_project_verdelingtransport \h </w:instrText>
      </w:r>
      <w:r w:rsidR="00C325A0">
        <w:fldChar w:fldCharType="separate"/>
      </w:r>
      <w:r>
        <w:t>IV.</w:t>
      </w:r>
      <w:r>
        <w:rPr>
          <w:noProof/>
        </w:rPr>
        <w:t>3</w:t>
      </w:r>
      <w:r w:rsidR="00C325A0">
        <w:fldChar w:fldCharType="end"/>
      </w:r>
      <w:r>
        <w:t xml:space="preserve"> wordt het transport voor water, spoor en weg verondersteld samen 100% van de getransporteerde hoeveelheden te dekken. In realiteit kunnen bij afvoer eenheidsverpakkingen gebruikt worden, dit aandeel blijft echter beperkt tot maximaal 5%. In dit geval zijn de aandelen van water, spoor en weg kleiner dan 100%. Aanvoer  in eenheidsverpakkingen gebeurt normaliter niet, stoffen of producten worden in bulk aangevoerd.</w:t>
      </w:r>
    </w:p>
  </w:footnote>
  <w:footnote w:id="20">
    <w:p w:rsidR="00525E75" w:rsidRDefault="00525E75" w:rsidP="00375E5A">
      <w:pPr>
        <w:pStyle w:val="FootnoteText"/>
      </w:pPr>
      <w:r>
        <w:rPr>
          <w:rStyle w:val="FootnoteReference"/>
        </w:rPr>
        <w:footnoteRef/>
      </w:r>
      <w:r>
        <w:t xml:space="preserve"> De aangegeven verhouding kunnen sterk fluctueren van jaar tot jaar. In 2009  was de invloed van de economische crisis duidelijk voelbaar. De opgeslagen capaciteiten bleven ongeveer constant, maar de doorzetten lagen gevoelig lager. Voor 2010 zijn de cijfers van 2008 representatief.</w:t>
      </w:r>
    </w:p>
  </w:footnote>
  <w:footnote w:id="21">
    <w:p w:rsidR="00525E75" w:rsidRDefault="00525E75" w:rsidP="00AF3F9E">
      <w:pPr>
        <w:pStyle w:val="FootnoteText"/>
      </w:pPr>
      <w:r>
        <w:rPr>
          <w:rStyle w:val="FootnoteReference"/>
        </w:rPr>
        <w:footnoteRef/>
      </w:r>
      <w:r>
        <w:t xml:space="preserve"> </w:t>
      </w:r>
      <w:r>
        <w:tab/>
        <w:t>Een typisch voorbeeld is de situatie waarbij de klant reeds een zekere hoeveelheid vloeistof in opslag heeft en van dezelfde vloeistof extra hoeveelheid wenst te stockeren waarbij de reeds aanwezige hoeveelheid naar een grotere tank gepompt wordt voor de stockage van de extra hoeveelheid in dezelfde tank.</w:t>
      </w:r>
    </w:p>
  </w:footnote>
  <w:footnote w:id="22">
    <w:p w:rsidR="00525E75" w:rsidRPr="002A1D77" w:rsidRDefault="00525E75" w:rsidP="00AF3F9E">
      <w:pPr>
        <w:pStyle w:val="FootnoteText"/>
      </w:pPr>
      <w:r>
        <w:rPr>
          <w:rStyle w:val="FootnoteReference"/>
        </w:rPr>
        <w:footnoteRef/>
      </w:r>
      <w:r>
        <w:t xml:space="preserve"> </w:t>
      </w:r>
      <w:r>
        <w:tab/>
        <w:t xml:space="preserve">Hierbij wordt geen onderscheid gemaakt tussen bestaande en nieuwe tanks, daar alle op de terminal aanwezige tanks kunnen uitgerust worden met (aansluitingen op) de vermelde emissiebeperkende maatregelen.  </w:t>
      </w:r>
    </w:p>
  </w:footnote>
  <w:footnote w:id="23">
    <w:p w:rsidR="00525E75" w:rsidRDefault="00525E75" w:rsidP="00AF3F9E">
      <w:pPr>
        <w:pStyle w:val="FootnoteText"/>
      </w:pPr>
      <w:r>
        <w:rPr>
          <w:rStyle w:val="FootnoteReference"/>
        </w:rPr>
        <w:footnoteRef/>
      </w:r>
      <w:r>
        <w:t xml:space="preserve"> </w:t>
      </w:r>
      <w:r>
        <w:tab/>
        <w:t>Er zijn geen gegevens ter beschikking om dit verbruik verder te specifiëren. Wel leert ervaring bij andere terminals dat de stoomproductie veruit de belangrijkste verbruiker vormt.</w:t>
      </w:r>
    </w:p>
  </w:footnote>
  <w:footnote w:id="24">
    <w:p w:rsidR="00525E75" w:rsidRPr="0010027B" w:rsidRDefault="00525E75" w:rsidP="00AF3F9E">
      <w:pPr>
        <w:pStyle w:val="FootnoteText"/>
      </w:pPr>
      <w:r>
        <w:rPr>
          <w:rStyle w:val="FootnoteReference"/>
        </w:rPr>
        <w:footnoteRef/>
      </w:r>
      <w:r>
        <w:t xml:space="preserve"> </w:t>
      </w:r>
      <w:r>
        <w:tab/>
        <w:t>D</w:t>
      </w:r>
      <w:r w:rsidRPr="0010027B">
        <w:t xml:space="preserve">e controle heeft tot doel om de organische belasting van het spoelwater te bepalen, spoelwaters met een zeer hoge organische belasting (d.i. </w:t>
      </w:r>
      <w:r>
        <w:t>ee</w:t>
      </w:r>
      <w:r w:rsidRPr="0010027B">
        <w:t>n CZV &gt; 4</w:t>
      </w:r>
      <w:r>
        <w:t xml:space="preserve">00.000 </w:t>
      </w:r>
      <w:r w:rsidRPr="0010027B">
        <w:t>mg/l) worden eveneen</w:t>
      </w:r>
      <w:r>
        <w:t>s afgevoerd voor externe verwerk</w:t>
      </w:r>
      <w:r w:rsidRPr="0010027B">
        <w:t>ing</w:t>
      </w:r>
      <w:r>
        <w:t>.</w:t>
      </w:r>
    </w:p>
  </w:footnote>
  <w:footnote w:id="25">
    <w:p w:rsidR="00525E75" w:rsidRDefault="00525E75">
      <w:pPr>
        <w:pStyle w:val="FootnoteText"/>
      </w:pPr>
      <w:r>
        <w:rPr>
          <w:rStyle w:val="FootnoteReference"/>
        </w:rPr>
        <w:footnoteRef/>
      </w:r>
      <w:r>
        <w:t xml:space="preserve"> Vanaf COD waarden &gt;125 mg/l wordt het regenwater als verontreinigd beschouwd  en naar de zuivering gestuurd. Ter referentie; typisch zijn de COD waarden van het niet verontreinigd hemelwater 30-50 mg/l. </w:t>
      </w:r>
    </w:p>
  </w:footnote>
  <w:footnote w:id="26">
    <w:p w:rsidR="00525E75" w:rsidRDefault="00525E75" w:rsidP="00AF3F9E">
      <w:pPr>
        <w:pStyle w:val="FootnoteText"/>
      </w:pPr>
      <w:r>
        <w:rPr>
          <w:rStyle w:val="FootnoteReference"/>
        </w:rPr>
        <w:footnoteRef/>
      </w:r>
      <w:r>
        <w:t xml:space="preserve"> </w:t>
      </w:r>
      <w:r>
        <w:tab/>
      </w:r>
      <w:r w:rsidRPr="000D2C2E">
        <w:t xml:space="preserve">Een API-put is een opvangbak </w:t>
      </w:r>
      <w:r>
        <w:t>met olieafscheider waarin de on</w:t>
      </w:r>
      <w:r w:rsidRPr="000D2C2E">
        <w:t>oplosbare fracties die lichter of zwaarder zijn dan water, worden weerhouden.</w:t>
      </w:r>
    </w:p>
  </w:footnote>
  <w:footnote w:id="27">
    <w:p w:rsidR="00525E75" w:rsidRDefault="00525E75" w:rsidP="00AF3F9E">
      <w:pPr>
        <w:pStyle w:val="FootnoteText"/>
      </w:pPr>
      <w:r w:rsidRPr="00D26B90">
        <w:rPr>
          <w:rStyle w:val="FootnoteReference"/>
        </w:rPr>
        <w:footnoteRef/>
      </w:r>
      <w:r w:rsidRPr="00D26B90">
        <w:t xml:space="preserve"> </w:t>
      </w:r>
      <w:r w:rsidRPr="00D26B90">
        <w:tab/>
        <w:t>850 m³ (tank 1) en 2.700 m³ (tank 2), met nog een reserve van 3.000 m³, 2.000 m³ en 1.000 m³.</w:t>
      </w:r>
    </w:p>
  </w:footnote>
  <w:footnote w:id="28">
    <w:p w:rsidR="00525E75" w:rsidRDefault="00525E75">
      <w:pPr>
        <w:pStyle w:val="FootnoteText"/>
      </w:pPr>
      <w:r>
        <w:rPr>
          <w:rStyle w:val="FootnoteReference"/>
        </w:rPr>
        <w:footnoteRef/>
      </w:r>
      <w:r>
        <w:t xml:space="preserve"> 3.000 m</w:t>
      </w:r>
      <w:r w:rsidRPr="00CB3B91">
        <w:rPr>
          <w:vertAlign w:val="superscript"/>
        </w:rPr>
        <w:t>3</w:t>
      </w:r>
    </w:p>
  </w:footnote>
  <w:footnote w:id="29">
    <w:p w:rsidR="00525E75" w:rsidRDefault="00525E75">
      <w:pPr>
        <w:pStyle w:val="FootnoteText"/>
      </w:pPr>
      <w:r>
        <w:rPr>
          <w:rStyle w:val="FootnoteReference"/>
        </w:rPr>
        <w:footnoteRef/>
      </w:r>
      <w:r>
        <w:t xml:space="preserve"> </w:t>
      </w:r>
      <w:r w:rsidRPr="00CB3B91">
        <w:t>stikstofverwijdering is van ondergeschikt belang, gezien de lage stikstofconcentraties in het influent (gemiddeld ca. 22 mg/l).</w:t>
      </w:r>
    </w:p>
  </w:footnote>
  <w:footnote w:id="30">
    <w:p w:rsidR="00525E75" w:rsidRDefault="00525E75" w:rsidP="00AF3F9E">
      <w:pPr>
        <w:pStyle w:val="FootnoteText"/>
      </w:pPr>
      <w:r>
        <w:rPr>
          <w:rStyle w:val="FootnoteReference"/>
        </w:rPr>
        <w:footnoteRef/>
      </w:r>
      <w:r>
        <w:t xml:space="preserve"> </w:t>
      </w:r>
      <w:r>
        <w:tab/>
      </w:r>
      <w:r w:rsidRPr="00F812BA">
        <w:rPr>
          <w:lang w:val="nl-NL"/>
        </w:rPr>
        <w:t>reductiefactor gehanteerd voor de begroting van initiële verliezen (bevochtigings- en verdampingsverliezen en verliezen t.g.v. plasvorming)</w:t>
      </w:r>
      <w:bookmarkStart w:id="472" w:name="_Ref174351331"/>
      <w:r w:rsidRPr="00F812BA">
        <w:rPr>
          <w:rStyle w:val="EndnoteReference"/>
          <w:sz w:val="18"/>
          <w:szCs w:val="18"/>
          <w:lang w:val="nl-NL"/>
        </w:rPr>
        <w:footnoteRef/>
      </w:r>
      <w:bookmarkEnd w:id="472"/>
      <w:r>
        <w:rPr>
          <w:lang w:val="nl-NL"/>
        </w:rPr>
        <w:tab/>
      </w:r>
    </w:p>
  </w:footnote>
  <w:footnote w:id="31">
    <w:p w:rsidR="00525E75" w:rsidRDefault="00525E75" w:rsidP="00AF3F9E">
      <w:pPr>
        <w:pStyle w:val="FootnoteText"/>
      </w:pPr>
      <w:r>
        <w:rPr>
          <w:rStyle w:val="FootnoteReference"/>
        </w:rPr>
        <w:footnoteRef/>
      </w:r>
      <w:r>
        <w:t xml:space="preserve"> </w:t>
      </w:r>
      <w:r>
        <w:tab/>
        <w:t>Stookolie wordt enkel als brandstof aangewend voor het voeden van de reserveketel K4.</w:t>
      </w:r>
    </w:p>
  </w:footnote>
  <w:footnote w:id="32">
    <w:p w:rsidR="00525E75" w:rsidRDefault="00525E75">
      <w:pPr>
        <w:pStyle w:val="FootnoteText"/>
      </w:pPr>
      <w:r>
        <w:rPr>
          <w:rStyle w:val="FootnoteReference"/>
        </w:rPr>
        <w:footnoteRef/>
      </w:r>
      <w:r>
        <w:t xml:space="preserve"> Achteraan het document toegevoegd</w:t>
      </w:r>
    </w:p>
  </w:footnote>
  <w:footnote w:id="33">
    <w:p w:rsidR="00525E75" w:rsidRDefault="00525E75" w:rsidP="000F265C">
      <w:pPr>
        <w:pStyle w:val="FootnoteText"/>
      </w:pPr>
      <w:r>
        <w:rPr>
          <w:rStyle w:val="FootnoteReference"/>
        </w:rPr>
        <w:footnoteRef/>
      </w:r>
      <w:r>
        <w:t xml:space="preserve"> Deze tanks zijn momenteel vergund voor de opslag van chemicaliën.</w:t>
      </w:r>
    </w:p>
  </w:footnote>
  <w:footnote w:id="34">
    <w:p w:rsidR="00525E75" w:rsidRDefault="00525E75" w:rsidP="000F265C">
      <w:pPr>
        <w:pStyle w:val="FootnoteText"/>
      </w:pPr>
      <w:r>
        <w:rPr>
          <w:rStyle w:val="FootnoteReference"/>
        </w:rPr>
        <w:footnoteRef/>
      </w:r>
      <w:r>
        <w:t xml:space="preserve"> Drie van deze tanks betreffen liggende tanks voor de buffering van afvalwater.</w:t>
      </w:r>
    </w:p>
  </w:footnote>
  <w:footnote w:id="35">
    <w:p w:rsidR="00525E75" w:rsidRDefault="00525E75" w:rsidP="0013222E">
      <w:pPr>
        <w:pStyle w:val="FootnoteText"/>
        <w:tabs>
          <w:tab w:val="clear" w:pos="198"/>
          <w:tab w:val="left" w:pos="142"/>
        </w:tabs>
        <w:ind w:left="142" w:hanging="142"/>
      </w:pPr>
      <w:r>
        <w:rPr>
          <w:rStyle w:val="FootnoteReference"/>
        </w:rPr>
        <w:footnoteRef/>
      </w:r>
      <w:r>
        <w:t xml:space="preserve"> Aangezien zowel producten met een dichtheid lager dan 1kg/l (vb. solventen) als producten met een dichtheid hoger dan 1kg/l (vb. anorganische chemicaliën) wordt er voor de schatting van de totale capaciteit vanuit gegaan dat de dichtheid ca. gelijk is aan 1 kg/l.</w:t>
      </w:r>
    </w:p>
  </w:footnote>
  <w:footnote w:id="36">
    <w:p w:rsidR="00525E75" w:rsidRDefault="00525E75" w:rsidP="0013222E">
      <w:pPr>
        <w:pStyle w:val="FootnoteText"/>
        <w:tabs>
          <w:tab w:val="clear" w:pos="198"/>
          <w:tab w:val="left" w:pos="142"/>
        </w:tabs>
        <w:ind w:left="142" w:hanging="142"/>
      </w:pPr>
      <w:r>
        <w:rPr>
          <w:rStyle w:val="FootnoteReference"/>
        </w:rPr>
        <w:footnoteRef/>
      </w:r>
      <w:r>
        <w:t xml:space="preserve"> De opslag van TP800 wordt niet rechsttreeks meegenomen in de impactberekeningen van deel </w:t>
      </w:r>
      <w:r w:rsidR="00C325A0">
        <w:fldChar w:fldCharType="begin"/>
      </w:r>
      <w:r>
        <w:instrText xml:space="preserve"> REF _Ref311457633 \w \h </w:instrText>
      </w:r>
      <w:r w:rsidR="00C325A0">
        <w:fldChar w:fldCharType="separate"/>
      </w:r>
      <w:r>
        <w:t>VIII2.6</w:t>
      </w:r>
      <w:r w:rsidR="00C325A0">
        <w:fldChar w:fldCharType="end"/>
      </w:r>
      <w:r>
        <w:t xml:space="preserve">, zoals uitgelegd in bijlage </w:t>
      </w:r>
      <w:r w:rsidR="00C325A0">
        <w:fldChar w:fldCharType="begin"/>
      </w:r>
      <w:r>
        <w:instrText xml:space="preserve"> REF b_opslagscenario \h </w:instrText>
      </w:r>
      <w:r w:rsidR="00C325A0">
        <w:fldChar w:fldCharType="separate"/>
      </w:r>
      <w:r>
        <w:t>4</w:t>
      </w:r>
      <w:r w:rsidR="00C325A0">
        <w:fldChar w:fldCharType="end"/>
      </w:r>
      <w:r>
        <w:t xml:space="preserve"> (zie opmerking p. 8). Indien TP800 bvb. zou opgevuld worden met Crude (= 100.000 t P1-product) zou door het respecteren van de vergunde hoeveelheden en de werkelijke opslagcapaciteiten ca. 10.000 t P1-referentieproducten en ca. 90.000 t referentieproducten minder in rekening moeten worden gebracht. De berekende emissies van deze referentieproducten overstijgen de potentiële emissies van 100.000 t Crude in TP800.</w:t>
      </w:r>
    </w:p>
  </w:footnote>
  <w:footnote w:id="37">
    <w:p w:rsidR="00525E75" w:rsidRDefault="00525E75">
      <w:pPr>
        <w:pStyle w:val="FootnoteText"/>
      </w:pPr>
      <w:r>
        <w:rPr>
          <w:rStyle w:val="FootnoteReference"/>
        </w:rPr>
        <w:footnoteRef/>
      </w:r>
      <w:r>
        <w:t xml:space="preserve"> Achteraan het document toegevoegd</w:t>
      </w:r>
    </w:p>
  </w:footnote>
  <w:footnote w:id="38">
    <w:p w:rsidR="00525E75" w:rsidRPr="003348CB" w:rsidRDefault="00525E75" w:rsidP="00AF3F9E">
      <w:pPr>
        <w:pStyle w:val="FootnoteText"/>
      </w:pPr>
      <w:r>
        <w:rPr>
          <w:rStyle w:val="FootnoteReference"/>
        </w:rPr>
        <w:footnoteRef/>
      </w:r>
      <w:r>
        <w:t xml:space="preserve"> </w:t>
      </w:r>
      <w:r>
        <w:tab/>
        <w:t>Vopak Terminal Linkeroever gelegen Haven 1313 (Haandorpweg 1313)</w:t>
      </w:r>
    </w:p>
  </w:footnote>
  <w:footnote w:id="39">
    <w:p w:rsidR="00525E75" w:rsidRPr="003348CB" w:rsidRDefault="00525E75" w:rsidP="00AF3F9E">
      <w:pPr>
        <w:pStyle w:val="FootnoteText"/>
      </w:pPr>
      <w:r>
        <w:rPr>
          <w:rStyle w:val="FootnoteReference"/>
        </w:rPr>
        <w:footnoteRef/>
      </w:r>
      <w:r>
        <w:t xml:space="preserve"> </w:t>
      </w:r>
      <w:r>
        <w:tab/>
        <w:t>Vopak Terminal ACS gelegen Haven 503 (Scheldelaan 410)</w:t>
      </w:r>
    </w:p>
  </w:footnote>
  <w:footnote w:id="40">
    <w:p w:rsidR="00525E75" w:rsidRDefault="00525E75" w:rsidP="00AF3F9E">
      <w:pPr>
        <w:pStyle w:val="FootnoteText"/>
      </w:pPr>
      <w:r>
        <w:rPr>
          <w:rStyle w:val="FootnoteReference"/>
        </w:rPr>
        <w:footnoteRef/>
      </w:r>
      <w:r>
        <w:t xml:space="preserve"> </w:t>
      </w:r>
      <w:r>
        <w:tab/>
        <w:t>Zowel naar veiligheid als milieu</w:t>
      </w:r>
    </w:p>
  </w:footnote>
  <w:footnote w:id="41">
    <w:p w:rsidR="00525E75" w:rsidRDefault="00525E75" w:rsidP="00AF3F9E">
      <w:pPr>
        <w:pStyle w:val="FootnoteText"/>
      </w:pPr>
      <w:r>
        <w:rPr>
          <w:rStyle w:val="FootnoteReference"/>
        </w:rPr>
        <w:footnoteRef/>
      </w:r>
      <w:r>
        <w:t xml:space="preserve"> </w:t>
      </w:r>
      <w:r>
        <w:tab/>
      </w:r>
      <w:r>
        <w:rPr>
          <w:lang w:val="nl-NL"/>
        </w:rPr>
        <w:t xml:space="preserve">Het waterpeil van de Antwerpse havendokken en dus ook het volume water aanwezig in de dokken, wordt constant gehouden. Om dit mogelijk te maken is er (een quasi continue) uitwisseling van water tussen de havendokken en de Schelde. Deze uitwisseling verloopt via de spuiriolen die aanwezig zijn t.h.v. de sluiscomplexen (hoofdzakelijk via de Berendrechtsluis) en is gebaseerd op het principe van de communicerende vaten. </w:t>
      </w:r>
      <w:r>
        <w:rPr>
          <w:lang w:val="nl-NL"/>
        </w:rPr>
        <w:tab/>
      </w:r>
      <w:r>
        <w:rPr>
          <w:lang w:val="nl-NL"/>
        </w:rPr>
        <w:br/>
        <w:t xml:space="preserve">Dit betekent dat wanneer het peil stijgt in de dokken (peilstijgingen houden verband met voeding via de Wijnegemsluis, neerslag, lozingen van afvalwater, lozingen van koelwater, lozingen van hemelwater afkomstig van verharde oppervlakken langsheen de dokken, overpomping van het water in de Voorgracht, sluiswerking ...) er water vanuit de dokken wordt afgevoerd naar de Schelde om de peilstijging te compenseren. </w:t>
      </w:r>
      <w:r>
        <w:rPr>
          <w:lang w:val="nl-NL"/>
        </w:rPr>
        <w:tab/>
      </w:r>
      <w:r>
        <w:rPr>
          <w:lang w:val="nl-NL"/>
        </w:rPr>
        <w:br/>
        <w:t>Omgekeerd, peilverlagingen in de dokken bvb. t.g.v. de sluiswerking, worden dan weer gecompenseerd door input van Scheldewater.</w:t>
      </w:r>
    </w:p>
  </w:footnote>
  <w:footnote w:id="42">
    <w:p w:rsidR="00525E75" w:rsidRDefault="00525E75" w:rsidP="00AF3F9E">
      <w:pPr>
        <w:pStyle w:val="FootnoteText"/>
      </w:pPr>
      <w:r>
        <w:rPr>
          <w:rStyle w:val="FootnoteReference"/>
        </w:rPr>
        <w:footnoteRef/>
      </w:r>
      <w:r>
        <w:t xml:space="preserve"> </w:t>
      </w:r>
      <w:r>
        <w:tab/>
        <w:t>Meetpunten 805000 en 804000 hebben betrekking op de kwaliteit van het kanaaldok B1. De gegevens van dit meetpunt worden in het kader van onderhavig MER als indicatie gehanteerd voor de kwaliteit van het de Antwerpse havendokken</w:t>
      </w:r>
    </w:p>
  </w:footnote>
  <w:footnote w:id="43">
    <w:p w:rsidR="00525E75" w:rsidRDefault="00525E75" w:rsidP="00AF3F9E">
      <w:pPr>
        <w:pStyle w:val="FootnoteText"/>
      </w:pPr>
      <w:r>
        <w:rPr>
          <w:rStyle w:val="FootnoteReference"/>
        </w:rPr>
        <w:footnoteRef/>
      </w:r>
      <w:r>
        <w:t xml:space="preserve"> </w:t>
      </w:r>
      <w:r>
        <w:tab/>
        <w:t>Zie geoloket.vmm.be</w:t>
      </w:r>
    </w:p>
  </w:footnote>
  <w:footnote w:id="44">
    <w:p w:rsidR="00525E75" w:rsidRDefault="00525E75">
      <w:pPr>
        <w:pStyle w:val="FootnoteText"/>
      </w:pPr>
      <w:r>
        <w:rPr>
          <w:rStyle w:val="FootnoteReference"/>
        </w:rPr>
        <w:footnoteRef/>
      </w:r>
      <w:r>
        <w:t xml:space="preserve"> </w:t>
      </w:r>
      <w:r>
        <w:tab/>
        <w:t>Opgemerkt wordt dat in dit vergunningsbesluit ook lozingsnormen zijn opgenomen voor de parameters BZV (30 mg/l) en zwevende stoffen (120 mg/l). Deze bijzondere lozingsnormen (welke dateren van voor de inwerkingtreding van VLAREM II) zijn minder streng dan de algemene lozingsnormen voor deze parameters zoals opgenomen in art. 4.2.2.1.1 van Vlarem II,(resp. 25 en 60 mg/l) maar strenger dan de sectorale voorwaarden vastgelegd in bijlage 5.3.2 van Vlarem II voor zowel BZV (50 mg/l) als zwevende stoffen (120  mg/l) Bijgevolg  gelden de bijzonder voorwaarden opgenomen in de vergunning voor BZV (30  mg/l) en zwevendestoffen (120 mg/l)</w:t>
      </w:r>
      <w:r w:rsidRPr="002A23FC">
        <w:t xml:space="preserve"> </w:t>
      </w:r>
      <w:r>
        <w:t xml:space="preserve">). </w:t>
      </w:r>
      <w:r>
        <w:br/>
        <w:t xml:space="preserve">(Art. 3.2.1.2 van Vlarem II bepaald dat in de vergunning opgenomen voorwaarden die minder streng zijn dan de voorwaarden van Vlarem II, vanaf 1/1/1996 worden vervangen door de voorwaarden van Vlarem II (behoudens in bepaalde gevallen die onderhavig geval niet van toepassing zijn.) </w:t>
      </w:r>
    </w:p>
  </w:footnote>
  <w:footnote w:id="45">
    <w:p w:rsidR="00525E75" w:rsidRDefault="00525E75" w:rsidP="00AF3F9E">
      <w:pPr>
        <w:pStyle w:val="FootnoteText"/>
      </w:pPr>
      <w:r>
        <w:rPr>
          <w:rStyle w:val="FootnoteReference"/>
        </w:rPr>
        <w:footnoteRef/>
      </w:r>
      <w:r>
        <w:t xml:space="preserve"> </w:t>
      </w:r>
      <w:r>
        <w:tab/>
        <w:t>Het indelingscriterium Gevaarlijke Stoffen (GS) is ingevoerd bij besluit van de Vlaamse Regering voor wat betreft milieu</w:t>
      </w:r>
      <w:r>
        <w:softHyphen/>
        <w:t>kwaliteitsnormen voor oppervlaktewater, waterbodem en grondwater. Een gevaarlijke stof mag enkel geloosd worden in concentraties hoger dan dit indelingscriterium, indien hiervoor een lozingsnorm in de vergunning is opgenomen. Merk hierbij wel op dat dit besluit in werking is getreden op 21/1/2011en dat na de inwerkingtreding van het besluit men over een periode van 6 maanden beschikt om een lozingsnorm aan te vragen.</w:t>
      </w:r>
      <w:r>
        <w:tab/>
      </w:r>
      <w:r>
        <w:br/>
        <w:t>Door nu reeds te toetsen aan dit indelingscriterium heeft men wel al zicht op die gevaarlijke stoffen waarvoor een norm dient aangevraagd te worden bij de hervergunning / uitbreiding van de activiteiten.</w:t>
      </w:r>
    </w:p>
  </w:footnote>
  <w:footnote w:id="46">
    <w:p w:rsidR="00525E75" w:rsidRDefault="00525E75" w:rsidP="00AF3F9E">
      <w:pPr>
        <w:pStyle w:val="FootnoteText"/>
      </w:pPr>
      <w:r>
        <w:rPr>
          <w:rStyle w:val="FootnoteReference"/>
        </w:rPr>
        <w:footnoteRef/>
      </w:r>
      <w:r>
        <w:t xml:space="preserve"> </w:t>
      </w:r>
      <w:r>
        <w:tab/>
        <w:t>Vroeger gold bvb. voor PAK’s-totaal een kwaliteitsdoelstelling van 0,1 µg/l, hetgeen geresulteerd heeft in een lozingsnorm van 1 µg/l. Conform de nieuwe kwaliteitsdoelstellingen variëren de doelstellingen voor individuele PAK’s - afhankelijk van de ecotoxiciteit van de individuele PAK’s - tussen 0,002 en 2,4 µg/l. Het behouden van een totale lozingsnorm van 1 µg/l kan dan ook, afhankelijk van de types PAK’s die effectief aanwezig zijn in het afvalwater, enerzijds mogelijks leiden tot relevante effecten en anderzijds tot een (te) stringent voorwaardenkader. De voorgestelde somparameters zullen dan ook aangevuld worden met individuele parameters.</w:t>
      </w:r>
    </w:p>
  </w:footnote>
  <w:footnote w:id="47">
    <w:p w:rsidR="00525E75" w:rsidRDefault="00525E75" w:rsidP="00AF3F9E">
      <w:pPr>
        <w:pStyle w:val="FootnoteText"/>
      </w:pPr>
      <w:r>
        <w:rPr>
          <w:rStyle w:val="FootnoteReference"/>
        </w:rPr>
        <w:footnoteRef/>
      </w:r>
      <w:r>
        <w:t xml:space="preserve"> </w:t>
      </w:r>
      <w:r>
        <w:tab/>
        <w:t>Voor zover er uiteraard voor de betrokken parameters immissiegegevens ter beschikking zijn.</w:t>
      </w:r>
    </w:p>
  </w:footnote>
  <w:footnote w:id="48">
    <w:p w:rsidR="00525E75" w:rsidRDefault="00525E75">
      <w:pPr>
        <w:pStyle w:val="FootnoteText"/>
      </w:pPr>
      <w:r>
        <w:rPr>
          <w:rStyle w:val="FootnoteReference"/>
        </w:rPr>
        <w:footnoteRef/>
      </w:r>
      <w:r>
        <w:t xml:space="preserve"> Achteraan het document toegevoegd</w:t>
      </w:r>
    </w:p>
  </w:footnote>
  <w:footnote w:id="49">
    <w:p w:rsidR="00525E75" w:rsidRDefault="00525E75">
      <w:pPr>
        <w:pStyle w:val="FootnoteText"/>
      </w:pPr>
      <w:r>
        <w:rPr>
          <w:rStyle w:val="FootnoteReference"/>
        </w:rPr>
        <w:footnoteRef/>
      </w:r>
      <w:r>
        <w:t xml:space="preserve"> Zie ook bespreking van Fosfor op p. </w:t>
      </w:r>
      <w:r w:rsidR="00C325A0">
        <w:fldChar w:fldCharType="begin"/>
      </w:r>
      <w:r>
        <w:instrText xml:space="preserve"> PAGEREF uitleg_fosfor \h </w:instrText>
      </w:r>
      <w:r w:rsidR="00C325A0">
        <w:fldChar w:fldCharType="separate"/>
      </w:r>
      <w:r>
        <w:rPr>
          <w:noProof/>
        </w:rPr>
        <w:t>VIII.9</w:t>
      </w:r>
      <w:r w:rsidR="00C325A0">
        <w:fldChar w:fldCharType="end"/>
      </w:r>
      <w:r>
        <w:t>.</w:t>
      </w:r>
    </w:p>
  </w:footnote>
  <w:footnote w:id="50">
    <w:p w:rsidR="00525E75" w:rsidRDefault="00525E75" w:rsidP="00AF3F9E">
      <w:pPr>
        <w:pStyle w:val="FootnoteText"/>
      </w:pPr>
      <w:r>
        <w:rPr>
          <w:rStyle w:val="FootnoteReference"/>
        </w:rPr>
        <w:footnoteRef/>
      </w:r>
      <w:r>
        <w:t xml:space="preserve"> </w:t>
      </w:r>
      <w:r>
        <w:tab/>
        <w:t xml:space="preserve">De berekeningen zijn enkel enkel weergegeven voor de parameters vermeld in tabel </w:t>
      </w:r>
      <w:r w:rsidR="00C325A0">
        <w:fldChar w:fldCharType="begin"/>
      </w:r>
      <w:r>
        <w:instrText xml:space="preserve"> REF t_water_lozingsvwdn \h </w:instrText>
      </w:r>
      <w:r w:rsidR="00C325A0">
        <w:fldChar w:fldCharType="separate"/>
      </w:r>
      <w:r>
        <w:t>VIII.1.</w:t>
      </w:r>
      <w:r>
        <w:rPr>
          <w:noProof/>
        </w:rPr>
        <w:t>3</w:t>
      </w:r>
      <w:r w:rsidR="00C325A0">
        <w:fldChar w:fldCharType="end"/>
      </w:r>
      <w:r>
        <w:t>. Voor de gevaarlijke stoffen waarvoor de beoogde lozingsvoorwaarde = het indelingscriterium GS, is de concentratieverhoging immers kleiner dan 0,5% van de toetsingswaarden.</w:t>
      </w:r>
    </w:p>
  </w:footnote>
  <w:footnote w:id="51">
    <w:p w:rsidR="00525E75" w:rsidRPr="00BB0DD3" w:rsidRDefault="00525E75" w:rsidP="00AF3F9E">
      <w:pPr>
        <w:pStyle w:val="FootnoteText"/>
      </w:pPr>
      <w:r>
        <w:rPr>
          <w:rStyle w:val="FootnoteReference"/>
        </w:rPr>
        <w:footnoteRef/>
      </w:r>
      <w:r>
        <w:t xml:space="preserve"> </w:t>
      </w:r>
      <w:r>
        <w:tab/>
      </w:r>
      <w:r>
        <w:rPr>
          <w:lang w:val="nl-NL"/>
        </w:rPr>
        <w:t xml:space="preserve">Een nieuw omgevingsveiligheidsrapport wordt naar aanleiding van de geplande uitbreiding opgesteld. </w:t>
      </w:r>
    </w:p>
  </w:footnote>
  <w:footnote w:id="52">
    <w:p w:rsidR="00525E75" w:rsidRDefault="00525E75">
      <w:pPr>
        <w:pStyle w:val="FootnoteText"/>
      </w:pPr>
      <w:r>
        <w:rPr>
          <w:rStyle w:val="FootnoteReference"/>
        </w:rPr>
        <w:footnoteRef/>
      </w:r>
      <w:r>
        <w:t xml:space="preserve"> De DVI heeft een warmtevermogen van ca. 5MW.</w:t>
      </w:r>
    </w:p>
  </w:footnote>
  <w:footnote w:id="53">
    <w:p w:rsidR="00525E75" w:rsidRDefault="00525E75" w:rsidP="00ED059E">
      <w:pPr>
        <w:pStyle w:val="FootnoteText"/>
      </w:pPr>
      <w:r>
        <w:rPr>
          <w:rStyle w:val="FootnoteReference"/>
        </w:rPr>
        <w:footnoteRef/>
      </w:r>
      <w:r>
        <w:t xml:space="preserve">  Isopreen via een cryocondensator en hexeen via dampretour </w:t>
      </w:r>
    </w:p>
  </w:footnote>
  <w:footnote w:id="54">
    <w:p w:rsidR="00525E75" w:rsidRDefault="00525E75" w:rsidP="005B5D40">
      <w:pPr>
        <w:pStyle w:val="FootnoteText"/>
      </w:pPr>
      <w:r>
        <w:rPr>
          <w:rStyle w:val="FootnoteReference"/>
        </w:rPr>
        <w:footnoteRef/>
      </w:r>
      <w:r>
        <w:t xml:space="preserve"> </w:t>
      </w:r>
      <w:r>
        <w:tab/>
        <w:t>= 362 dagen, hetgeen als een absoluut maximum dient beschouwd te worden.</w:t>
      </w:r>
    </w:p>
  </w:footnote>
  <w:footnote w:id="55">
    <w:p w:rsidR="00525E75" w:rsidRPr="00BB6CED" w:rsidRDefault="00525E75" w:rsidP="005B5D40">
      <w:pPr>
        <w:pStyle w:val="FootnoteText"/>
      </w:pPr>
      <w:r>
        <w:rPr>
          <w:rStyle w:val="FootnoteReference"/>
        </w:rPr>
        <w:footnoteRef/>
      </w:r>
      <w:r>
        <w:t xml:space="preserve"> </w:t>
      </w:r>
      <w:r>
        <w:tab/>
      </w:r>
      <w:r w:rsidRPr="00B37DC4">
        <w:rPr>
          <w:lang w:val="nl-NL"/>
        </w:rPr>
        <w:t>Wenst men in een latere fase de werkelijke impact van een individuele component te beoordelen dan kan de immissiebijdrage geschat worden aan de hand van de verhouding van de werkelijke emissie van deze specifieke component (dus rekening houdend met de werkelijke hoeveelheden die opgeslagen worden, de specifieke tank waarin dit product terecht komt, de dampspanning van het beschouwde product, de concrete weersomstandigheden,…) tot de totale VOS emissie, en dezelfde verhouding toe te passen op de berekende totale bijdrage.</w:t>
      </w:r>
    </w:p>
  </w:footnote>
  <w:footnote w:id="56">
    <w:p w:rsidR="00525E75" w:rsidRDefault="00525E75" w:rsidP="005B5D40">
      <w:pPr>
        <w:pStyle w:val="FootnoteText"/>
      </w:pPr>
      <w:r>
        <w:rPr>
          <w:rStyle w:val="FootnoteReference"/>
        </w:rPr>
        <w:footnoteRef/>
      </w:r>
      <w:r>
        <w:t xml:space="preserve"> </w:t>
      </w:r>
      <w:r>
        <w:tab/>
        <w:t>In het MER opgesteld in 2006 werd uitgegaan van een totale NO</w:t>
      </w:r>
      <w:r w:rsidRPr="007B37EE">
        <w:rPr>
          <w:vertAlign w:val="subscript"/>
        </w:rPr>
        <w:t>x</w:t>
      </w:r>
      <w:r>
        <w:t>-emissie van 2,055 ton/j gezien dat voor de stoomketel een beperkter aantal werkingsuren werden vooropgestel. Aangezien in dit MER wordt uitgegaan van een maximaal aantal werkingsuren en bijgevolg een NOx-emissie van 3 ton/j, dienen de in het MER van 2006 berekende bijdragen  met een factor 3/2.055 verhoogd te worden.</w:t>
      </w:r>
    </w:p>
  </w:footnote>
  <w:footnote w:id="57">
    <w:p w:rsidR="00525E75" w:rsidRPr="00B517DE" w:rsidRDefault="00525E75" w:rsidP="005B5D40">
      <w:pPr>
        <w:pStyle w:val="FootnoteText"/>
      </w:pPr>
      <w:r>
        <w:rPr>
          <w:rStyle w:val="FootnoteReference"/>
        </w:rPr>
        <w:footnoteRef/>
      </w:r>
      <w:r>
        <w:t xml:space="preserve"> Carcinogenic, Mutagenic en Reprotoxic.</w:t>
      </w:r>
    </w:p>
  </w:footnote>
  <w:footnote w:id="58">
    <w:p w:rsidR="00525E75" w:rsidRDefault="00525E75" w:rsidP="005B5D40">
      <w:pPr>
        <w:pStyle w:val="FootnoteText"/>
        <w:ind w:left="142" w:hanging="142"/>
      </w:pPr>
      <w:r>
        <w:rPr>
          <w:rStyle w:val="FootnoteReference"/>
        </w:rPr>
        <w:footnoteRef/>
      </w:r>
      <w:r>
        <w:t xml:space="preserve"> </w:t>
      </w:r>
      <w:r>
        <w:tab/>
        <w:t>De gerapporteerde emissies voor 2008, 2009 en 2010 hebben betrekking op een situatie zonder aanwezigheid van een dampbehandelingsinstallatie. Voor het begroten van de toekomstige realistische emissies wordt dan ook een correctie toegepast op de voor de jaren 2008, 2009 en 2010 gerapporteerde VOS-emissies die het gevolg zijn van de op- en overslag van stoffen met een P</w:t>
      </w:r>
      <w:r w:rsidRPr="00B344DA">
        <w:rPr>
          <w:vertAlign w:val="subscript"/>
        </w:rPr>
        <w:t>damp</w:t>
      </w:r>
      <w:r>
        <w:t xml:space="preserve"> &gt; 13,3 kPa@35°C. Het effect van de dampbehandelingsinstallatie blijkt uit de waarde ‘gemiddeld incl. DVI’ vs. ‘gemiddeld excl. DVI’.</w:t>
      </w:r>
    </w:p>
  </w:footnote>
  <w:footnote w:id="59">
    <w:p w:rsidR="00525E75" w:rsidRDefault="00525E75">
      <w:pPr>
        <w:pStyle w:val="FootnoteText"/>
      </w:pPr>
      <w:r>
        <w:rPr>
          <w:rStyle w:val="FootnoteReference"/>
        </w:rPr>
        <w:footnoteRef/>
      </w:r>
      <w:r>
        <w:t xml:space="preserve"> Ethyleendiamine (EDA) wordt behandeld over een gaswasser</w:t>
      </w:r>
    </w:p>
  </w:footnote>
  <w:footnote w:id="60">
    <w:p w:rsidR="00525E75" w:rsidRDefault="00525E75" w:rsidP="005B5D40">
      <w:pPr>
        <w:pStyle w:val="FootnoteText"/>
      </w:pPr>
      <w:r>
        <w:rPr>
          <w:rStyle w:val="FootnoteReference"/>
        </w:rPr>
        <w:footnoteRef/>
      </w:r>
      <w:r>
        <w:t xml:space="preserve"> </w:t>
      </w:r>
      <w:r>
        <w:tab/>
        <w:t xml:space="preserve">Volledigheidshalve wordt ook opgemerkt dat onafhankelijk van de voorziene uitbreiding, het eveneens mogelijk is dat op basis van theoretische berekeningen de drempelwaarden van </w:t>
      </w:r>
      <w:r>
        <w:rPr>
          <w:lang w:val="nl-NL"/>
        </w:rPr>
        <w:t>afdeling 4.4.6 van Vlarem II zullen overschreden worden. Zo werden in 2010 immers niet alle tanks welke vergund zijn voor de opslag van P1-product ook effect gebruikt voor de opslag van P1-product.</w:t>
      </w:r>
    </w:p>
  </w:footnote>
  <w:footnote w:id="61">
    <w:p w:rsidR="00C447E8" w:rsidRDefault="00C447E8" w:rsidP="00C447E8">
      <w:pPr>
        <w:pStyle w:val="FootnoteText"/>
      </w:pPr>
      <w:r>
        <w:rPr>
          <w:rStyle w:val="FootnoteReference"/>
        </w:rPr>
        <w:footnoteRef/>
      </w:r>
      <w:r>
        <w:t xml:space="preserve"> Gezien het gaat om berekende bijdragen van theoretische bronnen kan een lineair berekend teruggerekend worden van de bijdrage van 5,4% voor 10.000 ton zoals aangegeven in tabel </w:t>
      </w:r>
      <w:r>
        <w:fldChar w:fldCharType="begin"/>
      </w:r>
      <w:r>
        <w:instrText xml:space="preserve"> REF t_lucht_TCMR_max_berekend_woonzone \h </w:instrText>
      </w:r>
      <w:r>
        <w:fldChar w:fldCharType="separate"/>
      </w:r>
      <w:r>
        <w:t>VIII.2.21</w:t>
      </w:r>
      <w:r>
        <w:fldChar w:fldCharType="end"/>
      </w:r>
      <w:r>
        <w:t>.B</w:t>
      </w:r>
    </w:p>
  </w:footnote>
  <w:footnote w:id="62">
    <w:p w:rsidR="00525E75" w:rsidRPr="00962FA3" w:rsidRDefault="00525E75" w:rsidP="00AF3F9E">
      <w:pPr>
        <w:pStyle w:val="FootnoteText"/>
      </w:pPr>
      <w:r>
        <w:rPr>
          <w:rStyle w:val="FootnoteReference"/>
        </w:rPr>
        <w:footnoteRef/>
      </w:r>
      <w:r>
        <w:t xml:space="preserve"> </w:t>
      </w:r>
      <w:r>
        <w:tab/>
        <w:t>Onder meer in de energieconvenants wordt met deze interne rentevoeten gerekend om te oordelen of een maatregel al dan niet rendabel is.</w:t>
      </w:r>
    </w:p>
  </w:footnote>
  <w:footnote w:id="63">
    <w:p w:rsidR="00525E75" w:rsidRDefault="00525E75">
      <w:pPr>
        <w:pStyle w:val="FootnoteText"/>
      </w:pPr>
      <w:r>
        <w:rPr>
          <w:rStyle w:val="FootnoteReference"/>
        </w:rPr>
        <w:footnoteRef/>
      </w:r>
      <w:r>
        <w:t xml:space="preserve"> De investeringskost voor de uitbreiding(en) op de DVI worden in deze raming gelijkmatig afgeschreven over de verschillende tanks die een bijkomende capaciteit vergen. Dit gezien anders de tank </w:t>
      </w:r>
      <w:r>
        <w:rPr>
          <w:lang w:val="nl-NL"/>
        </w:rPr>
        <w:t>net na het kantelpunt (bij verzadiging van de bestaande capaciteit) anders buiten proportie groot is, en de kost voor de andere tanks buiten proportie laag.</w:t>
      </w:r>
    </w:p>
  </w:footnote>
  <w:footnote w:id="64">
    <w:p w:rsidR="00C447E8" w:rsidRDefault="00C447E8" w:rsidP="00C447E8">
      <w:pPr>
        <w:pStyle w:val="FootnoteText"/>
      </w:pPr>
      <w:r>
        <w:rPr>
          <w:rStyle w:val="FootnoteReference"/>
        </w:rPr>
        <w:footnoteRef/>
      </w:r>
      <w:r>
        <w:t xml:space="preserve"> Gezien het gaat om berekende bijdragen van theoretische bronnen kan een lineair berekend teruggerekend worden van de bijdrage van 5,4% voor 10.000 ton zoals aangegeven in tabel </w:t>
      </w:r>
      <w:r>
        <w:fldChar w:fldCharType="begin"/>
      </w:r>
      <w:r>
        <w:instrText xml:space="preserve"> REF t_lucht_TCMR_max_berekend_woonzone \h </w:instrText>
      </w:r>
      <w:r>
        <w:fldChar w:fldCharType="separate"/>
      </w:r>
      <w:r>
        <w:t>VIII.2.21</w:t>
      </w:r>
      <w:r>
        <w:fldChar w:fldCharType="end"/>
      </w:r>
      <w:r>
        <w:t>.B</w:t>
      </w:r>
    </w:p>
  </w:footnote>
  <w:footnote w:id="65">
    <w:p w:rsidR="00C447E8" w:rsidRDefault="00C447E8" w:rsidP="00C447E8">
      <w:pPr>
        <w:pStyle w:val="FootnoteText"/>
      </w:pPr>
      <w:r>
        <w:rPr>
          <w:rStyle w:val="FootnoteReference"/>
        </w:rPr>
        <w:footnoteRef/>
      </w:r>
      <w:r>
        <w:t xml:space="preserve"> Gezien het gaat om berekende bijdragen van theoretische bronnen kan een lineair berekend teruggerekend worden van de bijdrage van 5,4% voor 10.000 ton zoals aangegeven in tabel </w:t>
      </w:r>
      <w:r>
        <w:fldChar w:fldCharType="begin"/>
      </w:r>
      <w:r>
        <w:instrText xml:space="preserve"> REF t_lucht_TCMR_max_berekend_woonzone \h </w:instrText>
      </w:r>
      <w:r>
        <w:fldChar w:fldCharType="separate"/>
      </w:r>
      <w:r>
        <w:t>VIII.2.21</w:t>
      </w:r>
      <w:r>
        <w:fldChar w:fldCharType="end"/>
      </w:r>
      <w:r>
        <w:t>.B</w:t>
      </w:r>
    </w:p>
  </w:footnote>
  <w:footnote w:id="66">
    <w:p w:rsidR="00525E75" w:rsidRDefault="00525E75" w:rsidP="00AF3F9E">
      <w:pPr>
        <w:pStyle w:val="FootnoteText"/>
      </w:pPr>
      <w:r>
        <w:rPr>
          <w:rStyle w:val="FootnoteReference"/>
        </w:rPr>
        <w:footnoteRef/>
      </w:r>
      <w:r>
        <w:t xml:space="preserve"> </w:t>
      </w:r>
      <w:r>
        <w:tab/>
      </w:r>
      <w:r>
        <w:rPr>
          <w:lang w:val="nl-NL"/>
        </w:rPr>
        <w:t>Verspreiding van deze verontreiniging via het ondiepe grondwater wordt nu wel al deels gerealiseerd door het aanwezige grondwater</w:t>
      </w:r>
      <w:r>
        <w:rPr>
          <w:lang w:val="nl-NL"/>
        </w:rPr>
        <w:softHyphen/>
        <w:t>drainagesysteem.</w:t>
      </w:r>
    </w:p>
  </w:footnote>
  <w:footnote w:id="67">
    <w:p w:rsidR="00525E75" w:rsidRDefault="00525E75" w:rsidP="00AF3F9E">
      <w:pPr>
        <w:pStyle w:val="FootnoteText"/>
      </w:pPr>
      <w:r>
        <w:rPr>
          <w:rStyle w:val="FootnoteReference"/>
        </w:rPr>
        <w:footnoteRef/>
      </w:r>
      <w:r>
        <w:t xml:space="preserve"> </w:t>
      </w:r>
      <w:r>
        <w:tab/>
        <w:t>Het eerste deel van het saneringsproject dat handelt over de uitvoering van pilootproeven, is ingediend bij OVAM in oktober 2010 en conformverklaard in januari 2011.</w:t>
      </w:r>
    </w:p>
  </w:footnote>
  <w:footnote w:id="68">
    <w:p w:rsidR="00525E75" w:rsidRDefault="00525E75" w:rsidP="00AF3F9E">
      <w:pPr>
        <w:pStyle w:val="FootnoteText"/>
      </w:pPr>
      <w:r>
        <w:rPr>
          <w:rStyle w:val="FootnoteReference"/>
        </w:rPr>
        <w:footnoteRef/>
      </w:r>
      <w:r>
        <w:t xml:space="preserve"> </w:t>
      </w:r>
      <w:r>
        <w:tab/>
      </w:r>
      <w:r w:rsidRPr="00B62DE8">
        <w:t>Er dient vermeld te worden dat de simultane werking van hoger vermelde pompen zich in praktijk zelden tot nooit zal voordoen. Het totale geluidsvermogenniveau dat als basis gehanteerd is voor de overdachtsberekening, is dan ook te beschouwen als een extreme situatie</w:t>
      </w:r>
      <w:r>
        <w:t>.</w:t>
      </w:r>
    </w:p>
  </w:footnote>
  <w:footnote w:id="69">
    <w:p w:rsidR="00525E75" w:rsidRDefault="00525E75" w:rsidP="00AF3F9E">
      <w:pPr>
        <w:pStyle w:val="FootnoteText"/>
      </w:pPr>
      <w:r>
        <w:rPr>
          <w:rStyle w:val="FootnoteReference"/>
        </w:rPr>
        <w:footnoteRef/>
      </w:r>
      <w:r>
        <w:t xml:space="preserve"> </w:t>
      </w:r>
      <w:r>
        <w:tab/>
        <w:t>Merk hierbij op dat binnen een straal van 200 m omheen de inrichting geen woningen gesitueerd zijn.</w:t>
      </w:r>
    </w:p>
  </w:footnote>
  <w:footnote w:id="70">
    <w:p w:rsidR="00525E75" w:rsidRDefault="00525E75" w:rsidP="00AF3F9E">
      <w:pPr>
        <w:pStyle w:val="FootnoteText"/>
      </w:pPr>
      <w:r>
        <w:rPr>
          <w:rStyle w:val="FootnoteReference"/>
        </w:rPr>
        <w:footnoteRef/>
      </w:r>
      <w:r>
        <w:t xml:space="preserve"> </w:t>
      </w:r>
      <w:r>
        <w:tab/>
        <w:t>MER ‘</w:t>
      </w:r>
      <w:r w:rsidRPr="00313060">
        <w:t>Uitbreiding van tankterminal</w:t>
      </w:r>
      <w:r>
        <w:t>‘ Vopak Terminal ACS (PR0254), MER ‘</w:t>
      </w:r>
      <w:r w:rsidRPr="00313060">
        <w:t>Nieuw tankpark voor op- en overslag van vloeibare producten</w:t>
      </w:r>
      <w:r>
        <w:t>’ Sea Tank Terminal (PR0252) en MER ‘Petroplus’  Petroplus Refining Antwerp NV (PR0121).</w:t>
      </w:r>
    </w:p>
  </w:footnote>
  <w:footnote w:id="71">
    <w:p w:rsidR="00525E75" w:rsidRDefault="00525E75" w:rsidP="00AF3F9E">
      <w:pPr>
        <w:pStyle w:val="FootnoteText"/>
      </w:pPr>
      <w:r>
        <w:rPr>
          <w:rStyle w:val="FootnoteReference"/>
        </w:rPr>
        <w:footnoteRef/>
      </w:r>
      <w:r>
        <w:t xml:space="preserve"> </w:t>
      </w:r>
      <w:r>
        <w:tab/>
        <w:t>Voor dit beoordelingspunt wordt aangenomen dat tijdens de nacht de milieukwaliteitsnorm soms net wel gerespecteerd wordt, wat zicht vertaald in een grenswaarde = milieukwaliteitsnorm - 5 dB(A).</w:t>
      </w:r>
    </w:p>
  </w:footnote>
  <w:footnote w:id="72">
    <w:p w:rsidR="00C447E8" w:rsidRDefault="00C447E8" w:rsidP="00C447E8">
      <w:pPr>
        <w:pStyle w:val="FootnoteText"/>
      </w:pPr>
      <w:r>
        <w:rPr>
          <w:rStyle w:val="FootnoteReference"/>
        </w:rPr>
        <w:footnoteRef/>
      </w:r>
      <w:r>
        <w:t xml:space="preserve"> Gezien het gaat om berekende bijdragen van theoretische bronnen kan een lineair berekend teruggerekend worden van de bijdrage van 5,4% voor 10.000 ton zoals aangegeven in tabel </w:t>
      </w:r>
      <w:r>
        <w:fldChar w:fldCharType="begin"/>
      </w:r>
      <w:r>
        <w:instrText xml:space="preserve"> REF t_lucht_TCMR_max_berekend_woonzone \h </w:instrText>
      </w:r>
      <w:r>
        <w:fldChar w:fldCharType="separate"/>
      </w:r>
      <w:r>
        <w:t>VIII.2.21</w:t>
      </w:r>
      <w:r>
        <w:fldChar w:fldCharType="end"/>
      </w:r>
      <w:r>
        <w:t>.B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r>
      <w:rPr>
        <w:rStyle w:val="PageNumber"/>
      </w:rPr>
      <w:t xml:space="preserve">Blz. </w:t>
    </w:r>
    <w:r w:rsidR="00C325A0">
      <w:rPr>
        <w:rStyle w:val="PageNumber"/>
      </w:rPr>
      <w:fldChar w:fldCharType="begin"/>
    </w:r>
    <w:r>
      <w:rPr>
        <w:rStyle w:val="PageNumber"/>
      </w:rPr>
      <w:instrText xml:space="preserve"> PAGE </w:instrText>
    </w:r>
    <w:r w:rsidR="00C325A0">
      <w:rPr>
        <w:rStyle w:val="PageNumber"/>
      </w:rPr>
      <w:fldChar w:fldCharType="separate"/>
    </w:r>
    <w:r>
      <w:rPr>
        <w:rStyle w:val="PageNumber"/>
        <w:noProof/>
      </w:rPr>
      <w:t>1</w:t>
    </w:r>
    <w:r w:rsidR="00C325A0">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40"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76FEC">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76FEC">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525E75" w:rsidP="00376FEC">
          <w:pPr>
            <w:jc w:val="center"/>
          </w:pPr>
          <w:r w:rsidRPr="009066EF">
            <w:t>Terminologie – verklarende woordenlijst</w:t>
          </w:r>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41"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76FEC">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76FEC">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525E75" w:rsidP="00376FEC">
          <w:pPr>
            <w:jc w:val="center"/>
            <w:rPr>
              <w:smallCaps/>
              <w:sz w:val="16"/>
              <w:szCs w:val="16"/>
            </w:rPr>
          </w:pPr>
          <w:r w:rsidRPr="009066EF">
            <w:rPr>
              <w:smallCaps/>
              <w:sz w:val="16"/>
              <w:szCs w:val="16"/>
            </w:rPr>
            <w:t xml:space="preserve">I. </w:t>
          </w:r>
          <w:fldSimple w:instr=" hfdst1  \* MERGEFORMAT ">
            <w:r w:rsidR="00F077DA" w:rsidRPr="00F077DA">
              <w:rPr>
                <w:smallCaps/>
                <w:sz w:val="16"/>
                <w:szCs w:val="16"/>
              </w:rPr>
              <w:t>Algemeen</w:t>
            </w:r>
          </w:fldSimple>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42"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76FEC">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76FEC">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525E75" w:rsidP="00376FEC">
          <w:pPr>
            <w:jc w:val="center"/>
            <w:rPr>
              <w:smallCaps/>
              <w:sz w:val="16"/>
              <w:szCs w:val="16"/>
            </w:rPr>
          </w:pPr>
          <w:r w:rsidRPr="009066EF">
            <w:rPr>
              <w:smallCaps/>
              <w:sz w:val="16"/>
              <w:szCs w:val="16"/>
            </w:rPr>
            <w:t xml:space="preserve">I. </w:t>
          </w:r>
          <w:fldSimple w:instr=" hfdst1  \* MERGEFORMAT ">
            <w:r w:rsidR="00F077DA" w:rsidRPr="00F077DA">
              <w:rPr>
                <w:smallCaps/>
                <w:sz w:val="16"/>
                <w:szCs w:val="16"/>
              </w:rPr>
              <w:t>Algemeen</w:t>
            </w:r>
          </w:fldSimple>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I.10</w:t>
          </w:r>
          <w:r w:rsidR="00C325A0" w:rsidRPr="009066EF">
            <w:rPr>
              <w:rStyle w:val="PageNumber"/>
              <w:rFonts w:ascii="Arial" w:hAnsi="Arial"/>
              <w:sz w:val="16"/>
            </w:rPr>
            <w:fldChar w:fldCharType="end"/>
          </w:r>
        </w:p>
      </w:tc>
    </w:tr>
  </w:tbl>
  <w:p w:rsidR="00525E75" w:rsidRDefault="00525E75" w:rsidP="00AF3F9E"/>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p w:rsidR="00525E75" w:rsidRDefault="00525E75" w:rsidP="00AF3F9E"/>
  <w:p w:rsidR="00525E75" w:rsidRDefault="00525E75" w:rsidP="00AF3F9E"/>
  <w:p w:rsidR="00525E75" w:rsidRDefault="00525E75" w:rsidP="00AF3F9E"/>
  <w:p w:rsidR="00525E75" w:rsidRDefault="00525E75" w:rsidP="00AF3F9E"/>
  <w:p w:rsidR="00525E75" w:rsidRDefault="00525E75" w:rsidP="00AF3F9E"/>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5"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C243F6">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C243F6">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525E75" w:rsidP="00C243F6">
          <w:pPr>
            <w:jc w:val="center"/>
            <w:rPr>
              <w:szCs w:val="16"/>
            </w:rPr>
          </w:pPr>
          <w:r w:rsidRPr="009066EF">
            <w:rPr>
              <w:szCs w:val="16"/>
            </w:rPr>
            <w:t xml:space="preserve">II. </w:t>
          </w:r>
          <w:fldSimple w:instr=" hfdst2  \* MERGEFORMAT  \* MERGEFORMAT ">
            <w:r>
              <w:t>Ruimtelijke situering van de inrichting</w:t>
            </w:r>
          </w:fldSimple>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rsidTr="008D4C75">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44"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rsidTr="008D4C75">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rsidTr="008D4C75">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525E75" w:rsidP="0033067F">
          <w:pPr>
            <w:jc w:val="center"/>
          </w:pPr>
          <w:r w:rsidRPr="009066EF">
            <w:rPr>
              <w:smallCaps/>
              <w:sz w:val="16"/>
              <w:szCs w:val="16"/>
            </w:rPr>
            <w:t xml:space="preserve">II. </w:t>
          </w:r>
          <w:fldSimple w:instr=" hfdst2  \* MERGEFORMAT  \* MERGEFORMAT ">
            <w:r w:rsidR="00F077DA" w:rsidRPr="00F077DA">
              <w:rPr>
                <w:smallCaps/>
                <w:sz w:val="16"/>
              </w:rPr>
              <w:t>Ruimtelijke situering van de inrichting</w:t>
            </w:r>
          </w:fldSimple>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II.4</w:t>
          </w:r>
          <w:r w:rsidR="00C325A0" w:rsidRPr="009066EF">
            <w:rPr>
              <w:rStyle w:val="PageNumber"/>
              <w:rFonts w:ascii="Arial" w:hAnsi="Arial"/>
              <w:sz w:val="16"/>
            </w:rPr>
            <w:fldChar w:fldCharType="end"/>
          </w:r>
        </w:p>
      </w:tc>
    </w:tr>
  </w:tbl>
  <w:p w:rsidR="00525E75" w:rsidRDefault="00525E75" w:rsidP="00AF3F9E"/>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rsidTr="008D4C75">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45"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rsidTr="008D4C75">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rsidTr="008D4C75">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525E75" w:rsidP="0033067F">
          <w:pPr>
            <w:jc w:val="center"/>
          </w:pPr>
          <w:r w:rsidRPr="009066EF">
            <w:rPr>
              <w:szCs w:val="16"/>
            </w:rPr>
            <w:t xml:space="preserve">III. </w:t>
          </w:r>
          <w:fldSimple w:instr=" hfdst2bis  \* MERGEFORMAT  \* MERGEFORMAT ">
            <w:r>
              <w:t>Juridische en beleidsmatige randvoorwaarden</w:t>
            </w:r>
          </w:fldSimple>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4" w:type="dxa"/>
      <w:tblLayout w:type="fixed"/>
      <w:tblCellMar>
        <w:left w:w="0" w:type="dxa"/>
        <w:right w:w="0" w:type="dxa"/>
      </w:tblCellMar>
      <w:tblLook w:val="0000"/>
    </w:tblPr>
    <w:tblGrid>
      <w:gridCol w:w="1701"/>
      <w:gridCol w:w="10632"/>
      <w:gridCol w:w="1701"/>
    </w:tblGrid>
    <w:tr w:rsidR="00525E75" w:rsidRPr="009066EF" w:rsidTr="00CF0E27">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46"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10632"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C243F6">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rsidTr="00CF0E27">
      <w:trPr>
        <w:cantSplit/>
      </w:trPr>
      <w:tc>
        <w:tcPr>
          <w:tcW w:w="1701" w:type="dxa"/>
          <w:vMerge/>
          <w:tcBorders>
            <w:bottom w:val="single" w:sz="4" w:space="0" w:color="auto"/>
          </w:tcBorders>
          <w:vAlign w:val="center"/>
        </w:tcPr>
        <w:p w:rsidR="00525E75" w:rsidRPr="009066EF" w:rsidRDefault="00525E75" w:rsidP="00AF3F9E"/>
      </w:tc>
      <w:tc>
        <w:tcPr>
          <w:tcW w:w="10632" w:type="dxa"/>
          <w:vMerge/>
          <w:vAlign w:val="center"/>
        </w:tcPr>
        <w:p w:rsidR="00525E75" w:rsidRPr="009066EF" w:rsidRDefault="00525E75" w:rsidP="00C243F6">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rsidTr="00CF0E27">
      <w:trPr>
        <w:cantSplit/>
      </w:trPr>
      <w:tc>
        <w:tcPr>
          <w:tcW w:w="1701" w:type="dxa"/>
          <w:vMerge/>
          <w:tcBorders>
            <w:bottom w:val="single" w:sz="4" w:space="0" w:color="auto"/>
          </w:tcBorders>
          <w:vAlign w:val="center"/>
        </w:tcPr>
        <w:p w:rsidR="00525E75" w:rsidRPr="009066EF" w:rsidRDefault="00525E75" w:rsidP="00AF3F9E"/>
      </w:tc>
      <w:tc>
        <w:tcPr>
          <w:tcW w:w="10632" w:type="dxa"/>
          <w:tcBorders>
            <w:bottom w:val="single" w:sz="4" w:space="0" w:color="auto"/>
          </w:tcBorders>
          <w:vAlign w:val="center"/>
        </w:tcPr>
        <w:p w:rsidR="00525E75" w:rsidRPr="009066EF" w:rsidRDefault="00525E75" w:rsidP="00C243F6">
          <w:pPr>
            <w:jc w:val="center"/>
          </w:pPr>
          <w:r w:rsidRPr="009066EF">
            <w:rPr>
              <w:szCs w:val="16"/>
            </w:rPr>
            <w:t xml:space="preserve">III. </w:t>
          </w:r>
          <w:fldSimple w:instr=" hfdst2bis  \* MERGEFORMAT  \* MERGEFORMAT ">
            <w:r>
              <w:t>Juridische en beleidsmatige randvoorwaarden</w:t>
            </w:r>
          </w:fldSimple>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III.9</w:t>
          </w:r>
          <w:r w:rsidR="00C325A0" w:rsidRPr="009066EF">
            <w:rPr>
              <w:rStyle w:val="PageNumber"/>
              <w:rFonts w:ascii="Arial" w:hAnsi="Arial"/>
              <w:sz w:val="16"/>
            </w:rPr>
            <w:fldChar w:fldCharType="end"/>
          </w:r>
        </w:p>
      </w:tc>
    </w:tr>
  </w:tbl>
  <w:p w:rsidR="00525E75" w:rsidRDefault="00525E75" w:rsidP="00AF3F9E"/>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47"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jc w:val="center"/>
            <w:rPr>
              <w:sz w:val="16"/>
              <w:szCs w:val="16"/>
            </w:rPr>
          </w:pPr>
          <w:fldSimple w:instr=" REF  hfdst4 \h \r  \* MERGEFORMAT ">
            <w:r w:rsidR="00525E75">
              <w:t>IV</w:t>
            </w:r>
          </w:fldSimple>
          <w:r w:rsidR="00525E75" w:rsidRPr="008C34EB">
            <w:rPr>
              <w:sz w:val="16"/>
              <w:szCs w:val="16"/>
            </w:rPr>
            <w:t xml:space="preserve">. </w:t>
          </w:r>
          <w:fldSimple w:instr=" REF  hfdst4 \* Upper  \* MERGEFORMAT ">
            <w:r w:rsidR="00525E75">
              <w:t>BESCHRIJVING VAN DE INRICHTING</w:t>
            </w:r>
          </w:fldSimple>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49"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r w:rsidRPr="009066EF">
            <w:rPr>
              <w:sz w:val="24"/>
              <w:szCs w:val="24"/>
            </w:rPr>
            <w:t xml:space="preserve"> </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525E75" w:rsidP="0033067F">
          <w:pPr>
            <w:jc w:val="center"/>
            <w:rPr>
              <w:smallCaps/>
              <w:sz w:val="16"/>
              <w:szCs w:val="16"/>
            </w:rPr>
          </w:pPr>
          <w:r w:rsidRPr="009066EF">
            <w:rPr>
              <w:smallCaps/>
              <w:sz w:val="16"/>
              <w:szCs w:val="16"/>
            </w:rPr>
            <w:t xml:space="preserve">IV. </w:t>
          </w:r>
          <w:fldSimple w:instr=" REF  hfdst4 \* Upper  \* MERGEFORMAT ">
            <w:r w:rsidR="00F077DA" w:rsidRPr="00F077DA">
              <w:rPr>
                <w:smallCaps/>
                <w:sz w:val="16"/>
              </w:rPr>
              <w:t>BESCHRIJVING VAN DE INRICHTING</w:t>
            </w:r>
          </w:fldSimple>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IV.13</w:t>
          </w:r>
          <w:r w:rsidR="00C325A0" w:rsidRPr="009066EF">
            <w:rPr>
              <w:rStyle w:val="PageNumber"/>
              <w:rFonts w:ascii="Arial" w:hAnsi="Arial"/>
              <w:sz w:val="16"/>
            </w:rPr>
            <w:fldChar w:fldCharType="end"/>
          </w:r>
        </w:p>
      </w:tc>
    </w:tr>
  </w:tbl>
  <w:p w:rsidR="00525E75" w:rsidRDefault="00525E75" w:rsidP="00AF3F9E"/>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50"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656334">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656334" w:rsidRDefault="00C325A0" w:rsidP="0033067F">
          <w:pPr>
            <w:jc w:val="center"/>
            <w:rPr>
              <w:smallCaps/>
              <w:sz w:val="16"/>
              <w:szCs w:val="16"/>
              <w:lang w:val="en-GB"/>
            </w:rPr>
          </w:pPr>
          <w:fldSimple w:instr=" REF  hfdst5 \h \r  \* MERGEFORMAT ">
            <w:r w:rsidR="00525E75">
              <w:t>V</w:t>
            </w:r>
          </w:fldSimple>
          <w:r w:rsidR="00525E75" w:rsidRPr="00656334">
            <w:rPr>
              <w:smallCaps/>
              <w:sz w:val="16"/>
              <w:szCs w:val="16"/>
              <w:lang w:val="en-GB"/>
            </w:rPr>
            <w:t xml:space="preserve">. </w:t>
          </w:r>
          <w:fldSimple w:instr=" hfdst3bis \* MERGEFORMAT  \* MERGEFORMAT  \* MERGEFORMAT ">
            <w:r w:rsidR="00525E75" w:rsidRPr="00656334">
              <w:rPr>
                <w:smallCaps/>
                <w:sz w:val="16"/>
                <w:lang w:val="en-GB"/>
              </w:rPr>
              <w:t>Geplande situatie</w:t>
            </w:r>
          </w:fldSimple>
        </w:p>
      </w:tc>
      <w:tc>
        <w:tcPr>
          <w:tcW w:w="1701" w:type="dxa"/>
          <w:tcBorders>
            <w:bottom w:val="single" w:sz="4" w:space="0" w:color="auto"/>
          </w:tcBorders>
          <w:vAlign w:val="center"/>
        </w:tcPr>
        <w:p w:rsidR="00525E75" w:rsidRPr="00656334" w:rsidRDefault="00525E75" w:rsidP="00AF3F9E">
          <w:pPr>
            <w:rPr>
              <w:lang w:val="en-GB"/>
            </w:rPr>
          </w:pPr>
        </w:p>
      </w:tc>
    </w:tr>
  </w:tbl>
  <w:p w:rsidR="00525E75" w:rsidRPr="00656334" w:rsidRDefault="00525E75" w:rsidP="00AF3F9E">
    <w:pPr>
      <w:rPr>
        <w:lang w:val="en-G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51"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656334" w:rsidRDefault="00C325A0" w:rsidP="0033067F">
          <w:pPr>
            <w:jc w:val="center"/>
            <w:rPr>
              <w:smallCaps/>
              <w:sz w:val="16"/>
              <w:szCs w:val="16"/>
              <w:lang w:val="en-GB"/>
            </w:rPr>
          </w:pPr>
          <w:fldSimple w:instr=" REF  hfdst5 \h \r  \* MERGEFORMAT ">
            <w:r w:rsidR="00525E75">
              <w:t>V</w:t>
            </w:r>
          </w:fldSimple>
          <w:r w:rsidR="00525E75" w:rsidRPr="00656334">
            <w:rPr>
              <w:smallCaps/>
              <w:sz w:val="16"/>
              <w:szCs w:val="16"/>
              <w:lang w:val="en-GB"/>
            </w:rPr>
            <w:t xml:space="preserve">. </w:t>
          </w:r>
          <w:fldSimple w:instr=" hfdst3bis \* MERGEFORMAT  \* MERGEFORMAT  \* MERGEFORMAT ">
            <w:r w:rsidR="00525E75" w:rsidRPr="00656334">
              <w:rPr>
                <w:smallCaps/>
                <w:sz w:val="16"/>
                <w:lang w:val="en-GB"/>
              </w:rPr>
              <w:t>Geplande situatie</w:t>
            </w:r>
          </w:fldSimple>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V.4</w:t>
          </w:r>
          <w:r w:rsidR="00C325A0" w:rsidRPr="009066EF">
            <w:rPr>
              <w:rStyle w:val="PageNumber"/>
              <w:rFonts w:ascii="Arial" w:hAnsi="Arial"/>
              <w:sz w:val="16"/>
            </w:rPr>
            <w:fldChar w:fldCharType="end"/>
          </w:r>
        </w:p>
      </w:tc>
    </w:tr>
  </w:tbl>
  <w:p w:rsidR="00525E75" w:rsidRDefault="00525E75" w:rsidP="00AF3F9E"/>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52"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pStyle w:val="Header"/>
          </w:pPr>
          <w:fldSimple w:instr=" REF hfdst4 \r \h  \* MERGEFORMAT ">
            <w:r w:rsidR="00525E75">
              <w:t>IV</w:t>
            </w:r>
          </w:fldSimple>
          <w:r w:rsidR="00525E75" w:rsidRPr="009066EF">
            <w:t xml:space="preserve">. </w:t>
          </w:r>
          <w:r>
            <w:fldChar w:fldCharType="begin"/>
          </w:r>
          <w:r w:rsidR="00F077DA">
            <w:instrText xml:space="preserve"> hfdst4</w:instrText>
          </w:r>
          <w:r>
            <w:fldChar w:fldCharType="separate"/>
          </w:r>
          <w:r w:rsidR="00525E75">
            <w:t>Beschrijving van de inrichting</w:t>
          </w:r>
          <w:r>
            <w:fldChar w:fldCharType="end"/>
          </w:r>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53"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pStyle w:val="Header"/>
          </w:pPr>
          <w:fldSimple w:instr=" REF  hfdst6 \h \r  \* MERGEFORMAT ">
            <w:r w:rsidR="00525E75">
              <w:t>VI</w:t>
            </w:r>
          </w:fldSimple>
          <w:r w:rsidR="00525E75" w:rsidRPr="009066EF">
            <w:t xml:space="preserve">. </w:t>
          </w:r>
          <w:fldSimple w:instr=" REF  hfdst6  \* MERGEFORMAT ">
            <w:r w:rsidR="00525E75">
              <w:t>Beschrijving van overwogen alternatieven</w:t>
            </w:r>
          </w:fldSimple>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VI.2</w:t>
          </w:r>
          <w:r w:rsidR="00C325A0" w:rsidRPr="009066EF">
            <w:rPr>
              <w:rStyle w:val="PageNumber"/>
              <w:rFonts w:ascii="Arial" w:hAnsi="Arial"/>
              <w:sz w:val="16"/>
            </w:rPr>
            <w:fldChar w:fldCharType="end"/>
          </w:r>
        </w:p>
      </w:tc>
    </w:tr>
  </w:tbl>
  <w:p w:rsidR="00525E75" w:rsidRDefault="00525E75" w:rsidP="00AF3F9E"/>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25"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6E093A">
          <w:pPr>
            <w:jc w:val="left"/>
            <w:rPr>
              <w:sz w:val="24"/>
              <w:szCs w:val="24"/>
            </w:rPr>
          </w:pPr>
          <w:r>
            <w:t>Vopak Terminal Eurotank</w:t>
          </w:r>
        </w:p>
      </w:tc>
      <w:tc>
        <w:tcPr>
          <w:tcW w:w="5670" w:type="dxa"/>
          <w:vMerge w:val="restart"/>
          <w:tcBorders>
            <w:top w:val="single" w:sz="4" w:space="0" w:color="auto"/>
          </w:tcBorders>
          <w:vAlign w:val="center"/>
        </w:tcPr>
        <w:p w:rsidR="00525E75" w:rsidRPr="009B6781" w:rsidRDefault="00525E75" w:rsidP="00525E75">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Pr="00525E75">
            <w:rPr>
              <w:b/>
              <w:smallCaps/>
              <w:sz w:val="16"/>
              <w:szCs w:val="16"/>
            </w:rPr>
            <w:t>Hervergunning</w:t>
          </w:r>
          <w:r>
            <w:t xml:space="preserve"> </w:t>
          </w:r>
          <w:r w:rsidRPr="00525E75">
            <w:rPr>
              <w:b/>
              <w:smallCaps/>
              <w:sz w:val="16"/>
              <w:szCs w:val="16"/>
            </w:rPr>
            <w:t>en uitbreiding</w:t>
          </w:r>
        </w:p>
        <w:p w:rsidR="00525E75" w:rsidRPr="001F15AD" w:rsidRDefault="00C325A0" w:rsidP="00C243F6">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AF3F9E"/>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tcBorders>
            <w:bottom w:val="single" w:sz="4" w:space="0" w:color="auto"/>
          </w:tcBorders>
          <w:vAlign w:val="center"/>
        </w:tcPr>
        <w:p w:rsidR="00525E75" w:rsidRPr="009066EF" w:rsidRDefault="00525E75" w:rsidP="00AF3F9E"/>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54"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pStyle w:val="Header"/>
          </w:pPr>
          <w:fldSimple w:instr=" REF  hfdst7 \h \r  \* MERGEFORMAT ">
            <w:r w:rsidR="00525E75">
              <w:t>VII</w:t>
            </w:r>
          </w:fldSimple>
          <w:r w:rsidR="00525E75" w:rsidRPr="009066EF">
            <w:t xml:space="preserve">. </w:t>
          </w:r>
          <w:fldSimple w:instr=" REF  hfdst7  \* MERGEFORMAT ">
            <w:r w:rsidR="00525E75">
              <w:t>ingreep-effectanalyse</w:t>
            </w:r>
          </w:fldSimple>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55"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pStyle w:val="Header"/>
          </w:pPr>
          <w:fldSimple w:instr=" REF  hfdst7 \h \r  \* MERGEFORMAT ">
            <w:r w:rsidR="00525E75">
              <w:t>VII</w:t>
            </w:r>
          </w:fldSimple>
          <w:r w:rsidR="00525E75" w:rsidRPr="009066EF">
            <w:t xml:space="preserve">. </w:t>
          </w:r>
          <w:fldSimple w:instr=" REF  hfdst7  \* MERGEFORMAT ">
            <w:r w:rsidR="00525E75">
              <w:t>ingreep-effectanalyse</w:t>
            </w:r>
          </w:fldSimple>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VII.2</w:t>
          </w:r>
          <w:r w:rsidR="00C325A0" w:rsidRPr="009066EF">
            <w:rPr>
              <w:rStyle w:val="PageNumber"/>
              <w:rFonts w:ascii="Arial" w:hAnsi="Arial"/>
              <w:sz w:val="16"/>
            </w:rPr>
            <w:fldChar w:fldCharType="end"/>
          </w:r>
        </w:p>
      </w:tc>
    </w:tr>
  </w:tbl>
  <w:p w:rsidR="00525E75" w:rsidRDefault="00525E75" w:rsidP="00AF3F9E"/>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pStyle w:val="Header"/>
          </w:pPr>
          <w:fldSimple w:instr=" REF  hfdst8 \h \r  \* MERGEFORMAT ">
            <w:r w:rsidR="00525E75">
              <w:t>VIII</w:t>
            </w:r>
          </w:fldSimple>
          <w:r w:rsidR="00525E75" w:rsidRPr="009066EF">
            <w:t xml:space="preserve">. </w:t>
          </w:r>
          <w:fldSimple w:instr=" REF  hfdst8  \* MERGEFORMAT ">
            <w:r w:rsidR="00525E75">
              <w:t xml:space="preserve"> Effectvoorspelling en -beoordeling</w:t>
            </w:r>
          </w:fldSimple>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rsidTr="007D2979">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56"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rsidTr="007D2979">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rsidTr="007D2979">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pStyle w:val="Header"/>
          </w:pPr>
          <w:fldSimple w:instr=" REF  hfdst8 \h \r  \* MERGEFORMAT ">
            <w:r w:rsidR="00525E75">
              <w:t>VIII</w:t>
            </w:r>
          </w:fldSimple>
          <w:r w:rsidR="00525E75" w:rsidRPr="009066EF">
            <w:t xml:space="preserve">. </w:t>
          </w:r>
          <w:fldSimple w:instr=" REF  hfdst8  \* MERGEFORMAT ">
            <w:r w:rsidR="00525E75">
              <w:t xml:space="preserve"> Effectvoorspelling en -beoordeling</w:t>
            </w:r>
          </w:fldSimple>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VIII.76</w:t>
          </w:r>
          <w:r w:rsidR="00C325A0" w:rsidRPr="009066EF">
            <w:rPr>
              <w:rStyle w:val="PageNumber"/>
              <w:rFonts w:ascii="Arial" w:hAnsi="Arial"/>
              <w:sz w:val="16"/>
            </w:rPr>
            <w:fldChar w:fldCharType="end"/>
          </w:r>
        </w:p>
      </w:tc>
    </w:tr>
  </w:tbl>
  <w:p w:rsidR="00525E75" w:rsidRDefault="00525E75" w:rsidP="00AF3F9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57"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pStyle w:val="Header"/>
          </w:pPr>
          <w:fldSimple w:instr=" REF  hfdst9 \h \r  \* MERGEFORMAT ">
            <w:r w:rsidR="00525E75">
              <w:t>IX</w:t>
            </w:r>
          </w:fldSimple>
          <w:r w:rsidR="00525E75" w:rsidRPr="009066EF">
            <w:t xml:space="preserve">. </w:t>
          </w:r>
          <w:fldSimple w:instr=" REF  hfdst9  \* MERGEFORMAT ">
            <w:r w:rsidR="00525E75">
              <w:t>Grensoverschrijdende effecten</w:t>
            </w:r>
          </w:fldSimple>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60"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pStyle w:val="Header"/>
          </w:pPr>
          <w:fldSimple w:instr=" REF  hfdst9 \h \r  \* MERGEFORMAT ">
            <w:r w:rsidR="00525E75">
              <w:t>IX</w:t>
            </w:r>
          </w:fldSimple>
          <w:r w:rsidR="00525E75" w:rsidRPr="009066EF">
            <w:t xml:space="preserve">. </w:t>
          </w:r>
          <w:fldSimple w:instr=" REF  hfdst9  \* MERGEFORMAT ">
            <w:r w:rsidR="00525E75">
              <w:t>Grensoverschrijdende effecten</w:t>
            </w:r>
          </w:fldSimple>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IX.1</w:t>
          </w:r>
          <w:r w:rsidR="00C325A0" w:rsidRPr="009066EF">
            <w:rPr>
              <w:rStyle w:val="PageNumber"/>
              <w:rFonts w:ascii="Arial" w:hAnsi="Arial"/>
              <w:sz w:val="16"/>
            </w:rPr>
            <w:fldChar w:fldCharType="end"/>
          </w:r>
        </w:p>
      </w:tc>
    </w:tr>
  </w:tbl>
  <w:p w:rsidR="00525E75" w:rsidRDefault="00525E75" w:rsidP="00AF3F9E"/>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63"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pStyle w:val="Header"/>
          </w:pPr>
          <w:fldSimple w:instr=" REF hfdst10 \r \h  \* MERGEFORMAT ">
            <w:r w:rsidR="00525E75">
              <w:t>X</w:t>
            </w:r>
          </w:fldSimple>
          <w:r w:rsidR="00525E75" w:rsidRPr="009066EF">
            <w:t xml:space="preserve">. </w:t>
          </w:r>
          <w:r>
            <w:fldChar w:fldCharType="begin"/>
          </w:r>
          <w:r w:rsidR="00F077DA">
            <w:instrText xml:space="preserve"> hfdst10</w:instrText>
          </w:r>
          <w:r>
            <w:fldChar w:fldCharType="separate"/>
          </w:r>
          <w:r w:rsidR="00525E75">
            <w:t>Leemten in de kennis</w:t>
          </w:r>
          <w:r>
            <w:fldChar w:fldCharType="end"/>
          </w:r>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X.1</w:t>
          </w:r>
          <w:r w:rsidR="00C325A0" w:rsidRPr="009066EF">
            <w:rPr>
              <w:rStyle w:val="PageNumber"/>
              <w:rFonts w:ascii="Arial" w:hAnsi="Arial"/>
              <w:sz w:val="16"/>
            </w:rPr>
            <w:fldChar w:fldCharType="end"/>
          </w:r>
        </w:p>
      </w:tc>
    </w:tr>
  </w:tbl>
  <w:p w:rsidR="00525E75" w:rsidRDefault="00525E75" w:rsidP="00AF3F9E"/>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64"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pStyle w:val="Header"/>
          </w:pPr>
          <w:fldSimple w:instr=" REF hfdst10 \r \h  \* MERGEFORMAT ">
            <w:r w:rsidR="00525E75">
              <w:t>X</w:t>
            </w:r>
          </w:fldSimple>
          <w:r w:rsidR="00525E75" w:rsidRPr="009066EF">
            <w:t xml:space="preserve">. </w:t>
          </w:r>
          <w:r>
            <w:fldChar w:fldCharType="begin"/>
          </w:r>
          <w:r w:rsidR="00F077DA">
            <w:instrText xml:space="preserve"> hfdst10</w:instrText>
          </w:r>
          <w:r>
            <w:fldChar w:fldCharType="separate"/>
          </w:r>
          <w:r w:rsidR="00525E75">
            <w:t>Leemten in de kennis</w:t>
          </w:r>
          <w:r>
            <w:fldChar w:fldCharType="end"/>
          </w:r>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X.1</w:t>
          </w:r>
          <w:r w:rsidR="00C325A0" w:rsidRPr="009066EF">
            <w:rPr>
              <w:rStyle w:val="PageNumber"/>
              <w:rFonts w:ascii="Arial" w:hAnsi="Arial"/>
              <w:sz w:val="16"/>
            </w:rPr>
            <w:fldChar w:fldCharType="end"/>
          </w:r>
        </w:p>
      </w:tc>
    </w:tr>
  </w:tbl>
  <w:p w:rsidR="00525E75" w:rsidRDefault="00525E75" w:rsidP="00AF3F9E"/>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65"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pStyle w:val="Header"/>
          </w:pPr>
          <w:fldSimple w:instr=" REF hfdst11 \r \h  \* MERGEFORMAT ">
            <w:r w:rsidR="00525E75">
              <w:t>XI</w:t>
            </w:r>
          </w:fldSimple>
          <w:r w:rsidR="00525E75" w:rsidRPr="009066EF">
            <w:t xml:space="preserve">. </w:t>
          </w:r>
          <w:r>
            <w:fldChar w:fldCharType="begin"/>
          </w:r>
          <w:r w:rsidR="00F077DA">
            <w:instrText xml:space="preserve"> hfdst11</w:instrText>
          </w:r>
          <w:r>
            <w:fldChar w:fldCharType="separate"/>
          </w:r>
          <w:r w:rsidR="00525E75">
            <w:t>Postmonitoring en -evaluatie</w:t>
          </w:r>
          <w:r>
            <w:fldChar w:fldCharType="end"/>
          </w:r>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35"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525E75" w:rsidRPr="009B6781" w:rsidRDefault="00525E75" w:rsidP="00525E75">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Pr="00525E75">
            <w:rPr>
              <w:b/>
              <w:smallCaps/>
              <w:sz w:val="16"/>
              <w:szCs w:val="16"/>
            </w:rPr>
            <w:t>Hervergunning</w:t>
          </w:r>
          <w:r>
            <w:t xml:space="preserve"> </w:t>
          </w:r>
          <w:r w:rsidRPr="00525E75">
            <w:rPr>
              <w:b/>
              <w:smallCaps/>
              <w:sz w:val="16"/>
              <w:szCs w:val="16"/>
            </w:rPr>
            <w:t>en uitbreiding</w:t>
          </w:r>
        </w:p>
        <w:p w:rsidR="00525E75" w:rsidRPr="001F15AD" w:rsidRDefault="00C325A0" w:rsidP="0029137A">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AF3F9E"/>
      </w:tc>
      <w:tc>
        <w:tcPr>
          <w:tcW w:w="1701" w:type="dxa"/>
          <w:vAlign w:val="center"/>
        </w:tcPr>
        <w:p w:rsidR="00525E75" w:rsidRPr="009066EF" w:rsidRDefault="00525E75" w:rsidP="00AF3F9E"/>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tcBorders>
            <w:bottom w:val="single" w:sz="4" w:space="0" w:color="auto"/>
          </w:tcBorders>
          <w:vAlign w:val="center"/>
        </w:tcPr>
        <w:p w:rsidR="00525E75" w:rsidRPr="009066EF" w:rsidRDefault="00525E75" w:rsidP="00AF3F9E"/>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66"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pStyle w:val="Header"/>
          </w:pPr>
          <w:fldSimple w:instr=" REF hfdst11 \r \h  \* MERGEFORMAT ">
            <w:r w:rsidR="00525E75">
              <w:t>XI</w:t>
            </w:r>
          </w:fldSimple>
          <w:r w:rsidR="00525E75" w:rsidRPr="009066EF">
            <w:t xml:space="preserve">. </w:t>
          </w:r>
          <w:r>
            <w:fldChar w:fldCharType="begin"/>
          </w:r>
          <w:r w:rsidR="00F077DA">
            <w:instrText xml:space="preserve"> hfdst11</w:instrText>
          </w:r>
          <w:r>
            <w:fldChar w:fldCharType="separate"/>
          </w:r>
          <w:r w:rsidR="00525E75">
            <w:t>Postmonitoring en -evaluatie</w:t>
          </w:r>
          <w:r>
            <w:fldChar w:fldCharType="end"/>
          </w:r>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XI.2</w:t>
          </w:r>
          <w:r w:rsidR="00C325A0" w:rsidRPr="009066EF">
            <w:rPr>
              <w:rStyle w:val="PageNumber"/>
              <w:rFonts w:ascii="Arial" w:hAnsi="Arial"/>
              <w:sz w:val="16"/>
            </w:rPr>
            <w:fldChar w:fldCharType="end"/>
          </w:r>
        </w:p>
      </w:tc>
    </w:tr>
  </w:tbl>
  <w:p w:rsidR="00525E75" w:rsidRDefault="00525E75" w:rsidP="00AF3F9E"/>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67"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682010" w:rsidRDefault="00C325A0" w:rsidP="0033067F">
          <w:pPr>
            <w:jc w:val="center"/>
            <w:rPr>
              <w:sz w:val="18"/>
              <w:szCs w:val="18"/>
            </w:rPr>
          </w:pPr>
          <w:fldSimple w:instr=" REF hfdst12 \r \h  \* MERGEFORMAT ">
            <w:r w:rsidR="00F077DA" w:rsidRPr="00F077DA">
              <w:rPr>
                <w:sz w:val="18"/>
                <w:szCs w:val="18"/>
              </w:rPr>
              <w:t>XII</w:t>
            </w:r>
          </w:fldSimple>
          <w:r w:rsidR="00525E75" w:rsidRPr="00682010">
            <w:rPr>
              <w:sz w:val="18"/>
              <w:szCs w:val="18"/>
            </w:rPr>
            <w:t xml:space="preserve">. </w:t>
          </w:r>
          <w:fldSimple w:instr=" hfdst12 \* MERGEFORMAT ">
            <w:r w:rsidR="00F077DA" w:rsidRPr="00F077DA">
              <w:rPr>
                <w:rStyle w:val="HeaderChar"/>
                <w:rFonts w:ascii="Calibri" w:hAnsi="Calibri"/>
              </w:rPr>
              <w:t>Integratie en eindsynthese</w:t>
            </w:r>
          </w:fldSimple>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68"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C325A0" w:rsidP="0033067F">
          <w:pPr>
            <w:jc w:val="center"/>
            <w:rPr>
              <w:smallCaps/>
              <w:sz w:val="18"/>
              <w:szCs w:val="18"/>
            </w:rPr>
          </w:pPr>
          <w:fldSimple w:instr=" REF hfdst12 \r \h  \* MERGEFORMAT ">
            <w:r w:rsidR="00F077DA" w:rsidRPr="00F077DA">
              <w:rPr>
                <w:sz w:val="18"/>
                <w:szCs w:val="18"/>
              </w:rPr>
              <w:t>XII</w:t>
            </w:r>
          </w:fldSimple>
          <w:r w:rsidR="00525E75" w:rsidRPr="00682010">
            <w:rPr>
              <w:sz w:val="18"/>
              <w:szCs w:val="18"/>
            </w:rPr>
            <w:t xml:space="preserve">. </w:t>
          </w:r>
          <w:fldSimple w:instr=" hfdst12 \* MERGEFORMAT ">
            <w:r w:rsidR="00F077DA" w:rsidRPr="00F077DA">
              <w:rPr>
                <w:rStyle w:val="HeaderChar"/>
                <w:rFonts w:ascii="Calibri" w:hAnsi="Calibri"/>
              </w:rPr>
              <w:t>Integratie en eindsynthese</w:t>
            </w:r>
          </w:fldSimple>
        </w:p>
      </w:tc>
      <w:tc>
        <w:tcPr>
          <w:tcW w:w="1701" w:type="dxa"/>
          <w:tcBorders>
            <w:bottom w:val="single" w:sz="4" w:space="0" w:color="auto"/>
          </w:tcBorders>
          <w:vAlign w:val="center"/>
        </w:tcPr>
        <w:p w:rsidR="00525E75" w:rsidRPr="009066EF" w:rsidRDefault="00525E75" w:rsidP="00AF3F9E">
          <w:pPr>
            <w:rPr>
              <w:szCs w:val="16"/>
            </w:rPr>
          </w:pPr>
          <w:r w:rsidRPr="009066EF">
            <w:rPr>
              <w:szCs w:val="16"/>
            </w:rPr>
            <w:t xml:space="preserve">p. </w:t>
          </w:r>
          <w:r w:rsidR="00C325A0" w:rsidRPr="009066EF">
            <w:rPr>
              <w:rStyle w:val="PageNumber"/>
              <w:rFonts w:ascii="Arial" w:hAnsi="Arial"/>
              <w:sz w:val="16"/>
            </w:rPr>
            <w:fldChar w:fldCharType="begin"/>
          </w:r>
          <w:r w:rsidRPr="009066EF">
            <w:rPr>
              <w:rStyle w:val="PageNumber"/>
              <w:rFonts w:ascii="Arial" w:hAnsi="Arial"/>
              <w:sz w:val="16"/>
            </w:rPr>
            <w:instrText xml:space="preserve"> PAGE </w:instrText>
          </w:r>
          <w:r w:rsidR="00C325A0" w:rsidRPr="009066EF">
            <w:rPr>
              <w:rStyle w:val="PageNumber"/>
              <w:rFonts w:ascii="Arial" w:hAnsi="Arial"/>
              <w:sz w:val="16"/>
            </w:rPr>
            <w:fldChar w:fldCharType="separate"/>
          </w:r>
          <w:r w:rsidR="00C447E8">
            <w:rPr>
              <w:rStyle w:val="PageNumber"/>
              <w:rFonts w:ascii="Arial" w:hAnsi="Arial"/>
              <w:noProof/>
              <w:sz w:val="16"/>
            </w:rPr>
            <w:t>XII.5</w:t>
          </w:r>
          <w:r w:rsidR="00C325A0" w:rsidRPr="009066EF">
            <w:rPr>
              <w:rStyle w:val="PageNumber"/>
              <w:rFonts w:ascii="Arial" w:hAnsi="Arial"/>
              <w:sz w:val="16"/>
            </w:rPr>
            <w:fldChar w:fldCharType="end"/>
          </w:r>
        </w:p>
      </w:tc>
    </w:tr>
  </w:tbl>
  <w:p w:rsidR="00525E75" w:rsidRDefault="00525E75" w:rsidP="00AF3F9E"/>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38"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29137A">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AF3F9E"/>
      </w:tc>
      <w:tc>
        <w:tcPr>
          <w:tcW w:w="1701" w:type="dxa"/>
          <w:vAlign w:val="center"/>
        </w:tcPr>
        <w:p w:rsidR="00525E75" w:rsidRPr="009066EF" w:rsidRDefault="00525E75" w:rsidP="00AF3F9E"/>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tcBorders>
            <w:bottom w:val="single" w:sz="4" w:space="0" w:color="auto"/>
          </w:tcBorders>
          <w:vAlign w:val="center"/>
        </w:tcPr>
        <w:p w:rsidR="00525E75" w:rsidRPr="009066EF" w:rsidRDefault="00525E75" w:rsidP="00AF3F9E"/>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69"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D50DEA" w:rsidRDefault="00C325A0" w:rsidP="0033067F">
          <w:pPr>
            <w:jc w:val="center"/>
            <w:rPr>
              <w:smallCaps/>
              <w:sz w:val="16"/>
              <w:szCs w:val="16"/>
            </w:rPr>
          </w:pPr>
          <w:fldSimple w:instr=" REF hfdst13 \r \h  \* MERGEFORMAT ">
            <w:r w:rsidR="00F077DA" w:rsidRPr="00F077DA">
              <w:rPr>
                <w:sz w:val="18"/>
                <w:szCs w:val="18"/>
              </w:rPr>
              <w:t>XIII</w:t>
            </w:r>
          </w:fldSimple>
          <w:r w:rsidR="00525E75" w:rsidRPr="00682010">
            <w:rPr>
              <w:sz w:val="18"/>
              <w:szCs w:val="18"/>
            </w:rPr>
            <w:t xml:space="preserve">. </w:t>
          </w:r>
          <w:fldSimple w:instr=" hfdst13 \* MERGEFORMAT ">
            <w:r w:rsidR="00F077DA" w:rsidRPr="00F077DA">
              <w:rPr>
                <w:rStyle w:val="HeaderChar"/>
                <w:rFonts w:ascii="Calibri" w:hAnsi="Calibri"/>
              </w:rPr>
              <w:t>Niet technische samenvatting</w:t>
            </w:r>
          </w:fldSimple>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70"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D50DEA" w:rsidRDefault="00525E75" w:rsidP="0033067F">
          <w:pPr>
            <w:jc w:val="center"/>
          </w:pPr>
          <w:r>
            <w:t>BIJLAGEN</w:t>
          </w:r>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71"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D50DEA" w:rsidRDefault="00525E75" w:rsidP="0033067F">
          <w:pPr>
            <w:jc w:val="center"/>
          </w:pPr>
          <w:r>
            <w:t>FIGUREN</w:t>
          </w:r>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72"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D50DEA" w:rsidRDefault="00525E75" w:rsidP="0033067F">
          <w:pPr>
            <w:jc w:val="center"/>
          </w:pPr>
          <w:r>
            <w:t>TABELLEN</w:t>
          </w:r>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 w:rsidR="00525E75" w:rsidRDefault="00525E75" w:rsidP="00AF3F9E">
          <w:pPr>
            <w:rPr>
              <w:color w:val="FF0000"/>
              <w:sz w:val="16"/>
              <w:szCs w:val="16"/>
            </w:rPr>
          </w:pPr>
          <w:r>
            <w:t xml:space="preserve">Van </w:t>
          </w:r>
          <w:r w:rsidRPr="00CB067B">
            <w:rPr>
              <w:noProof/>
            </w:rPr>
            <w:drawing>
              <wp:inline distT="0" distB="0" distL="0" distR="0">
                <wp:extent cx="778515" cy="528504"/>
                <wp:effectExtent l="19050" t="0" r="2535" b="0"/>
                <wp:docPr id="2673"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3067F">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33067F">
          <w:pPr>
            <w:jc w:val="center"/>
          </w:pPr>
        </w:p>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525E75" w:rsidP="0033067F">
          <w:pPr>
            <w:jc w:val="center"/>
          </w:pPr>
          <w:r w:rsidRPr="009066EF">
            <w:t>Referenties</w:t>
          </w:r>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75" w:rsidRDefault="00525E75" w:rsidP="00AF3F9E"/>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1701"/>
      <w:gridCol w:w="5670"/>
      <w:gridCol w:w="1701"/>
    </w:tblGrid>
    <w:tr w:rsidR="00525E75" w:rsidRPr="009066EF">
      <w:trPr>
        <w:cantSplit/>
      </w:trPr>
      <w:tc>
        <w:tcPr>
          <w:tcW w:w="1701" w:type="dxa"/>
          <w:vMerge w:val="restart"/>
          <w:tcBorders>
            <w:top w:val="single" w:sz="4" w:space="0" w:color="auto"/>
            <w:bottom w:val="single" w:sz="4" w:space="0" w:color="auto"/>
          </w:tcBorders>
          <w:vAlign w:val="center"/>
        </w:tcPr>
        <w:p w:rsidR="00525E75" w:rsidRDefault="00525E75" w:rsidP="00AF3F9E">
          <w:pPr>
            <w:rPr>
              <w:rFonts w:ascii="Swis721 Blk BT" w:hAnsi="Swis721 Blk BT"/>
              <w:color w:val="FF0000"/>
              <w:sz w:val="16"/>
              <w:szCs w:val="16"/>
            </w:rPr>
          </w:pPr>
          <w:r w:rsidRPr="00CB067B">
            <w:rPr>
              <w:noProof/>
            </w:rPr>
            <w:drawing>
              <wp:inline distT="0" distB="0" distL="0" distR="0">
                <wp:extent cx="778515" cy="528504"/>
                <wp:effectExtent l="19050" t="0" r="2535" b="0"/>
                <wp:docPr id="2639" name="Picture 49" descr="logo-without-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out-tagline.jpg"/>
                        <pic:cNvPicPr/>
                      </pic:nvPicPr>
                      <pic:blipFill>
                        <a:blip r:embed="rId1" cstate="print"/>
                        <a:srcRect l="15679" t="14706" r="16233" b="17647"/>
                        <a:stretch>
                          <a:fillRect/>
                        </a:stretch>
                      </pic:blipFill>
                      <pic:spPr>
                        <a:xfrm>
                          <a:off x="0" y="0"/>
                          <a:ext cx="786545" cy="533955"/>
                        </a:xfrm>
                        <a:prstGeom prst="rect">
                          <a:avLst/>
                        </a:prstGeom>
                      </pic:spPr>
                    </pic:pic>
                  </a:graphicData>
                </a:graphic>
              </wp:inline>
            </w:drawing>
          </w:r>
        </w:p>
        <w:p w:rsidR="00525E75" w:rsidRPr="009066EF" w:rsidRDefault="00525E75" w:rsidP="00AF3F9E">
          <w:pPr>
            <w:rPr>
              <w:sz w:val="24"/>
              <w:szCs w:val="24"/>
            </w:rPr>
          </w:pPr>
          <w:r>
            <w:t>Vopak Terminal Eurotank</w:t>
          </w:r>
        </w:p>
      </w:tc>
      <w:tc>
        <w:tcPr>
          <w:tcW w:w="5670" w:type="dxa"/>
          <w:vMerge w:val="restart"/>
          <w:tcBorders>
            <w:top w:val="single" w:sz="4" w:space="0" w:color="auto"/>
          </w:tcBorders>
          <w:vAlign w:val="center"/>
        </w:tcPr>
        <w:p w:rsidR="00F077DA" w:rsidRDefault="00525E75" w:rsidP="00F077DA">
          <w:pPr>
            <w:jc w:val="center"/>
          </w:pPr>
          <w:r w:rsidRPr="009066EF">
            <w:rPr>
              <w:b/>
              <w:smallCaps/>
              <w:sz w:val="16"/>
              <w:szCs w:val="16"/>
            </w:rPr>
            <w:t>Project-MER</w:t>
          </w:r>
          <w:r w:rsidRPr="009066EF">
            <w:rPr>
              <w:b/>
              <w:smallCaps/>
              <w:sz w:val="16"/>
              <w:szCs w:val="16"/>
            </w:rPr>
            <w:br/>
          </w:r>
          <w:r w:rsidR="00C325A0">
            <w:fldChar w:fldCharType="begin"/>
          </w:r>
          <w:r>
            <w:instrText xml:space="preserve"> titel  \* MERGEFORMAT  \* MERGEFORMAT  \* MERGEFORMAT </w:instrText>
          </w:r>
          <w:r w:rsidR="00C325A0">
            <w:fldChar w:fldCharType="separate"/>
          </w:r>
          <w:r w:rsidR="00F077DA" w:rsidRPr="00F077DA">
            <w:rPr>
              <w:b/>
              <w:smallCaps/>
              <w:sz w:val="16"/>
              <w:szCs w:val="16"/>
            </w:rPr>
            <w:t>Hervergunning</w:t>
          </w:r>
          <w:r>
            <w:t xml:space="preserve"> </w:t>
          </w:r>
          <w:r w:rsidR="00F077DA" w:rsidRPr="00F077DA">
            <w:rPr>
              <w:b/>
              <w:smallCaps/>
              <w:sz w:val="16"/>
              <w:szCs w:val="16"/>
            </w:rPr>
            <w:t>en uitbreiding</w:t>
          </w:r>
        </w:p>
        <w:p w:rsidR="00525E75" w:rsidRPr="001F15AD" w:rsidRDefault="00C325A0" w:rsidP="00376FEC">
          <w:pPr>
            <w:jc w:val="center"/>
            <w:rPr>
              <w:b/>
              <w:smallCaps/>
              <w:sz w:val="16"/>
              <w:szCs w:val="16"/>
            </w:rPr>
          </w:pPr>
          <w:r>
            <w:fldChar w:fldCharType="end"/>
          </w:r>
        </w:p>
      </w:tc>
      <w:tc>
        <w:tcPr>
          <w:tcW w:w="1701" w:type="dxa"/>
          <w:tcBorders>
            <w:top w:val="single" w:sz="4" w:space="0" w:color="auto"/>
          </w:tcBorders>
          <w:vAlign w:val="center"/>
        </w:tcPr>
        <w:p w:rsidR="00525E75" w:rsidRPr="009066EF" w:rsidRDefault="00525E75" w:rsidP="00AF3F9E">
          <w:r w:rsidRPr="009066EF">
            <w:t xml:space="preserve">Uitgave: </w:t>
          </w:r>
          <w:r w:rsidR="00C325A0">
            <w:fldChar w:fldCharType="begin"/>
          </w:r>
          <w:r w:rsidR="00F077DA">
            <w:instrText xml:space="preserve"> uitgave </w:instrText>
          </w:r>
          <w:r w:rsidR="00C325A0">
            <w:fldChar w:fldCharType="separate"/>
          </w:r>
          <w:r>
            <w:rPr>
              <w:noProof/>
              <w:lang w:val="en-GB"/>
            </w:rPr>
            <w:t>19/12/2011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vMerge/>
          <w:vAlign w:val="center"/>
        </w:tcPr>
        <w:p w:rsidR="00525E75" w:rsidRPr="009066EF" w:rsidRDefault="00525E75" w:rsidP="00AF3F9E"/>
      </w:tc>
      <w:tc>
        <w:tcPr>
          <w:tcW w:w="1701" w:type="dxa"/>
          <w:vAlign w:val="center"/>
        </w:tcPr>
        <w:p w:rsidR="00525E75" w:rsidRPr="009066EF" w:rsidRDefault="00525E75" w:rsidP="00AF3F9E">
          <w:r w:rsidRPr="009066EF">
            <w:t xml:space="preserve">Revisie: </w:t>
          </w:r>
          <w:r w:rsidR="00C325A0">
            <w:fldChar w:fldCharType="begin"/>
          </w:r>
          <w:r w:rsidR="00F077DA">
            <w:instrText xml:space="preserve"> revisie </w:instrText>
          </w:r>
          <w:r w:rsidR="00C325A0">
            <w:fldChar w:fldCharType="separate"/>
          </w:r>
          <w:r>
            <w:rPr>
              <w:lang w:val="nl-NL"/>
            </w:rPr>
            <w:t>ev. 0.1</w:t>
          </w:r>
          <w:r w:rsidR="00C325A0">
            <w:fldChar w:fldCharType="end"/>
          </w:r>
        </w:p>
      </w:tc>
    </w:tr>
    <w:tr w:rsidR="00525E75" w:rsidRPr="009066EF">
      <w:trPr>
        <w:cantSplit/>
      </w:trPr>
      <w:tc>
        <w:tcPr>
          <w:tcW w:w="1701" w:type="dxa"/>
          <w:vMerge/>
          <w:tcBorders>
            <w:bottom w:val="single" w:sz="4" w:space="0" w:color="auto"/>
          </w:tcBorders>
          <w:vAlign w:val="center"/>
        </w:tcPr>
        <w:p w:rsidR="00525E75" w:rsidRPr="009066EF" w:rsidRDefault="00525E75" w:rsidP="00AF3F9E"/>
      </w:tc>
      <w:tc>
        <w:tcPr>
          <w:tcW w:w="5670" w:type="dxa"/>
          <w:tcBorders>
            <w:bottom w:val="single" w:sz="4" w:space="0" w:color="auto"/>
          </w:tcBorders>
          <w:vAlign w:val="center"/>
        </w:tcPr>
        <w:p w:rsidR="00525E75" w:rsidRPr="009066EF" w:rsidRDefault="00525E75" w:rsidP="00376FEC">
          <w:pPr>
            <w:jc w:val="center"/>
          </w:pPr>
          <w:r w:rsidRPr="009066EF">
            <w:t>Inhoudstafel</w:t>
          </w:r>
        </w:p>
      </w:tc>
      <w:tc>
        <w:tcPr>
          <w:tcW w:w="1701" w:type="dxa"/>
          <w:tcBorders>
            <w:bottom w:val="single" w:sz="4" w:space="0" w:color="auto"/>
          </w:tcBorders>
          <w:vAlign w:val="center"/>
        </w:tcPr>
        <w:p w:rsidR="00525E75" w:rsidRPr="009066EF" w:rsidRDefault="00525E75" w:rsidP="00AF3F9E"/>
      </w:tc>
    </w:tr>
  </w:tbl>
  <w:p w:rsidR="00525E75" w:rsidRDefault="00525E75" w:rsidP="00AF3F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2CC6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0F249E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0A84A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0B74A890"/>
    <w:lvl w:ilvl="0">
      <w:start w:val="1"/>
      <w:numFmt w:val="decimal"/>
      <w:pStyle w:val="ListNumber2"/>
      <w:lvlText w:val="%1."/>
      <w:lvlJc w:val="left"/>
      <w:pPr>
        <w:tabs>
          <w:tab w:val="num" w:pos="643"/>
        </w:tabs>
        <w:ind w:left="643" w:hanging="360"/>
      </w:pPr>
    </w:lvl>
  </w:abstractNum>
  <w:abstractNum w:abstractNumId="4">
    <w:nsid w:val="FFFFFF80"/>
    <w:multiLevelType w:val="singleLevel"/>
    <w:tmpl w:val="0E20534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63E7AB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1803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B32EF9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84E92D2"/>
    <w:lvl w:ilvl="0">
      <w:start w:val="1"/>
      <w:numFmt w:val="decimal"/>
      <w:pStyle w:val="ListNumber"/>
      <w:lvlText w:val="%1."/>
      <w:lvlJc w:val="left"/>
      <w:pPr>
        <w:tabs>
          <w:tab w:val="num" w:pos="360"/>
        </w:tabs>
        <w:ind w:left="360" w:hanging="360"/>
      </w:pPr>
    </w:lvl>
  </w:abstractNum>
  <w:abstractNum w:abstractNumId="9">
    <w:nsid w:val="FFFFFF89"/>
    <w:multiLevelType w:val="singleLevel"/>
    <w:tmpl w:val="230848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pPr>
        <w:ind w:left="0" w:firstLine="0"/>
      </w:pPr>
    </w:lvl>
  </w:abstractNum>
  <w:abstractNum w:abstractNumId="11">
    <w:nsid w:val="00E3210B"/>
    <w:multiLevelType w:val="hybridMultilevel"/>
    <w:tmpl w:val="752A2DA8"/>
    <w:lvl w:ilvl="0" w:tplc="D796117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013F0DBB"/>
    <w:multiLevelType w:val="hybridMultilevel"/>
    <w:tmpl w:val="C4883254"/>
    <w:lvl w:ilvl="0" w:tplc="0AFA6014">
      <w:start w:val="2"/>
      <w:numFmt w:val="bullet"/>
      <w:lvlText w:val="-"/>
      <w:lvlJc w:val="left"/>
      <w:pPr>
        <w:ind w:left="360" w:hanging="360"/>
      </w:pPr>
      <w:rPr>
        <w:rFonts w:ascii="Times New Roman" w:hAnsi="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040A2392"/>
    <w:multiLevelType w:val="hybridMultilevel"/>
    <w:tmpl w:val="91922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078E0B74"/>
    <w:multiLevelType w:val="hybridMultilevel"/>
    <w:tmpl w:val="2F88F6A2"/>
    <w:lvl w:ilvl="0" w:tplc="0AFA6014">
      <w:start w:val="2"/>
      <w:numFmt w:val="bullet"/>
      <w:lvlText w:val="-"/>
      <w:lvlJc w:val="left"/>
      <w:pPr>
        <w:ind w:left="360" w:hanging="360"/>
      </w:pPr>
      <w:rPr>
        <w:rFonts w:ascii="Times New Roman" w:hAnsi="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08D21078"/>
    <w:multiLevelType w:val="hybridMultilevel"/>
    <w:tmpl w:val="FFA87EA8"/>
    <w:lvl w:ilvl="0" w:tplc="2ED2A438">
      <w:numFmt w:val="bullet"/>
      <w:pStyle w:val="tit-6"/>
      <w:lvlText w:val=""/>
      <w:lvlJc w:val="left"/>
      <w:pPr>
        <w:tabs>
          <w:tab w:val="num" w:pos="780"/>
        </w:tabs>
        <w:ind w:left="780" w:hanging="720"/>
      </w:pPr>
      <w:rPr>
        <w:rFonts w:ascii="Wingdings" w:hAnsi="Wingdings" w:hint="default"/>
        <w:sz w:val="1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0A157990"/>
    <w:multiLevelType w:val="hybridMultilevel"/>
    <w:tmpl w:val="D4EA9444"/>
    <w:lvl w:ilvl="0" w:tplc="672EDCCA">
      <w:numFmt w:val="bullet"/>
      <w:lvlText w:val="-"/>
      <w:lvlJc w:val="left"/>
      <w:pPr>
        <w:ind w:left="1080" w:hanging="360"/>
      </w:pPr>
      <w:rPr>
        <w:rFonts w:ascii="AvantGarde Bk BT" w:eastAsia="Times New Roman" w:hAnsi="AvantGarde Bk BT"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nsid w:val="0A852FC2"/>
    <w:multiLevelType w:val="hybridMultilevel"/>
    <w:tmpl w:val="AAA87464"/>
    <w:lvl w:ilvl="0" w:tplc="B3AC59C8">
      <w:numFmt w:val="bullet"/>
      <w:lvlText w:val="-"/>
      <w:lvlJc w:val="left"/>
      <w:pPr>
        <w:ind w:left="1080" w:hanging="360"/>
      </w:pPr>
      <w:rPr>
        <w:rFonts w:ascii="Times New Roman" w:eastAsiaTheme="minorHAnsi" w:hAnsi="Times New Roman" w:cs="Times New Roman" w:hint="default"/>
        <w:lang w:val="nl-NL"/>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nsid w:val="0B0F724E"/>
    <w:multiLevelType w:val="hybridMultilevel"/>
    <w:tmpl w:val="CAA49F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0C14024A"/>
    <w:multiLevelType w:val="hybridMultilevel"/>
    <w:tmpl w:val="CF6288CA"/>
    <w:lvl w:ilvl="0" w:tplc="9EBC42FA">
      <w:start w:val="60"/>
      <w:numFmt w:val="decimal"/>
      <w:lvlText w:val="%1"/>
      <w:lvlJc w:val="left"/>
      <w:pPr>
        <w:ind w:left="720" w:hanging="360"/>
      </w:pPr>
      <w:rPr>
        <w:rFonts w:ascii="Calibri" w:hAnsi="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0CFB356D"/>
    <w:multiLevelType w:val="hybridMultilevel"/>
    <w:tmpl w:val="87F2E2BC"/>
    <w:lvl w:ilvl="0" w:tplc="E6201C2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0F6721B5"/>
    <w:multiLevelType w:val="hybridMultilevel"/>
    <w:tmpl w:val="CCDE06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0FBF445C"/>
    <w:multiLevelType w:val="hybridMultilevel"/>
    <w:tmpl w:val="A54E2C30"/>
    <w:lvl w:ilvl="0" w:tplc="B3AC59C8">
      <w:numFmt w:val="bullet"/>
      <w:lvlText w:val="-"/>
      <w:lvlJc w:val="left"/>
      <w:pPr>
        <w:ind w:left="720" w:hanging="360"/>
      </w:pPr>
      <w:rPr>
        <w:rFonts w:ascii="Times New Roman" w:eastAsiaTheme="minorHAnsi" w:hAnsi="Times New Roman" w:cs="Times New Roman" w:hint="default"/>
        <w:lang w:val="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11D25629"/>
    <w:multiLevelType w:val="hybridMultilevel"/>
    <w:tmpl w:val="61E2B3AC"/>
    <w:lvl w:ilvl="0" w:tplc="70D07E88">
      <w:numFmt w:val="bullet"/>
      <w:lvlText w:val="-"/>
      <w:lvlJc w:val="left"/>
      <w:pPr>
        <w:tabs>
          <w:tab w:val="num" w:pos="2007"/>
        </w:tabs>
        <w:ind w:left="2007" w:hanging="720"/>
      </w:pPr>
      <w:rPr>
        <w:rFonts w:ascii="Arial" w:eastAsia="Times New Roman" w:hAnsi="Arial" w:cs="Aria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11D96168"/>
    <w:multiLevelType w:val="hybridMultilevel"/>
    <w:tmpl w:val="7652BE50"/>
    <w:lvl w:ilvl="0" w:tplc="FC3E6304">
      <w:start w:val="1"/>
      <w:numFmt w:val="bullet"/>
      <w:lvlText w:val=""/>
      <w:lvlJc w:val="left"/>
      <w:pPr>
        <w:tabs>
          <w:tab w:val="num" w:pos="0"/>
        </w:tabs>
        <w:ind w:left="0" w:firstLine="0"/>
      </w:pPr>
      <w:rPr>
        <w:rFonts w:ascii="Symbol" w:hAnsi="Symbol" w:hint="default"/>
        <w:color w:val="auto"/>
        <w:sz w:val="1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21C7FC3"/>
    <w:multiLevelType w:val="hybridMultilevel"/>
    <w:tmpl w:val="752A2DA8"/>
    <w:lvl w:ilvl="0" w:tplc="D796117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13D460B5"/>
    <w:multiLevelType w:val="hybridMultilevel"/>
    <w:tmpl w:val="3F96D476"/>
    <w:lvl w:ilvl="0" w:tplc="08130017">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13DB70C8"/>
    <w:multiLevelType w:val="hybridMultilevel"/>
    <w:tmpl w:val="07C2F9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14A22DE2"/>
    <w:multiLevelType w:val="hybridMultilevel"/>
    <w:tmpl w:val="01A217B4"/>
    <w:lvl w:ilvl="0" w:tplc="B3AC59C8">
      <w:numFmt w:val="bullet"/>
      <w:lvlText w:val="-"/>
      <w:lvlJc w:val="left"/>
      <w:pPr>
        <w:ind w:left="720" w:hanging="360"/>
      </w:pPr>
      <w:rPr>
        <w:rFonts w:ascii="Times New Roman" w:eastAsiaTheme="minorHAnsi" w:hAnsi="Times New Roman" w:cs="Times New Roman" w:hint="default"/>
        <w:lang w:val="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169804AB"/>
    <w:multiLevelType w:val="hybridMultilevel"/>
    <w:tmpl w:val="8F3E9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17A2561C"/>
    <w:multiLevelType w:val="hybridMultilevel"/>
    <w:tmpl w:val="73F86558"/>
    <w:lvl w:ilvl="0" w:tplc="02BA1C84">
      <w:start w:val="2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18035A1B"/>
    <w:multiLevelType w:val="hybridMultilevel"/>
    <w:tmpl w:val="313055C8"/>
    <w:lvl w:ilvl="0" w:tplc="7BB8C9F6">
      <w:start w:val="1"/>
      <w:numFmt w:val="decimal"/>
      <w:lvlText w:val="(%1)"/>
      <w:lvlJc w:val="left"/>
      <w:pPr>
        <w:tabs>
          <w:tab w:val="num" w:pos="360"/>
        </w:tabs>
        <w:ind w:left="360" w:hanging="360"/>
      </w:pPr>
      <w:rPr>
        <w:rFonts w:hint="default"/>
        <w:color w:val="auto"/>
        <w:sz w:val="1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99363C0"/>
    <w:multiLevelType w:val="hybridMultilevel"/>
    <w:tmpl w:val="31029602"/>
    <w:lvl w:ilvl="0" w:tplc="672EDCCA">
      <w:numFmt w:val="bullet"/>
      <w:lvlText w:val="-"/>
      <w:lvlJc w:val="left"/>
      <w:pPr>
        <w:tabs>
          <w:tab w:val="num" w:pos="720"/>
        </w:tabs>
        <w:ind w:left="720" w:hanging="360"/>
      </w:pPr>
      <w:rPr>
        <w:rFonts w:ascii="AvantGarde Bk BT" w:eastAsia="Times New Roman" w:hAnsi="AvantGarde Bk BT"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19BB5950"/>
    <w:multiLevelType w:val="hybridMultilevel"/>
    <w:tmpl w:val="B71EAAF2"/>
    <w:lvl w:ilvl="0" w:tplc="70D07E88">
      <w:start w:val="1"/>
      <w:numFmt w:val="bullet"/>
      <w:pStyle w:val="bodytext1"/>
      <w:lvlText w:val="o"/>
      <w:lvlJc w:val="left"/>
      <w:pPr>
        <w:tabs>
          <w:tab w:val="num" w:pos="680"/>
        </w:tabs>
        <w:ind w:left="624" w:hanging="264"/>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1A6A1A9E"/>
    <w:multiLevelType w:val="hybridMultilevel"/>
    <w:tmpl w:val="9BD4BA8E"/>
    <w:lvl w:ilvl="0" w:tplc="672EDCCA">
      <w:numFmt w:val="bullet"/>
      <w:lvlText w:val="-"/>
      <w:lvlJc w:val="left"/>
      <w:pPr>
        <w:ind w:left="720" w:hanging="360"/>
      </w:pPr>
      <w:rPr>
        <w:rFonts w:ascii="AvantGarde Bk BT" w:eastAsia="Times New Roman" w:hAnsi="AvantGarde Bk B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1C941C9C"/>
    <w:multiLevelType w:val="hybridMultilevel"/>
    <w:tmpl w:val="EEC2301A"/>
    <w:lvl w:ilvl="0" w:tplc="4A96E836">
      <w:start w:val="1"/>
      <w:numFmt w:val="decimal"/>
      <w:lvlText w:val="%1."/>
      <w:lvlJc w:val="left"/>
      <w:pPr>
        <w:tabs>
          <w:tab w:val="num" w:pos="720"/>
        </w:tabs>
        <w:ind w:left="720" w:hanging="360"/>
      </w:pPr>
      <w:rPr>
        <w:rFonts w:hint="default"/>
      </w:rPr>
    </w:lvl>
    <w:lvl w:ilvl="1" w:tplc="5DF87E50">
      <w:start w:val="1"/>
      <w:numFmt w:val="lowerLetter"/>
      <w:lvlText w:val="%2)"/>
      <w:lvlJc w:val="left"/>
      <w:pPr>
        <w:tabs>
          <w:tab w:val="num" w:pos="1440"/>
        </w:tabs>
        <w:ind w:left="1440" w:hanging="360"/>
      </w:pPr>
      <w:rPr>
        <w:rFonts w:hint="default"/>
      </w:rPr>
    </w:lvl>
    <w:lvl w:ilvl="2" w:tplc="4C28EB02">
      <w:start w:val="2"/>
      <w:numFmt w:val="upperLetter"/>
      <w:lvlText w:val="%3."/>
      <w:lvlJc w:val="left"/>
      <w:pPr>
        <w:tabs>
          <w:tab w:val="num" w:pos="2880"/>
        </w:tabs>
        <w:ind w:left="2880" w:hanging="900"/>
      </w:pPr>
      <w:rPr>
        <w:rFonts w:hint="default"/>
      </w:rPr>
    </w:lvl>
    <w:lvl w:ilvl="3" w:tplc="04130001">
      <w:start w:val="1"/>
      <w:numFmt w:val="bullet"/>
      <w:lvlText w:val=""/>
      <w:lvlJc w:val="left"/>
      <w:pPr>
        <w:tabs>
          <w:tab w:val="num" w:pos="2880"/>
        </w:tabs>
        <w:ind w:left="2880" w:hanging="360"/>
      </w:pPr>
      <w:rPr>
        <w:rFonts w:ascii="Symbol" w:hAnsi="Symbo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nsid w:val="1CB04E77"/>
    <w:multiLevelType w:val="hybridMultilevel"/>
    <w:tmpl w:val="F7A4E1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1D143F6F"/>
    <w:multiLevelType w:val="hybridMultilevel"/>
    <w:tmpl w:val="D50CE280"/>
    <w:lvl w:ilvl="0" w:tplc="0813000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1D736ECE"/>
    <w:multiLevelType w:val="hybridMultilevel"/>
    <w:tmpl w:val="6762919E"/>
    <w:lvl w:ilvl="0" w:tplc="0AFA6014">
      <w:start w:val="2"/>
      <w:numFmt w:val="bullet"/>
      <w:lvlText w:val="-"/>
      <w:lvlJc w:val="left"/>
      <w:pPr>
        <w:ind w:left="360" w:hanging="360"/>
      </w:pPr>
      <w:rPr>
        <w:rFonts w:ascii="Times New Roman" w:hAnsi="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nsid w:val="1EA02506"/>
    <w:multiLevelType w:val="hybridMultilevel"/>
    <w:tmpl w:val="2C52B7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1F5F2D23"/>
    <w:multiLevelType w:val="hybridMultilevel"/>
    <w:tmpl w:val="BDA4E782"/>
    <w:lvl w:ilvl="0" w:tplc="672EDCCA">
      <w:numFmt w:val="bullet"/>
      <w:lvlText w:val="-"/>
      <w:lvlJc w:val="left"/>
      <w:pPr>
        <w:tabs>
          <w:tab w:val="num" w:pos="720"/>
        </w:tabs>
        <w:ind w:left="720" w:hanging="360"/>
      </w:pPr>
      <w:rPr>
        <w:rFonts w:ascii="AvantGarde Bk BT" w:eastAsia="Times New Roman" w:hAnsi="AvantGarde Bk BT"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240B7158"/>
    <w:multiLevelType w:val="hybridMultilevel"/>
    <w:tmpl w:val="0BDC31CC"/>
    <w:lvl w:ilvl="0" w:tplc="4D96E418">
      <w:start w:val="1"/>
      <w:numFmt w:val="bullet"/>
      <w:lvlText w:val=""/>
      <w:lvlJc w:val="left"/>
      <w:pPr>
        <w:tabs>
          <w:tab w:val="num" w:pos="0"/>
        </w:tabs>
        <w:ind w:left="0" w:firstLine="0"/>
      </w:pPr>
      <w:rPr>
        <w:rFonts w:ascii="Symbol" w:hAnsi="Symbol" w:hint="default"/>
        <w:color w:val="auto"/>
        <w:sz w:val="18"/>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5DF248F"/>
    <w:multiLevelType w:val="hybridMultilevel"/>
    <w:tmpl w:val="9994490E"/>
    <w:lvl w:ilvl="0" w:tplc="0AFA6014">
      <w:start w:val="2"/>
      <w:numFmt w:val="bullet"/>
      <w:lvlText w:val="-"/>
      <w:lvlJc w:val="left"/>
      <w:pPr>
        <w:ind w:left="1080" w:hanging="360"/>
      </w:pPr>
      <w:rPr>
        <w:rFonts w:ascii="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3">
    <w:nsid w:val="25F031E3"/>
    <w:multiLevelType w:val="hybridMultilevel"/>
    <w:tmpl w:val="199E4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275F27FE"/>
    <w:multiLevelType w:val="hybridMultilevel"/>
    <w:tmpl w:val="0D5867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nsid w:val="283365CE"/>
    <w:multiLevelType w:val="hybridMultilevel"/>
    <w:tmpl w:val="DD908A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29B83E64"/>
    <w:multiLevelType w:val="hybridMultilevel"/>
    <w:tmpl w:val="981A87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2B495AB1"/>
    <w:multiLevelType w:val="hybridMultilevel"/>
    <w:tmpl w:val="E8E2EE5E"/>
    <w:lvl w:ilvl="0" w:tplc="9A9A6C14">
      <w:start w:val="1"/>
      <w:numFmt w:val="bullet"/>
      <w:pStyle w:val="it"/>
      <w:lvlText w:val=""/>
      <w:lvlJc w:val="left"/>
      <w:pPr>
        <w:tabs>
          <w:tab w:val="num" w:pos="284"/>
        </w:tabs>
        <w:ind w:left="284" w:hanging="284"/>
      </w:pPr>
      <w:rPr>
        <w:rFonts w:ascii="Symbol" w:hAnsi="Symbol" w:hint="default"/>
        <w:sz w:val="1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nsid w:val="2BA0546D"/>
    <w:multiLevelType w:val="hybridMultilevel"/>
    <w:tmpl w:val="563CA91E"/>
    <w:lvl w:ilvl="0" w:tplc="672EDCCA">
      <w:numFmt w:val="bullet"/>
      <w:lvlText w:val="-"/>
      <w:lvlJc w:val="left"/>
      <w:pPr>
        <w:ind w:left="720" w:hanging="360"/>
      </w:pPr>
      <w:rPr>
        <w:rFonts w:ascii="AvantGarde Bk BT" w:eastAsia="Times New Roman" w:hAnsi="AvantGarde Bk B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2BDF49A3"/>
    <w:multiLevelType w:val="hybridMultilevel"/>
    <w:tmpl w:val="25EAC442"/>
    <w:lvl w:ilvl="0" w:tplc="10CE0514">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50">
    <w:nsid w:val="2CC12359"/>
    <w:multiLevelType w:val="hybridMultilevel"/>
    <w:tmpl w:val="2C5E9264"/>
    <w:lvl w:ilvl="0" w:tplc="0813000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nsid w:val="2DE8577E"/>
    <w:multiLevelType w:val="hybridMultilevel"/>
    <w:tmpl w:val="8A78C84C"/>
    <w:name w:val="GrontmijBullets2"/>
    <w:lvl w:ilvl="0" w:tplc="7DF6E04A">
      <w:start w:val="1"/>
      <w:numFmt w:val="bullet"/>
      <w:lvlText w:val=""/>
      <w:lvlJc w:val="left"/>
      <w:pPr>
        <w:tabs>
          <w:tab w:val="num" w:pos="720"/>
        </w:tabs>
        <w:ind w:left="720" w:hanging="360"/>
      </w:pPr>
      <w:rPr>
        <w:rFonts w:ascii="Symbol" w:hAnsi="Symbol" w:hint="default"/>
      </w:rPr>
    </w:lvl>
    <w:lvl w:ilvl="1" w:tplc="28E08202" w:tentative="1">
      <w:start w:val="1"/>
      <w:numFmt w:val="bullet"/>
      <w:lvlText w:val="o"/>
      <w:lvlJc w:val="left"/>
      <w:pPr>
        <w:tabs>
          <w:tab w:val="num" w:pos="1440"/>
        </w:tabs>
        <w:ind w:left="1440" w:hanging="360"/>
      </w:pPr>
      <w:rPr>
        <w:rFonts w:ascii="Courier New" w:hAnsi="Courier New" w:hint="default"/>
      </w:rPr>
    </w:lvl>
    <w:lvl w:ilvl="2" w:tplc="EE20D8DA" w:tentative="1">
      <w:start w:val="1"/>
      <w:numFmt w:val="bullet"/>
      <w:lvlText w:val=""/>
      <w:lvlJc w:val="left"/>
      <w:pPr>
        <w:tabs>
          <w:tab w:val="num" w:pos="2160"/>
        </w:tabs>
        <w:ind w:left="2160" w:hanging="360"/>
      </w:pPr>
      <w:rPr>
        <w:rFonts w:ascii="Wingdings" w:hAnsi="Wingdings" w:hint="default"/>
      </w:rPr>
    </w:lvl>
    <w:lvl w:ilvl="3" w:tplc="CE16D798" w:tentative="1">
      <w:start w:val="1"/>
      <w:numFmt w:val="bullet"/>
      <w:lvlText w:val=""/>
      <w:lvlJc w:val="left"/>
      <w:pPr>
        <w:tabs>
          <w:tab w:val="num" w:pos="2880"/>
        </w:tabs>
        <w:ind w:left="2880" w:hanging="360"/>
      </w:pPr>
      <w:rPr>
        <w:rFonts w:ascii="Symbol" w:hAnsi="Symbol" w:hint="default"/>
      </w:rPr>
    </w:lvl>
    <w:lvl w:ilvl="4" w:tplc="925E9946" w:tentative="1">
      <w:start w:val="1"/>
      <w:numFmt w:val="bullet"/>
      <w:lvlText w:val="o"/>
      <w:lvlJc w:val="left"/>
      <w:pPr>
        <w:tabs>
          <w:tab w:val="num" w:pos="3600"/>
        </w:tabs>
        <w:ind w:left="3600" w:hanging="360"/>
      </w:pPr>
      <w:rPr>
        <w:rFonts w:ascii="Courier New" w:hAnsi="Courier New" w:hint="default"/>
      </w:rPr>
    </w:lvl>
    <w:lvl w:ilvl="5" w:tplc="BA2A4C58" w:tentative="1">
      <w:start w:val="1"/>
      <w:numFmt w:val="bullet"/>
      <w:lvlText w:val=""/>
      <w:lvlJc w:val="left"/>
      <w:pPr>
        <w:tabs>
          <w:tab w:val="num" w:pos="4320"/>
        </w:tabs>
        <w:ind w:left="4320" w:hanging="360"/>
      </w:pPr>
      <w:rPr>
        <w:rFonts w:ascii="Wingdings" w:hAnsi="Wingdings" w:hint="default"/>
      </w:rPr>
    </w:lvl>
    <w:lvl w:ilvl="6" w:tplc="1D3CD720" w:tentative="1">
      <w:start w:val="1"/>
      <w:numFmt w:val="bullet"/>
      <w:lvlText w:val=""/>
      <w:lvlJc w:val="left"/>
      <w:pPr>
        <w:tabs>
          <w:tab w:val="num" w:pos="5040"/>
        </w:tabs>
        <w:ind w:left="5040" w:hanging="360"/>
      </w:pPr>
      <w:rPr>
        <w:rFonts w:ascii="Symbol" w:hAnsi="Symbol" w:hint="default"/>
      </w:rPr>
    </w:lvl>
    <w:lvl w:ilvl="7" w:tplc="720A6E8C" w:tentative="1">
      <w:start w:val="1"/>
      <w:numFmt w:val="bullet"/>
      <w:lvlText w:val="o"/>
      <w:lvlJc w:val="left"/>
      <w:pPr>
        <w:tabs>
          <w:tab w:val="num" w:pos="5760"/>
        </w:tabs>
        <w:ind w:left="5760" w:hanging="360"/>
      </w:pPr>
      <w:rPr>
        <w:rFonts w:ascii="Courier New" w:hAnsi="Courier New" w:hint="default"/>
      </w:rPr>
    </w:lvl>
    <w:lvl w:ilvl="8" w:tplc="7B167492" w:tentative="1">
      <w:start w:val="1"/>
      <w:numFmt w:val="bullet"/>
      <w:lvlText w:val=""/>
      <w:lvlJc w:val="left"/>
      <w:pPr>
        <w:tabs>
          <w:tab w:val="num" w:pos="6480"/>
        </w:tabs>
        <w:ind w:left="6480" w:hanging="360"/>
      </w:pPr>
      <w:rPr>
        <w:rFonts w:ascii="Wingdings" w:hAnsi="Wingdings" w:hint="default"/>
      </w:rPr>
    </w:lvl>
  </w:abstractNum>
  <w:abstractNum w:abstractNumId="52">
    <w:nsid w:val="2DF30762"/>
    <w:multiLevelType w:val="hybridMultilevel"/>
    <w:tmpl w:val="8A38029A"/>
    <w:lvl w:ilvl="0" w:tplc="04090001">
      <w:start w:val="1"/>
      <w:numFmt w:val="bullet"/>
      <w:lvlText w:val=""/>
      <w:lvlJc w:val="left"/>
      <w:pPr>
        <w:tabs>
          <w:tab w:val="num" w:pos="0"/>
        </w:tabs>
        <w:ind w:left="0" w:firstLine="0"/>
      </w:pPr>
      <w:rPr>
        <w:rFonts w:ascii="Symbol" w:hAnsi="Symbol" w:hint="default"/>
        <w:color w:val="auto"/>
        <w:sz w:val="1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2ED01766"/>
    <w:multiLevelType w:val="hybridMultilevel"/>
    <w:tmpl w:val="BB0A024C"/>
    <w:lvl w:ilvl="0" w:tplc="08130017">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nsid w:val="3250693D"/>
    <w:multiLevelType w:val="hybridMultilevel"/>
    <w:tmpl w:val="FBDA8F88"/>
    <w:lvl w:ilvl="0" w:tplc="4D96E4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2FA4DAE"/>
    <w:multiLevelType w:val="multilevel"/>
    <w:tmpl w:val="04130023"/>
    <w:styleLink w:val="ArticleSection"/>
    <w:lvl w:ilvl="0">
      <w:start w:val="1"/>
      <w:numFmt w:val="upperRoman"/>
      <w:pStyle w:val="normbulEnd"/>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3C3742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7">
    <w:nsid w:val="345A2C39"/>
    <w:multiLevelType w:val="hybridMultilevel"/>
    <w:tmpl w:val="9D623882"/>
    <w:lvl w:ilvl="0" w:tplc="08130001">
      <w:numFmt w:val="bullet"/>
      <w:lvlText w:val="-"/>
      <w:lvlJc w:val="left"/>
      <w:pPr>
        <w:ind w:left="720" w:hanging="360"/>
      </w:pPr>
      <w:rPr>
        <w:rFonts w:ascii="Arial" w:eastAsia="Times New Roman" w:hAnsi="Arial" w:cs="Arial" w:hint="default"/>
      </w:rPr>
    </w:lvl>
    <w:lvl w:ilvl="1" w:tplc="02BA1C84">
      <w:start w:val="26"/>
      <w:numFmt w:val="bullet"/>
      <w:lvlText w:val="-"/>
      <w:lvlJc w:val="left"/>
      <w:pPr>
        <w:ind w:left="1440" w:hanging="360"/>
      </w:pPr>
      <w:rPr>
        <w:rFonts w:ascii="Calibri" w:eastAsia="Times New Roman" w:hAnsi="Calibri" w:cs="Calibri" w:hint="default"/>
      </w:rPr>
    </w:lvl>
    <w:lvl w:ilvl="2" w:tplc="02BA1C84">
      <w:start w:val="26"/>
      <w:numFmt w:val="bullet"/>
      <w:lvlText w:val="-"/>
      <w:lvlJc w:val="left"/>
      <w:pPr>
        <w:ind w:left="2160" w:hanging="360"/>
      </w:pPr>
      <w:rPr>
        <w:rFonts w:ascii="Calibri" w:eastAsia="Times New Roman" w:hAnsi="Calibri" w:cs="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nsid w:val="3523410A"/>
    <w:multiLevelType w:val="hybridMultilevel"/>
    <w:tmpl w:val="C054CEEE"/>
    <w:lvl w:ilvl="0" w:tplc="0813000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nsid w:val="36D5398D"/>
    <w:multiLevelType w:val="hybridMultilevel"/>
    <w:tmpl w:val="06CE49E2"/>
    <w:lvl w:ilvl="0" w:tplc="63D42038">
      <w:start w:val="1"/>
      <w:numFmt w:val="bullet"/>
      <w:lvlText w:val=""/>
      <w:lvlJc w:val="left"/>
      <w:pPr>
        <w:ind w:left="720" w:hanging="360"/>
      </w:pPr>
      <w:rPr>
        <w:rFonts w:ascii="Symbol" w:hAnsi="Symbol" w:hint="default"/>
      </w:rPr>
    </w:lvl>
    <w:lvl w:ilvl="1" w:tplc="4CB8A668" w:tentative="1">
      <w:start w:val="1"/>
      <w:numFmt w:val="bullet"/>
      <w:lvlText w:val="o"/>
      <w:lvlJc w:val="left"/>
      <w:pPr>
        <w:ind w:left="1440" w:hanging="360"/>
      </w:pPr>
      <w:rPr>
        <w:rFonts w:ascii="Courier New" w:hAnsi="Courier New" w:cs="Courier New" w:hint="default"/>
      </w:rPr>
    </w:lvl>
    <w:lvl w:ilvl="2" w:tplc="8638737A" w:tentative="1">
      <w:start w:val="1"/>
      <w:numFmt w:val="bullet"/>
      <w:lvlText w:val=""/>
      <w:lvlJc w:val="left"/>
      <w:pPr>
        <w:ind w:left="2160" w:hanging="360"/>
      </w:pPr>
      <w:rPr>
        <w:rFonts w:ascii="Wingdings" w:hAnsi="Wingdings" w:hint="default"/>
      </w:rPr>
    </w:lvl>
    <w:lvl w:ilvl="3" w:tplc="B0428AC0" w:tentative="1">
      <w:start w:val="1"/>
      <w:numFmt w:val="bullet"/>
      <w:lvlText w:val=""/>
      <w:lvlJc w:val="left"/>
      <w:pPr>
        <w:ind w:left="2880" w:hanging="360"/>
      </w:pPr>
      <w:rPr>
        <w:rFonts w:ascii="Symbol" w:hAnsi="Symbol" w:hint="default"/>
      </w:rPr>
    </w:lvl>
    <w:lvl w:ilvl="4" w:tplc="4C7207E0" w:tentative="1">
      <w:start w:val="1"/>
      <w:numFmt w:val="bullet"/>
      <w:lvlText w:val="o"/>
      <w:lvlJc w:val="left"/>
      <w:pPr>
        <w:ind w:left="3600" w:hanging="360"/>
      </w:pPr>
      <w:rPr>
        <w:rFonts w:ascii="Courier New" w:hAnsi="Courier New" w:cs="Courier New" w:hint="default"/>
      </w:rPr>
    </w:lvl>
    <w:lvl w:ilvl="5" w:tplc="862A85DA" w:tentative="1">
      <w:start w:val="1"/>
      <w:numFmt w:val="bullet"/>
      <w:lvlText w:val=""/>
      <w:lvlJc w:val="left"/>
      <w:pPr>
        <w:ind w:left="4320" w:hanging="360"/>
      </w:pPr>
      <w:rPr>
        <w:rFonts w:ascii="Wingdings" w:hAnsi="Wingdings" w:hint="default"/>
      </w:rPr>
    </w:lvl>
    <w:lvl w:ilvl="6" w:tplc="740C7DE2" w:tentative="1">
      <w:start w:val="1"/>
      <w:numFmt w:val="bullet"/>
      <w:lvlText w:val=""/>
      <w:lvlJc w:val="left"/>
      <w:pPr>
        <w:ind w:left="5040" w:hanging="360"/>
      </w:pPr>
      <w:rPr>
        <w:rFonts w:ascii="Symbol" w:hAnsi="Symbol" w:hint="default"/>
      </w:rPr>
    </w:lvl>
    <w:lvl w:ilvl="7" w:tplc="BA2841B0" w:tentative="1">
      <w:start w:val="1"/>
      <w:numFmt w:val="bullet"/>
      <w:lvlText w:val="o"/>
      <w:lvlJc w:val="left"/>
      <w:pPr>
        <w:ind w:left="5760" w:hanging="360"/>
      </w:pPr>
      <w:rPr>
        <w:rFonts w:ascii="Courier New" w:hAnsi="Courier New" w:cs="Courier New" w:hint="default"/>
      </w:rPr>
    </w:lvl>
    <w:lvl w:ilvl="8" w:tplc="59B84B3E" w:tentative="1">
      <w:start w:val="1"/>
      <w:numFmt w:val="bullet"/>
      <w:lvlText w:val=""/>
      <w:lvlJc w:val="left"/>
      <w:pPr>
        <w:ind w:left="6480" w:hanging="360"/>
      </w:pPr>
      <w:rPr>
        <w:rFonts w:ascii="Wingdings" w:hAnsi="Wingdings" w:hint="default"/>
      </w:rPr>
    </w:lvl>
  </w:abstractNum>
  <w:abstractNum w:abstractNumId="60">
    <w:nsid w:val="385D7917"/>
    <w:multiLevelType w:val="hybridMultilevel"/>
    <w:tmpl w:val="C1AEB784"/>
    <w:lvl w:ilvl="0" w:tplc="FFFFFFFF">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nsid w:val="38FB3ADD"/>
    <w:multiLevelType w:val="hybridMultilevel"/>
    <w:tmpl w:val="43625FA6"/>
    <w:lvl w:ilvl="0" w:tplc="1900830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2">
    <w:nsid w:val="3902321D"/>
    <w:multiLevelType w:val="hybridMultilevel"/>
    <w:tmpl w:val="6794FA62"/>
    <w:lvl w:ilvl="0" w:tplc="04130001">
      <w:numFmt w:val="bullet"/>
      <w:lvlText w:val="-"/>
      <w:lvlJc w:val="left"/>
      <w:pPr>
        <w:ind w:left="720" w:hanging="360"/>
      </w:pPr>
      <w:rPr>
        <w:rFonts w:ascii="AvantGarde Bk BT" w:eastAsia="Times New Roman" w:hAnsi="AvantGarde Bk B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3A8965AD"/>
    <w:multiLevelType w:val="hybridMultilevel"/>
    <w:tmpl w:val="F838043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4">
    <w:nsid w:val="3AC130D4"/>
    <w:multiLevelType w:val="hybridMultilevel"/>
    <w:tmpl w:val="A95A7D4C"/>
    <w:lvl w:ilvl="0" w:tplc="0813000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nsid w:val="3AC553F6"/>
    <w:multiLevelType w:val="hybridMultilevel"/>
    <w:tmpl w:val="96EEA4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6">
    <w:nsid w:val="3AD37611"/>
    <w:multiLevelType w:val="multilevel"/>
    <w:tmpl w:val="EDF21076"/>
    <w:lvl w:ilvl="0">
      <w:start w:val="1"/>
      <w:numFmt w:val="upperRoman"/>
      <w:pStyle w:val="Heading1"/>
      <w:lvlText w:val="%1"/>
      <w:lvlJc w:val="left"/>
      <w:pPr>
        <w:tabs>
          <w:tab w:val="num" w:pos="1425"/>
        </w:tabs>
        <w:ind w:left="1425" w:hanging="432"/>
      </w:pPr>
      <w:rPr>
        <w:rFonts w:ascii="Calibri" w:hAnsi="Calibri" w:hint="default"/>
        <w:b/>
        <w:i w:val="0"/>
        <w:color w:val="999999"/>
        <w:spacing w:val="26"/>
        <w:sz w:val="32"/>
        <w:szCs w:val="28"/>
        <w:lang w:val="nl-BE"/>
      </w:rPr>
    </w:lvl>
    <w:lvl w:ilvl="1">
      <w:start w:val="1"/>
      <w:numFmt w:val="decimal"/>
      <w:pStyle w:val="Heading2"/>
      <w:lvlText w:val="%2."/>
      <w:lvlJc w:val="left"/>
      <w:pPr>
        <w:tabs>
          <w:tab w:val="num" w:pos="4971"/>
        </w:tabs>
        <w:ind w:left="4971" w:hanging="576"/>
      </w:pPr>
      <w:rPr>
        <w:rFonts w:ascii="Calibri" w:hAnsi="Calibri" w:hint="default"/>
        <w:b/>
        <w:i w:val="0"/>
        <w:caps w:val="0"/>
        <w:strike w:val="0"/>
        <w:dstrike w:val="0"/>
        <w:shadow w:val="0"/>
        <w:emboss w:val="0"/>
        <w:imprint w:val="0"/>
        <w:vanish w:val="0"/>
        <w:sz w:val="24"/>
        <w:szCs w:val="24"/>
        <w:vertAlign w:val="baseline"/>
      </w:rPr>
    </w:lvl>
    <w:lvl w:ilvl="2">
      <w:start w:val="1"/>
      <w:numFmt w:val="decimal"/>
      <w:pStyle w:val="Heading3"/>
      <w:lvlText w:val="%2.%3"/>
      <w:lvlJc w:val="left"/>
      <w:pPr>
        <w:tabs>
          <w:tab w:val="num" w:pos="1430"/>
        </w:tabs>
        <w:ind w:left="1430" w:hanging="720"/>
      </w:pPr>
      <w:rPr>
        <w:rFonts w:ascii="Calibri" w:hAnsi="Calibri" w:hint="default"/>
        <w:b/>
        <w:bCs w:val="0"/>
        <w:i w:val="0"/>
        <w:iCs w:val="0"/>
        <w:caps w:val="0"/>
        <w:strike w:val="0"/>
        <w:dstrike w:val="0"/>
        <w:outline w:val="0"/>
        <w:shadow w:val="0"/>
        <w:emboss w:val="0"/>
        <w:imprint w:val="0"/>
        <w:vanish w:val="0"/>
        <w:spacing w:val="0"/>
        <w:kern w:val="0"/>
        <w:position w:val="0"/>
        <w:sz w:val="22"/>
        <w:u w:val="none"/>
        <w:vertAlign w:val="baseline"/>
        <w:em w:val="none"/>
      </w:rPr>
    </w:lvl>
    <w:lvl w:ilvl="3">
      <w:start w:val="1"/>
      <w:numFmt w:val="decimal"/>
      <w:pStyle w:val="Heading4"/>
      <w:lvlText w:val="%2.%3.%4"/>
      <w:lvlJc w:val="left"/>
      <w:pPr>
        <w:tabs>
          <w:tab w:val="num" w:pos="864"/>
        </w:tabs>
        <w:ind w:left="864" w:hanging="864"/>
      </w:pPr>
      <w:rPr>
        <w:rFonts w:ascii="Calibri" w:hAnsi="Calibri" w:hint="default"/>
        <w:b/>
        <w:i w:val="0"/>
        <w:caps/>
        <w:spacing w:val="0"/>
        <w:sz w:val="20"/>
      </w:rPr>
    </w:lvl>
    <w:lvl w:ilvl="4">
      <w:start w:val="1"/>
      <w:numFmt w:val="decimal"/>
      <w:pStyle w:val="Heading5"/>
      <w:lvlText w:val="%2.%3.%4.%5"/>
      <w:lvlJc w:val="left"/>
      <w:pPr>
        <w:tabs>
          <w:tab w:val="num" w:pos="1008"/>
        </w:tabs>
        <w:ind w:left="1008" w:hanging="1008"/>
      </w:pPr>
      <w:rPr>
        <w:rFonts w:hint="default"/>
        <w:b w:val="0"/>
        <w:i w:val="0"/>
        <w:sz w:val="20"/>
      </w:rPr>
    </w:lvl>
    <w:lvl w:ilvl="5">
      <w:start w:val="1"/>
      <w:numFmt w:val="decimal"/>
      <w:pStyle w:val="Heading6"/>
      <w:lvlText w:val="%2.%3.%4.%5.%6"/>
      <w:lvlJc w:val="left"/>
      <w:pPr>
        <w:tabs>
          <w:tab w:val="num" w:pos="1152"/>
        </w:tabs>
        <w:ind w:left="1152" w:hanging="1152"/>
      </w:pPr>
      <w:rPr>
        <w:rFonts w:ascii="Calibri" w:hAnsi="Calibri" w:hint="default"/>
        <w:b w:val="0"/>
        <w:i/>
        <w:spacing w:val="26"/>
        <w:sz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7">
    <w:nsid w:val="3BBE1E25"/>
    <w:multiLevelType w:val="hybridMultilevel"/>
    <w:tmpl w:val="3CA60218"/>
    <w:lvl w:ilvl="0" w:tplc="A43E49F2">
      <w:start w:val="1"/>
      <w:numFmt w:val="bullet"/>
      <w:lvlText w:val=""/>
      <w:lvlJc w:val="left"/>
      <w:pPr>
        <w:ind w:left="765" w:hanging="360"/>
      </w:pPr>
      <w:rPr>
        <w:rFonts w:ascii="Symbol" w:hAnsi="Symbol" w:hint="default"/>
      </w:rPr>
    </w:lvl>
    <w:lvl w:ilvl="1" w:tplc="28B2AE70" w:tentative="1">
      <w:start w:val="1"/>
      <w:numFmt w:val="bullet"/>
      <w:lvlText w:val="o"/>
      <w:lvlJc w:val="left"/>
      <w:pPr>
        <w:ind w:left="1485" w:hanging="360"/>
      </w:pPr>
      <w:rPr>
        <w:rFonts w:ascii="Courier New" w:hAnsi="Courier New" w:hint="default"/>
      </w:rPr>
    </w:lvl>
    <w:lvl w:ilvl="2" w:tplc="8D6E31D2" w:tentative="1">
      <w:start w:val="1"/>
      <w:numFmt w:val="bullet"/>
      <w:lvlText w:val=""/>
      <w:lvlJc w:val="left"/>
      <w:pPr>
        <w:ind w:left="2205" w:hanging="360"/>
      </w:pPr>
      <w:rPr>
        <w:rFonts w:ascii="Wingdings" w:hAnsi="Wingdings" w:hint="default"/>
      </w:rPr>
    </w:lvl>
    <w:lvl w:ilvl="3" w:tplc="BEC2B8A6" w:tentative="1">
      <w:start w:val="1"/>
      <w:numFmt w:val="bullet"/>
      <w:lvlText w:val=""/>
      <w:lvlJc w:val="left"/>
      <w:pPr>
        <w:ind w:left="2925" w:hanging="360"/>
      </w:pPr>
      <w:rPr>
        <w:rFonts w:ascii="Symbol" w:hAnsi="Symbol" w:hint="default"/>
      </w:rPr>
    </w:lvl>
    <w:lvl w:ilvl="4" w:tplc="7248C4FE" w:tentative="1">
      <w:start w:val="1"/>
      <w:numFmt w:val="bullet"/>
      <w:lvlText w:val="o"/>
      <w:lvlJc w:val="left"/>
      <w:pPr>
        <w:ind w:left="3645" w:hanging="360"/>
      </w:pPr>
      <w:rPr>
        <w:rFonts w:ascii="Courier New" w:hAnsi="Courier New" w:hint="default"/>
      </w:rPr>
    </w:lvl>
    <w:lvl w:ilvl="5" w:tplc="DBDAFD18" w:tentative="1">
      <w:start w:val="1"/>
      <w:numFmt w:val="bullet"/>
      <w:lvlText w:val=""/>
      <w:lvlJc w:val="left"/>
      <w:pPr>
        <w:ind w:left="4365" w:hanging="360"/>
      </w:pPr>
      <w:rPr>
        <w:rFonts w:ascii="Wingdings" w:hAnsi="Wingdings" w:hint="default"/>
      </w:rPr>
    </w:lvl>
    <w:lvl w:ilvl="6" w:tplc="27347FF6" w:tentative="1">
      <w:start w:val="1"/>
      <w:numFmt w:val="bullet"/>
      <w:lvlText w:val=""/>
      <w:lvlJc w:val="left"/>
      <w:pPr>
        <w:ind w:left="5085" w:hanging="360"/>
      </w:pPr>
      <w:rPr>
        <w:rFonts w:ascii="Symbol" w:hAnsi="Symbol" w:hint="default"/>
      </w:rPr>
    </w:lvl>
    <w:lvl w:ilvl="7" w:tplc="933603A6" w:tentative="1">
      <w:start w:val="1"/>
      <w:numFmt w:val="bullet"/>
      <w:lvlText w:val="o"/>
      <w:lvlJc w:val="left"/>
      <w:pPr>
        <w:ind w:left="5805" w:hanging="360"/>
      </w:pPr>
      <w:rPr>
        <w:rFonts w:ascii="Courier New" w:hAnsi="Courier New" w:hint="default"/>
      </w:rPr>
    </w:lvl>
    <w:lvl w:ilvl="8" w:tplc="60F2A4A2" w:tentative="1">
      <w:start w:val="1"/>
      <w:numFmt w:val="bullet"/>
      <w:lvlText w:val=""/>
      <w:lvlJc w:val="left"/>
      <w:pPr>
        <w:ind w:left="6525" w:hanging="360"/>
      </w:pPr>
      <w:rPr>
        <w:rFonts w:ascii="Wingdings" w:hAnsi="Wingdings" w:hint="default"/>
      </w:rPr>
    </w:lvl>
  </w:abstractNum>
  <w:abstractNum w:abstractNumId="68">
    <w:nsid w:val="3CAE1CB7"/>
    <w:multiLevelType w:val="hybridMultilevel"/>
    <w:tmpl w:val="FFAC28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9">
    <w:nsid w:val="3CAE2AE7"/>
    <w:multiLevelType w:val="hybridMultilevel"/>
    <w:tmpl w:val="2B223FBA"/>
    <w:lvl w:ilvl="0" w:tplc="0813000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nsid w:val="3EC0161D"/>
    <w:multiLevelType w:val="hybridMultilevel"/>
    <w:tmpl w:val="26A281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1">
    <w:nsid w:val="405949E5"/>
    <w:multiLevelType w:val="hybridMultilevel"/>
    <w:tmpl w:val="8B467A60"/>
    <w:lvl w:ilvl="0" w:tplc="0AFA6014">
      <w:start w:val="2"/>
      <w:numFmt w:val="bullet"/>
      <w:lvlText w:val="-"/>
      <w:lvlJc w:val="left"/>
      <w:pPr>
        <w:ind w:left="1440" w:hanging="360"/>
      </w:pPr>
      <w:rPr>
        <w:rFonts w:ascii="Times New Roman" w:hAnsi="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2">
    <w:nsid w:val="42091002"/>
    <w:multiLevelType w:val="hybridMultilevel"/>
    <w:tmpl w:val="6BE81032"/>
    <w:lvl w:ilvl="0" w:tplc="07FA3F78">
      <w:start w:val="1"/>
      <w:numFmt w:val="decimal"/>
      <w:lvlText w:val="(%1)"/>
      <w:lvlJc w:val="left"/>
      <w:pPr>
        <w:ind w:left="1079" w:hanging="360"/>
      </w:pPr>
      <w:rPr>
        <w:rFonts w:hint="default"/>
      </w:rPr>
    </w:lvl>
    <w:lvl w:ilvl="1" w:tplc="04130019" w:tentative="1">
      <w:start w:val="1"/>
      <w:numFmt w:val="lowerLetter"/>
      <w:lvlText w:val="%2."/>
      <w:lvlJc w:val="left"/>
      <w:pPr>
        <w:ind w:left="1799" w:hanging="360"/>
      </w:pPr>
    </w:lvl>
    <w:lvl w:ilvl="2" w:tplc="0413001B" w:tentative="1">
      <w:start w:val="1"/>
      <w:numFmt w:val="lowerRoman"/>
      <w:lvlText w:val="%3."/>
      <w:lvlJc w:val="right"/>
      <w:pPr>
        <w:ind w:left="2519" w:hanging="180"/>
      </w:pPr>
    </w:lvl>
    <w:lvl w:ilvl="3" w:tplc="0413000F" w:tentative="1">
      <w:start w:val="1"/>
      <w:numFmt w:val="decimal"/>
      <w:lvlText w:val="%4."/>
      <w:lvlJc w:val="left"/>
      <w:pPr>
        <w:ind w:left="3239" w:hanging="360"/>
      </w:pPr>
    </w:lvl>
    <w:lvl w:ilvl="4" w:tplc="04130019" w:tentative="1">
      <w:start w:val="1"/>
      <w:numFmt w:val="lowerLetter"/>
      <w:lvlText w:val="%5."/>
      <w:lvlJc w:val="left"/>
      <w:pPr>
        <w:ind w:left="3959" w:hanging="360"/>
      </w:pPr>
    </w:lvl>
    <w:lvl w:ilvl="5" w:tplc="0413001B" w:tentative="1">
      <w:start w:val="1"/>
      <w:numFmt w:val="lowerRoman"/>
      <w:lvlText w:val="%6."/>
      <w:lvlJc w:val="right"/>
      <w:pPr>
        <w:ind w:left="4679" w:hanging="180"/>
      </w:pPr>
    </w:lvl>
    <w:lvl w:ilvl="6" w:tplc="0413000F" w:tentative="1">
      <w:start w:val="1"/>
      <w:numFmt w:val="decimal"/>
      <w:lvlText w:val="%7."/>
      <w:lvlJc w:val="left"/>
      <w:pPr>
        <w:ind w:left="5399" w:hanging="360"/>
      </w:pPr>
    </w:lvl>
    <w:lvl w:ilvl="7" w:tplc="04130019" w:tentative="1">
      <w:start w:val="1"/>
      <w:numFmt w:val="lowerLetter"/>
      <w:lvlText w:val="%8."/>
      <w:lvlJc w:val="left"/>
      <w:pPr>
        <w:ind w:left="6119" w:hanging="360"/>
      </w:pPr>
    </w:lvl>
    <w:lvl w:ilvl="8" w:tplc="0413001B" w:tentative="1">
      <w:start w:val="1"/>
      <w:numFmt w:val="lowerRoman"/>
      <w:lvlText w:val="%9."/>
      <w:lvlJc w:val="right"/>
      <w:pPr>
        <w:ind w:left="6839" w:hanging="180"/>
      </w:pPr>
    </w:lvl>
  </w:abstractNum>
  <w:abstractNum w:abstractNumId="73">
    <w:nsid w:val="442173D4"/>
    <w:multiLevelType w:val="hybridMultilevel"/>
    <w:tmpl w:val="9FD8AE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4">
    <w:nsid w:val="45104925"/>
    <w:multiLevelType w:val="hybridMultilevel"/>
    <w:tmpl w:val="890E620E"/>
    <w:lvl w:ilvl="0" w:tplc="08130001">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5">
    <w:nsid w:val="465161DA"/>
    <w:multiLevelType w:val="hybridMultilevel"/>
    <w:tmpl w:val="F8929B38"/>
    <w:lvl w:ilvl="0" w:tplc="08130001">
      <w:numFmt w:val="bullet"/>
      <w:lvlText w:val="-"/>
      <w:lvlJc w:val="left"/>
      <w:pPr>
        <w:ind w:left="284" w:hanging="284"/>
      </w:pPr>
      <w:rPr>
        <w:rFonts w:ascii="AvantGarde Bk BT" w:eastAsia="Times New Roman" w:hAnsi="AvantGarde Bk BT"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6">
    <w:nsid w:val="46975513"/>
    <w:multiLevelType w:val="hybridMultilevel"/>
    <w:tmpl w:val="EA36B15C"/>
    <w:lvl w:ilvl="0" w:tplc="FFFFFFFF">
      <w:start w:val="1"/>
      <w:numFmt w:val="decimal"/>
      <w:lvlText w:val="%1."/>
      <w:lvlJc w:val="left"/>
      <w:pPr>
        <w:tabs>
          <w:tab w:val="num" w:pos="1494"/>
        </w:tabs>
        <w:ind w:left="1494" w:hanging="360"/>
      </w:pPr>
      <w:rPr>
        <w:rFonts w:hint="default"/>
        <w:sz w:val="18"/>
        <w:szCs w:val="18"/>
      </w:rPr>
    </w:lvl>
    <w:lvl w:ilvl="1" w:tplc="FFFFFFFF">
      <w:start w:val="1"/>
      <w:numFmt w:val="bullet"/>
      <w:lvlText w:val=""/>
      <w:lvlJc w:val="left"/>
      <w:pPr>
        <w:tabs>
          <w:tab w:val="num" w:pos="1364"/>
        </w:tabs>
        <w:ind w:left="1364" w:hanging="284"/>
      </w:pPr>
      <w:rPr>
        <w:rFonts w:ascii="Symbol" w:hAnsi="Symbol"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nsid w:val="4761076F"/>
    <w:multiLevelType w:val="hybridMultilevel"/>
    <w:tmpl w:val="F662C7E4"/>
    <w:lvl w:ilvl="0" w:tplc="0813000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nsid w:val="47752964"/>
    <w:multiLevelType w:val="hybridMultilevel"/>
    <w:tmpl w:val="3A7E423E"/>
    <w:lvl w:ilvl="0" w:tplc="0813000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9">
    <w:nsid w:val="478B5F7B"/>
    <w:multiLevelType w:val="hybridMultilevel"/>
    <w:tmpl w:val="8B140C50"/>
    <w:lvl w:ilvl="0" w:tplc="FCD8AAFC">
      <w:start w:val="1"/>
      <w:numFmt w:val="decimal"/>
      <w:lvlText w:val="%1)"/>
      <w:lvlJc w:val="left"/>
      <w:pPr>
        <w:ind w:left="1440" w:hanging="360"/>
      </w:pPr>
      <w:rPr>
        <w:rFonts w:hint="default"/>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80">
    <w:nsid w:val="47E97D70"/>
    <w:multiLevelType w:val="hybridMultilevel"/>
    <w:tmpl w:val="C0F40812"/>
    <w:lvl w:ilvl="0" w:tplc="FC3E6304">
      <w:start w:val="1"/>
      <w:numFmt w:val="bullet"/>
      <w:lvlText w:val=""/>
      <w:lvlJc w:val="left"/>
      <w:pPr>
        <w:tabs>
          <w:tab w:val="num" w:pos="0"/>
        </w:tabs>
        <w:ind w:left="0" w:firstLine="0"/>
      </w:pPr>
      <w:rPr>
        <w:rFonts w:ascii="Symbol" w:hAnsi="Symbol" w:hint="default"/>
        <w:color w:val="auto"/>
        <w:sz w:val="1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A347EE8"/>
    <w:multiLevelType w:val="hybridMultilevel"/>
    <w:tmpl w:val="984C0288"/>
    <w:lvl w:ilvl="0" w:tplc="5B86BC08">
      <w:start w:val="1"/>
      <w:numFmt w:val="bullet"/>
      <w:lvlText w:val=""/>
      <w:lvlJc w:val="left"/>
      <w:pPr>
        <w:ind w:left="720" w:hanging="360"/>
      </w:pPr>
      <w:rPr>
        <w:rFonts w:ascii="Symbol" w:hAnsi="Symbol" w:hint="default"/>
      </w:rPr>
    </w:lvl>
    <w:lvl w:ilvl="1" w:tplc="08130019" w:tentative="1">
      <w:start w:val="1"/>
      <w:numFmt w:val="bullet"/>
      <w:lvlText w:val="o"/>
      <w:lvlJc w:val="left"/>
      <w:pPr>
        <w:ind w:left="1440" w:hanging="360"/>
      </w:pPr>
      <w:rPr>
        <w:rFonts w:ascii="Courier New" w:hAnsi="Courier New" w:cs="Courier New" w:hint="default"/>
      </w:rPr>
    </w:lvl>
    <w:lvl w:ilvl="2" w:tplc="0813001B" w:tentative="1">
      <w:start w:val="1"/>
      <w:numFmt w:val="bullet"/>
      <w:lvlText w:val=""/>
      <w:lvlJc w:val="left"/>
      <w:pPr>
        <w:ind w:left="2160" w:hanging="360"/>
      </w:pPr>
      <w:rPr>
        <w:rFonts w:ascii="Wingdings" w:hAnsi="Wingdings" w:hint="default"/>
      </w:rPr>
    </w:lvl>
    <w:lvl w:ilvl="3" w:tplc="0813000F" w:tentative="1">
      <w:start w:val="1"/>
      <w:numFmt w:val="bullet"/>
      <w:lvlText w:val=""/>
      <w:lvlJc w:val="left"/>
      <w:pPr>
        <w:ind w:left="2880" w:hanging="360"/>
      </w:pPr>
      <w:rPr>
        <w:rFonts w:ascii="Symbol" w:hAnsi="Symbol" w:hint="default"/>
      </w:rPr>
    </w:lvl>
    <w:lvl w:ilvl="4" w:tplc="08130019" w:tentative="1">
      <w:start w:val="1"/>
      <w:numFmt w:val="bullet"/>
      <w:lvlText w:val="o"/>
      <w:lvlJc w:val="left"/>
      <w:pPr>
        <w:ind w:left="3600" w:hanging="360"/>
      </w:pPr>
      <w:rPr>
        <w:rFonts w:ascii="Courier New" w:hAnsi="Courier New" w:cs="Courier New" w:hint="default"/>
      </w:rPr>
    </w:lvl>
    <w:lvl w:ilvl="5" w:tplc="0813001B" w:tentative="1">
      <w:start w:val="1"/>
      <w:numFmt w:val="bullet"/>
      <w:lvlText w:val=""/>
      <w:lvlJc w:val="left"/>
      <w:pPr>
        <w:ind w:left="4320" w:hanging="360"/>
      </w:pPr>
      <w:rPr>
        <w:rFonts w:ascii="Wingdings" w:hAnsi="Wingdings" w:hint="default"/>
      </w:rPr>
    </w:lvl>
    <w:lvl w:ilvl="6" w:tplc="0813000F" w:tentative="1">
      <w:start w:val="1"/>
      <w:numFmt w:val="bullet"/>
      <w:lvlText w:val=""/>
      <w:lvlJc w:val="left"/>
      <w:pPr>
        <w:ind w:left="5040" w:hanging="360"/>
      </w:pPr>
      <w:rPr>
        <w:rFonts w:ascii="Symbol" w:hAnsi="Symbol" w:hint="default"/>
      </w:rPr>
    </w:lvl>
    <w:lvl w:ilvl="7" w:tplc="08130019" w:tentative="1">
      <w:start w:val="1"/>
      <w:numFmt w:val="bullet"/>
      <w:lvlText w:val="o"/>
      <w:lvlJc w:val="left"/>
      <w:pPr>
        <w:ind w:left="5760" w:hanging="360"/>
      </w:pPr>
      <w:rPr>
        <w:rFonts w:ascii="Courier New" w:hAnsi="Courier New" w:cs="Courier New" w:hint="default"/>
      </w:rPr>
    </w:lvl>
    <w:lvl w:ilvl="8" w:tplc="0813001B" w:tentative="1">
      <w:start w:val="1"/>
      <w:numFmt w:val="bullet"/>
      <w:lvlText w:val=""/>
      <w:lvlJc w:val="left"/>
      <w:pPr>
        <w:ind w:left="6480" w:hanging="360"/>
      </w:pPr>
      <w:rPr>
        <w:rFonts w:ascii="Wingdings" w:hAnsi="Wingdings" w:hint="default"/>
      </w:rPr>
    </w:lvl>
  </w:abstractNum>
  <w:abstractNum w:abstractNumId="82">
    <w:nsid w:val="4BCC136E"/>
    <w:multiLevelType w:val="hybridMultilevel"/>
    <w:tmpl w:val="364EA0E2"/>
    <w:lvl w:ilvl="0" w:tplc="04130001">
      <w:start w:val="1"/>
      <w:numFmt w:val="bullet"/>
      <w:lvlText w:val=""/>
      <w:lvlJc w:val="left"/>
      <w:pPr>
        <w:tabs>
          <w:tab w:val="num" w:pos="0"/>
        </w:tabs>
        <w:ind w:left="0" w:firstLine="0"/>
      </w:pPr>
      <w:rPr>
        <w:rFonts w:ascii="Symbol" w:hAnsi="Symbol" w:hint="default"/>
        <w:color w:val="auto"/>
        <w:sz w:val="18"/>
        <w:szCs w:val="24"/>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3">
    <w:nsid w:val="4CB750CF"/>
    <w:multiLevelType w:val="hybridMultilevel"/>
    <w:tmpl w:val="90EC180C"/>
    <w:lvl w:ilvl="0" w:tplc="FC3E6304">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364"/>
        </w:tabs>
        <w:ind w:left="1364" w:hanging="284"/>
      </w:pPr>
      <w:rPr>
        <w:rFonts w:ascii="Symbol" w:hAnsi="Symbol"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CFC2F50"/>
    <w:multiLevelType w:val="hybridMultilevel"/>
    <w:tmpl w:val="0D5273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5">
    <w:nsid w:val="4DA15A00"/>
    <w:multiLevelType w:val="hybridMultilevel"/>
    <w:tmpl w:val="7EF895B2"/>
    <w:lvl w:ilvl="0" w:tplc="04090001">
      <w:start w:val="1"/>
      <w:numFmt w:val="bullet"/>
      <w:lvlText w:val=""/>
      <w:lvlJc w:val="left"/>
      <w:pPr>
        <w:tabs>
          <w:tab w:val="num" w:pos="720"/>
        </w:tabs>
        <w:ind w:left="720" w:hanging="360"/>
      </w:pPr>
      <w:rPr>
        <w:rFonts w:ascii="Symbol" w:hAnsi="Symbol" w:hint="default"/>
      </w:rPr>
    </w:lvl>
    <w:lvl w:ilvl="1" w:tplc="70D07E8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E682883"/>
    <w:multiLevelType w:val="multilevel"/>
    <w:tmpl w:val="4888D88A"/>
    <w:lvl w:ilvl="0">
      <w:start w:val="1"/>
      <w:numFmt w:val="bullet"/>
      <w:pStyle w:val="Bulleted"/>
      <w:lvlText w:val=""/>
      <w:lvlJc w:val="left"/>
      <w:pPr>
        <w:tabs>
          <w:tab w:val="num" w:pos="360"/>
        </w:tabs>
        <w:ind w:left="360" w:hanging="360"/>
      </w:pPr>
      <w:rPr>
        <w:rFonts w:ascii="Symbol" w:hAnsi="Symbol" w:hint="default"/>
        <w:sz w:val="20"/>
      </w:rPr>
    </w:lvl>
    <w:lvl w:ilvl="1">
      <w:start w:val="1"/>
      <w:numFmt w:val="bullet"/>
      <w:lvlText w:val=""/>
      <w:lvlJc w:val="left"/>
      <w:pPr>
        <w:tabs>
          <w:tab w:val="num" w:pos="700"/>
        </w:tabs>
        <w:ind w:left="680" w:hanging="340"/>
      </w:pPr>
      <w:rPr>
        <w:rFonts w:ascii="Symbol" w:hAnsi="Symbol" w:hint="default"/>
        <w:sz w:val="16"/>
      </w:rPr>
    </w:lvl>
    <w:lvl w:ilvl="2">
      <w:start w:val="1"/>
      <w:numFmt w:val="bullet"/>
      <w:lvlText w:val=""/>
      <w:lvlJc w:val="left"/>
      <w:pPr>
        <w:tabs>
          <w:tab w:val="num" w:pos="1040"/>
        </w:tabs>
        <w:ind w:left="1021" w:hanging="341"/>
      </w:pPr>
      <w:rPr>
        <w:rFonts w:ascii="Wingdings" w:hAnsi="Wingdings" w:hint="default"/>
      </w:rPr>
    </w:lvl>
    <w:lvl w:ilvl="3">
      <w:start w:val="1"/>
      <w:numFmt w:val="bullet"/>
      <w:lvlText w:val=""/>
      <w:lvlJc w:val="left"/>
      <w:pPr>
        <w:tabs>
          <w:tab w:val="num" w:pos="1381"/>
        </w:tabs>
        <w:ind w:left="1361" w:hanging="340"/>
      </w:pPr>
      <w:rPr>
        <w:rFonts w:ascii="Symbol" w:hAnsi="Symbol" w:hint="default"/>
        <w:sz w:val="16"/>
      </w:rPr>
    </w:lvl>
    <w:lvl w:ilvl="4">
      <w:start w:val="1"/>
      <w:numFmt w:val="bullet"/>
      <w:lvlText w:val=""/>
      <w:lvlJc w:val="left"/>
      <w:pPr>
        <w:tabs>
          <w:tab w:val="num" w:pos="1721"/>
        </w:tabs>
        <w:ind w:left="1701" w:hanging="340"/>
      </w:pPr>
      <w:rPr>
        <w:rFonts w:ascii="Symbol" w:hAnsi="Symbol" w:hint="default"/>
        <w:sz w:val="16"/>
      </w:rPr>
    </w:lvl>
    <w:lvl w:ilvl="5">
      <w:start w:val="1"/>
      <w:numFmt w:val="bullet"/>
      <w:lvlText w:val=""/>
      <w:lvlJc w:val="left"/>
      <w:pPr>
        <w:tabs>
          <w:tab w:val="num" w:pos="2061"/>
        </w:tabs>
        <w:ind w:left="2041" w:hanging="340"/>
      </w:pPr>
      <w:rPr>
        <w:rFonts w:ascii="Symbol" w:hAnsi="Symbol" w:hint="default"/>
        <w:sz w:val="16"/>
      </w:rPr>
    </w:lvl>
    <w:lvl w:ilvl="6">
      <w:start w:val="1"/>
      <w:numFmt w:val="bullet"/>
      <w:lvlText w:val=""/>
      <w:lvlJc w:val="left"/>
      <w:pPr>
        <w:tabs>
          <w:tab w:val="num" w:pos="2401"/>
        </w:tabs>
        <w:ind w:left="2381" w:hanging="340"/>
      </w:pPr>
      <w:rPr>
        <w:rFonts w:ascii="Symbol" w:hAnsi="Symbol" w:hint="default"/>
        <w:sz w:val="16"/>
      </w:rPr>
    </w:lvl>
    <w:lvl w:ilvl="7">
      <w:start w:val="1"/>
      <w:numFmt w:val="bullet"/>
      <w:lvlText w:val=""/>
      <w:lvlJc w:val="left"/>
      <w:pPr>
        <w:tabs>
          <w:tab w:val="num" w:pos="2741"/>
        </w:tabs>
        <w:ind w:left="2722" w:hanging="341"/>
      </w:pPr>
      <w:rPr>
        <w:rFonts w:ascii="Symbol" w:hAnsi="Symbol" w:hint="default"/>
        <w:sz w:val="16"/>
      </w:rPr>
    </w:lvl>
    <w:lvl w:ilvl="8">
      <w:start w:val="1"/>
      <w:numFmt w:val="bullet"/>
      <w:lvlText w:val=""/>
      <w:lvlJc w:val="left"/>
      <w:pPr>
        <w:tabs>
          <w:tab w:val="num" w:pos="3082"/>
        </w:tabs>
        <w:ind w:left="3062" w:hanging="340"/>
      </w:pPr>
      <w:rPr>
        <w:rFonts w:ascii="Symbol" w:hAnsi="Symbol" w:hint="default"/>
        <w:sz w:val="16"/>
      </w:rPr>
    </w:lvl>
  </w:abstractNum>
  <w:abstractNum w:abstractNumId="87">
    <w:nsid w:val="5035490E"/>
    <w:multiLevelType w:val="hybridMultilevel"/>
    <w:tmpl w:val="33C0B222"/>
    <w:lvl w:ilvl="0" w:tplc="08130015">
      <w:start w:val="19"/>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8">
    <w:nsid w:val="51E03A6D"/>
    <w:multiLevelType w:val="hybridMultilevel"/>
    <w:tmpl w:val="7BF00598"/>
    <w:lvl w:ilvl="0" w:tplc="08130015">
      <w:start w:val="19"/>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9">
    <w:nsid w:val="52246E67"/>
    <w:multiLevelType w:val="hybridMultilevel"/>
    <w:tmpl w:val="D1E85C02"/>
    <w:lvl w:ilvl="0" w:tplc="E300082A">
      <w:start w:val="1"/>
      <w:numFmt w:val="decimal"/>
      <w:lvlText w:val="%1."/>
      <w:lvlJc w:val="left"/>
      <w:pPr>
        <w:ind w:left="502" w:hanging="360"/>
      </w:pPr>
      <w:rPr>
        <w:rFonts w:hint="default"/>
        <w:b w:val="0"/>
      </w:rPr>
    </w:lvl>
    <w:lvl w:ilvl="1" w:tplc="AFD87A20" w:tentative="1">
      <w:start w:val="1"/>
      <w:numFmt w:val="bullet"/>
      <w:lvlText w:val="o"/>
      <w:lvlJc w:val="left"/>
      <w:pPr>
        <w:ind w:left="1440" w:hanging="360"/>
      </w:pPr>
      <w:rPr>
        <w:rFonts w:ascii="Courier New" w:hAnsi="Courier New" w:hint="default"/>
      </w:rPr>
    </w:lvl>
    <w:lvl w:ilvl="2" w:tplc="7FE888E4" w:tentative="1">
      <w:start w:val="1"/>
      <w:numFmt w:val="bullet"/>
      <w:lvlText w:val=""/>
      <w:lvlJc w:val="left"/>
      <w:pPr>
        <w:ind w:left="2160" w:hanging="360"/>
      </w:pPr>
      <w:rPr>
        <w:rFonts w:ascii="Wingdings" w:hAnsi="Wingdings" w:hint="default"/>
      </w:rPr>
    </w:lvl>
    <w:lvl w:ilvl="3" w:tplc="244A7504" w:tentative="1">
      <w:start w:val="1"/>
      <w:numFmt w:val="bullet"/>
      <w:lvlText w:val=""/>
      <w:lvlJc w:val="left"/>
      <w:pPr>
        <w:ind w:left="2880" w:hanging="360"/>
      </w:pPr>
      <w:rPr>
        <w:rFonts w:ascii="Symbol" w:hAnsi="Symbol" w:hint="default"/>
      </w:rPr>
    </w:lvl>
    <w:lvl w:ilvl="4" w:tplc="80582FC6" w:tentative="1">
      <w:start w:val="1"/>
      <w:numFmt w:val="bullet"/>
      <w:lvlText w:val="o"/>
      <w:lvlJc w:val="left"/>
      <w:pPr>
        <w:ind w:left="3600" w:hanging="360"/>
      </w:pPr>
      <w:rPr>
        <w:rFonts w:ascii="Courier New" w:hAnsi="Courier New" w:hint="default"/>
      </w:rPr>
    </w:lvl>
    <w:lvl w:ilvl="5" w:tplc="44EEB34C" w:tentative="1">
      <w:start w:val="1"/>
      <w:numFmt w:val="bullet"/>
      <w:lvlText w:val=""/>
      <w:lvlJc w:val="left"/>
      <w:pPr>
        <w:ind w:left="4320" w:hanging="360"/>
      </w:pPr>
      <w:rPr>
        <w:rFonts w:ascii="Wingdings" w:hAnsi="Wingdings" w:hint="default"/>
      </w:rPr>
    </w:lvl>
    <w:lvl w:ilvl="6" w:tplc="E714871C" w:tentative="1">
      <w:start w:val="1"/>
      <w:numFmt w:val="bullet"/>
      <w:lvlText w:val=""/>
      <w:lvlJc w:val="left"/>
      <w:pPr>
        <w:ind w:left="5040" w:hanging="360"/>
      </w:pPr>
      <w:rPr>
        <w:rFonts w:ascii="Symbol" w:hAnsi="Symbol" w:hint="default"/>
      </w:rPr>
    </w:lvl>
    <w:lvl w:ilvl="7" w:tplc="ADB69726" w:tentative="1">
      <w:start w:val="1"/>
      <w:numFmt w:val="bullet"/>
      <w:lvlText w:val="o"/>
      <w:lvlJc w:val="left"/>
      <w:pPr>
        <w:ind w:left="5760" w:hanging="360"/>
      </w:pPr>
      <w:rPr>
        <w:rFonts w:ascii="Courier New" w:hAnsi="Courier New" w:hint="default"/>
      </w:rPr>
    </w:lvl>
    <w:lvl w:ilvl="8" w:tplc="F76ED710" w:tentative="1">
      <w:start w:val="1"/>
      <w:numFmt w:val="bullet"/>
      <w:lvlText w:val=""/>
      <w:lvlJc w:val="left"/>
      <w:pPr>
        <w:ind w:left="6480" w:hanging="360"/>
      </w:pPr>
      <w:rPr>
        <w:rFonts w:ascii="Wingdings" w:hAnsi="Wingdings" w:hint="default"/>
      </w:rPr>
    </w:lvl>
  </w:abstractNum>
  <w:abstractNum w:abstractNumId="90">
    <w:nsid w:val="538E451C"/>
    <w:multiLevelType w:val="hybridMultilevel"/>
    <w:tmpl w:val="2E5A90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1">
    <w:nsid w:val="54AD2C8B"/>
    <w:multiLevelType w:val="hybridMultilevel"/>
    <w:tmpl w:val="264EFC66"/>
    <w:lvl w:ilvl="0" w:tplc="4D96E418">
      <w:start w:val="1"/>
      <w:numFmt w:val="bullet"/>
      <w:lvlText w:val=""/>
      <w:lvlJc w:val="left"/>
      <w:pPr>
        <w:tabs>
          <w:tab w:val="num" w:pos="0"/>
        </w:tabs>
        <w:ind w:left="0" w:firstLine="0"/>
      </w:pPr>
      <w:rPr>
        <w:rFonts w:ascii="Symbol" w:hAnsi="Symbol" w:hint="default"/>
        <w:color w:val="auto"/>
        <w:sz w:val="1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59E57B4"/>
    <w:multiLevelType w:val="hybridMultilevel"/>
    <w:tmpl w:val="62D271A4"/>
    <w:lvl w:ilvl="0" w:tplc="08130001">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3">
    <w:nsid w:val="56CB67A1"/>
    <w:multiLevelType w:val="hybridMultilevel"/>
    <w:tmpl w:val="5100ECF4"/>
    <w:lvl w:ilvl="0" w:tplc="0AFA6014">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4">
    <w:nsid w:val="57910E92"/>
    <w:multiLevelType w:val="hybridMultilevel"/>
    <w:tmpl w:val="48BCBF0A"/>
    <w:lvl w:ilvl="0" w:tplc="E166B54E">
      <w:start w:val="1"/>
      <w:numFmt w:val="bullet"/>
      <w:lvlText w:val=""/>
      <w:lvlJc w:val="left"/>
      <w:pPr>
        <w:ind w:left="720" w:hanging="360"/>
      </w:pPr>
      <w:rPr>
        <w:rFonts w:ascii="Symbol" w:hAnsi="Symbol" w:hint="default"/>
      </w:rPr>
    </w:lvl>
    <w:lvl w:ilvl="1" w:tplc="1D4425C0" w:tentative="1">
      <w:start w:val="1"/>
      <w:numFmt w:val="bullet"/>
      <w:lvlText w:val="o"/>
      <w:lvlJc w:val="left"/>
      <w:pPr>
        <w:ind w:left="1440" w:hanging="360"/>
      </w:pPr>
      <w:rPr>
        <w:rFonts w:ascii="Courier New" w:hAnsi="Courier New" w:cs="Courier New" w:hint="default"/>
      </w:rPr>
    </w:lvl>
    <w:lvl w:ilvl="2" w:tplc="7B446F3E" w:tentative="1">
      <w:start w:val="1"/>
      <w:numFmt w:val="bullet"/>
      <w:lvlText w:val=""/>
      <w:lvlJc w:val="left"/>
      <w:pPr>
        <w:ind w:left="2160" w:hanging="360"/>
      </w:pPr>
      <w:rPr>
        <w:rFonts w:ascii="Wingdings" w:hAnsi="Wingdings" w:hint="default"/>
      </w:rPr>
    </w:lvl>
    <w:lvl w:ilvl="3" w:tplc="2B0AA75A" w:tentative="1">
      <w:start w:val="1"/>
      <w:numFmt w:val="bullet"/>
      <w:lvlText w:val=""/>
      <w:lvlJc w:val="left"/>
      <w:pPr>
        <w:ind w:left="2880" w:hanging="360"/>
      </w:pPr>
      <w:rPr>
        <w:rFonts w:ascii="Symbol" w:hAnsi="Symbol" w:hint="default"/>
      </w:rPr>
    </w:lvl>
    <w:lvl w:ilvl="4" w:tplc="C4CC5DAA" w:tentative="1">
      <w:start w:val="1"/>
      <w:numFmt w:val="bullet"/>
      <w:lvlText w:val="o"/>
      <w:lvlJc w:val="left"/>
      <w:pPr>
        <w:ind w:left="3600" w:hanging="360"/>
      </w:pPr>
      <w:rPr>
        <w:rFonts w:ascii="Courier New" w:hAnsi="Courier New" w:cs="Courier New" w:hint="default"/>
      </w:rPr>
    </w:lvl>
    <w:lvl w:ilvl="5" w:tplc="976A3F2A" w:tentative="1">
      <w:start w:val="1"/>
      <w:numFmt w:val="bullet"/>
      <w:lvlText w:val=""/>
      <w:lvlJc w:val="left"/>
      <w:pPr>
        <w:ind w:left="4320" w:hanging="360"/>
      </w:pPr>
      <w:rPr>
        <w:rFonts w:ascii="Wingdings" w:hAnsi="Wingdings" w:hint="default"/>
      </w:rPr>
    </w:lvl>
    <w:lvl w:ilvl="6" w:tplc="A162B084" w:tentative="1">
      <w:start w:val="1"/>
      <w:numFmt w:val="bullet"/>
      <w:lvlText w:val=""/>
      <w:lvlJc w:val="left"/>
      <w:pPr>
        <w:ind w:left="5040" w:hanging="360"/>
      </w:pPr>
      <w:rPr>
        <w:rFonts w:ascii="Symbol" w:hAnsi="Symbol" w:hint="default"/>
      </w:rPr>
    </w:lvl>
    <w:lvl w:ilvl="7" w:tplc="437074C2" w:tentative="1">
      <w:start w:val="1"/>
      <w:numFmt w:val="bullet"/>
      <w:lvlText w:val="o"/>
      <w:lvlJc w:val="left"/>
      <w:pPr>
        <w:ind w:left="5760" w:hanging="360"/>
      </w:pPr>
      <w:rPr>
        <w:rFonts w:ascii="Courier New" w:hAnsi="Courier New" w:cs="Courier New" w:hint="default"/>
      </w:rPr>
    </w:lvl>
    <w:lvl w:ilvl="8" w:tplc="CD7EDAB0" w:tentative="1">
      <w:start w:val="1"/>
      <w:numFmt w:val="bullet"/>
      <w:lvlText w:val=""/>
      <w:lvlJc w:val="left"/>
      <w:pPr>
        <w:ind w:left="6480" w:hanging="360"/>
      </w:pPr>
      <w:rPr>
        <w:rFonts w:ascii="Wingdings" w:hAnsi="Wingdings" w:hint="default"/>
      </w:rPr>
    </w:lvl>
  </w:abstractNum>
  <w:abstractNum w:abstractNumId="95">
    <w:nsid w:val="57AC2C9F"/>
    <w:multiLevelType w:val="hybridMultilevel"/>
    <w:tmpl w:val="F2AEB6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6">
    <w:nsid w:val="58EB75BF"/>
    <w:multiLevelType w:val="hybridMultilevel"/>
    <w:tmpl w:val="ECE249A4"/>
    <w:lvl w:ilvl="0" w:tplc="EE8CF724">
      <w:start w:val="60"/>
      <w:numFmt w:val="decimal"/>
      <w:lvlText w:val="%1"/>
      <w:lvlJc w:val="left"/>
      <w:pPr>
        <w:ind w:left="1080" w:hanging="360"/>
      </w:pPr>
      <w:rPr>
        <w:rFonts w:ascii="Calibri" w:hAnsi="Calibr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7">
    <w:nsid w:val="5BB9080B"/>
    <w:multiLevelType w:val="hybridMultilevel"/>
    <w:tmpl w:val="F23815A2"/>
    <w:lvl w:ilvl="0" w:tplc="08130001">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8">
    <w:nsid w:val="5E036599"/>
    <w:multiLevelType w:val="hybridMultilevel"/>
    <w:tmpl w:val="9050D074"/>
    <w:lvl w:ilvl="0" w:tplc="B3AC59C8">
      <w:numFmt w:val="bullet"/>
      <w:lvlText w:val="-"/>
      <w:lvlJc w:val="left"/>
      <w:pPr>
        <w:tabs>
          <w:tab w:val="num" w:pos="720"/>
        </w:tabs>
        <w:ind w:left="720" w:hanging="360"/>
      </w:pPr>
      <w:rPr>
        <w:rFonts w:ascii="Times New Roman" w:eastAsiaTheme="minorHAnsi" w:hAnsi="Times New Roman" w:cs="Times New Roman" w:hint="default"/>
        <w:lang w:val="nl-NL"/>
      </w:rPr>
    </w:lvl>
    <w:lvl w:ilvl="1" w:tplc="08130003">
      <w:start w:val="1"/>
      <w:numFmt w:val="bullet"/>
      <w:lvlText w:val="o"/>
      <w:lvlJc w:val="left"/>
      <w:pPr>
        <w:tabs>
          <w:tab w:val="num" w:pos="1440"/>
        </w:tabs>
        <w:ind w:left="1440" w:hanging="360"/>
      </w:pPr>
      <w:rPr>
        <w:rFonts w:ascii="Courier New" w:hAnsi="Courier New" w:hint="default"/>
      </w:rPr>
    </w:lvl>
    <w:lvl w:ilvl="2" w:tplc="08130005">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99">
    <w:nsid w:val="5EAF1978"/>
    <w:multiLevelType w:val="hybridMultilevel"/>
    <w:tmpl w:val="7902D960"/>
    <w:lvl w:ilvl="0" w:tplc="0813000F">
      <w:start w:val="900"/>
      <w:numFmt w:val="bullet"/>
      <w:lvlText w:val="-"/>
      <w:lvlJc w:val="left"/>
      <w:pPr>
        <w:ind w:left="720" w:hanging="360"/>
      </w:pPr>
      <w:rPr>
        <w:rFonts w:ascii="Calibri" w:eastAsiaTheme="minorHAnsi" w:hAnsi="Calibri" w:cs="Calibri" w:hint="default"/>
      </w:rPr>
    </w:lvl>
    <w:lvl w:ilvl="1" w:tplc="08130019" w:tentative="1">
      <w:start w:val="1"/>
      <w:numFmt w:val="bullet"/>
      <w:lvlText w:val="o"/>
      <w:lvlJc w:val="left"/>
      <w:pPr>
        <w:ind w:left="1440" w:hanging="360"/>
      </w:pPr>
      <w:rPr>
        <w:rFonts w:ascii="Courier New" w:hAnsi="Courier New" w:cs="Courier New" w:hint="default"/>
      </w:rPr>
    </w:lvl>
    <w:lvl w:ilvl="2" w:tplc="0813001B" w:tentative="1">
      <w:start w:val="1"/>
      <w:numFmt w:val="bullet"/>
      <w:lvlText w:val=""/>
      <w:lvlJc w:val="left"/>
      <w:pPr>
        <w:ind w:left="2160" w:hanging="360"/>
      </w:pPr>
      <w:rPr>
        <w:rFonts w:ascii="Wingdings" w:hAnsi="Wingdings" w:hint="default"/>
      </w:rPr>
    </w:lvl>
    <w:lvl w:ilvl="3" w:tplc="0813000F" w:tentative="1">
      <w:start w:val="1"/>
      <w:numFmt w:val="bullet"/>
      <w:lvlText w:val=""/>
      <w:lvlJc w:val="left"/>
      <w:pPr>
        <w:ind w:left="2880" w:hanging="360"/>
      </w:pPr>
      <w:rPr>
        <w:rFonts w:ascii="Symbol" w:hAnsi="Symbol" w:hint="default"/>
      </w:rPr>
    </w:lvl>
    <w:lvl w:ilvl="4" w:tplc="08130019" w:tentative="1">
      <w:start w:val="1"/>
      <w:numFmt w:val="bullet"/>
      <w:lvlText w:val="o"/>
      <w:lvlJc w:val="left"/>
      <w:pPr>
        <w:ind w:left="3600" w:hanging="360"/>
      </w:pPr>
      <w:rPr>
        <w:rFonts w:ascii="Courier New" w:hAnsi="Courier New" w:cs="Courier New" w:hint="default"/>
      </w:rPr>
    </w:lvl>
    <w:lvl w:ilvl="5" w:tplc="0813001B" w:tentative="1">
      <w:start w:val="1"/>
      <w:numFmt w:val="bullet"/>
      <w:lvlText w:val=""/>
      <w:lvlJc w:val="left"/>
      <w:pPr>
        <w:ind w:left="4320" w:hanging="360"/>
      </w:pPr>
      <w:rPr>
        <w:rFonts w:ascii="Wingdings" w:hAnsi="Wingdings" w:hint="default"/>
      </w:rPr>
    </w:lvl>
    <w:lvl w:ilvl="6" w:tplc="0813000F" w:tentative="1">
      <w:start w:val="1"/>
      <w:numFmt w:val="bullet"/>
      <w:lvlText w:val=""/>
      <w:lvlJc w:val="left"/>
      <w:pPr>
        <w:ind w:left="5040" w:hanging="360"/>
      </w:pPr>
      <w:rPr>
        <w:rFonts w:ascii="Symbol" w:hAnsi="Symbol" w:hint="default"/>
      </w:rPr>
    </w:lvl>
    <w:lvl w:ilvl="7" w:tplc="08130019" w:tentative="1">
      <w:start w:val="1"/>
      <w:numFmt w:val="bullet"/>
      <w:lvlText w:val="o"/>
      <w:lvlJc w:val="left"/>
      <w:pPr>
        <w:ind w:left="5760" w:hanging="360"/>
      </w:pPr>
      <w:rPr>
        <w:rFonts w:ascii="Courier New" w:hAnsi="Courier New" w:cs="Courier New" w:hint="default"/>
      </w:rPr>
    </w:lvl>
    <w:lvl w:ilvl="8" w:tplc="0813001B" w:tentative="1">
      <w:start w:val="1"/>
      <w:numFmt w:val="bullet"/>
      <w:lvlText w:val=""/>
      <w:lvlJc w:val="left"/>
      <w:pPr>
        <w:ind w:left="6480" w:hanging="360"/>
      </w:pPr>
      <w:rPr>
        <w:rFonts w:ascii="Wingdings" w:hAnsi="Wingdings" w:hint="default"/>
      </w:rPr>
    </w:lvl>
  </w:abstractNum>
  <w:abstractNum w:abstractNumId="100">
    <w:nsid w:val="5FE9400A"/>
    <w:multiLevelType w:val="hybridMultilevel"/>
    <w:tmpl w:val="89D05F1A"/>
    <w:lvl w:ilvl="0" w:tplc="E09095A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1">
    <w:nsid w:val="62371FFD"/>
    <w:multiLevelType w:val="hybridMultilevel"/>
    <w:tmpl w:val="52AC0896"/>
    <w:lvl w:ilvl="0" w:tplc="0AFA6014">
      <w:start w:val="2"/>
      <w:numFmt w:val="bullet"/>
      <w:lvlText w:val="-"/>
      <w:lvlJc w:val="left"/>
      <w:pPr>
        <w:ind w:left="1440" w:hanging="360"/>
      </w:pPr>
      <w:rPr>
        <w:rFonts w:ascii="Times New Roman" w:hAnsi="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2">
    <w:nsid w:val="62B8091D"/>
    <w:multiLevelType w:val="hybridMultilevel"/>
    <w:tmpl w:val="D9484AC4"/>
    <w:lvl w:ilvl="0" w:tplc="0AFA6014">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3">
    <w:nsid w:val="62D139F1"/>
    <w:multiLevelType w:val="hybridMultilevel"/>
    <w:tmpl w:val="1AFA3B1A"/>
    <w:lvl w:ilvl="0" w:tplc="4D96E418">
      <w:start w:val="1"/>
      <w:numFmt w:val="bullet"/>
      <w:lvlText w:val=""/>
      <w:lvlJc w:val="left"/>
      <w:pPr>
        <w:tabs>
          <w:tab w:val="num" w:pos="0"/>
        </w:tabs>
        <w:ind w:left="0" w:firstLine="0"/>
      </w:pPr>
      <w:rPr>
        <w:rFonts w:ascii="Symbol" w:hAnsi="Symbol" w:hint="default"/>
        <w:color w:val="auto"/>
        <w:sz w:val="1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632141BB"/>
    <w:multiLevelType w:val="hybridMultilevel"/>
    <w:tmpl w:val="99D052DE"/>
    <w:lvl w:ilvl="0" w:tplc="0AFA6014">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5">
    <w:nsid w:val="66896697"/>
    <w:multiLevelType w:val="hybridMultilevel"/>
    <w:tmpl w:val="E10E5320"/>
    <w:lvl w:ilvl="0" w:tplc="3C82AD8C">
      <w:start w:val="1"/>
      <w:numFmt w:val="bullet"/>
      <w:lvlText w:val=""/>
      <w:lvlJc w:val="left"/>
      <w:pPr>
        <w:tabs>
          <w:tab w:val="num" w:pos="0"/>
        </w:tabs>
        <w:ind w:left="0" w:firstLine="0"/>
      </w:pPr>
      <w:rPr>
        <w:rFonts w:ascii="Symbol" w:hAnsi="Symbol" w:hint="default"/>
        <w:color w:val="auto"/>
        <w:sz w:val="18"/>
        <w:szCs w:val="24"/>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06">
    <w:nsid w:val="679E6AEE"/>
    <w:multiLevelType w:val="hybridMultilevel"/>
    <w:tmpl w:val="E390A330"/>
    <w:lvl w:ilvl="0" w:tplc="EFFC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BE504EB"/>
    <w:multiLevelType w:val="hybridMultilevel"/>
    <w:tmpl w:val="B6D8F394"/>
    <w:lvl w:ilvl="0" w:tplc="4D96E418">
      <w:start w:val="1"/>
      <w:numFmt w:val="bullet"/>
      <w:lvlText w:val=""/>
      <w:lvlJc w:val="left"/>
      <w:pPr>
        <w:tabs>
          <w:tab w:val="num" w:pos="45"/>
        </w:tabs>
        <w:ind w:left="45" w:firstLine="0"/>
      </w:pPr>
      <w:rPr>
        <w:rFonts w:ascii="Symbol" w:hAnsi="Symbol" w:hint="default"/>
        <w:color w:val="auto"/>
        <w:sz w:val="18"/>
        <w:szCs w:val="24"/>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8">
    <w:nsid w:val="6BF44784"/>
    <w:multiLevelType w:val="hybridMultilevel"/>
    <w:tmpl w:val="B3764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9">
    <w:nsid w:val="6C705045"/>
    <w:multiLevelType w:val="hybridMultilevel"/>
    <w:tmpl w:val="480C6982"/>
    <w:lvl w:ilvl="0" w:tplc="4D96E418">
      <w:start w:val="1"/>
      <w:numFmt w:val="bullet"/>
      <w:lvlText w:val=""/>
      <w:lvlJc w:val="left"/>
      <w:pPr>
        <w:tabs>
          <w:tab w:val="num" w:pos="1418"/>
        </w:tabs>
        <w:ind w:left="1418" w:hanging="284"/>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6E4E7CFA"/>
    <w:multiLevelType w:val="hybridMultilevel"/>
    <w:tmpl w:val="CFD82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1">
    <w:nsid w:val="6EE34344"/>
    <w:multiLevelType w:val="hybridMultilevel"/>
    <w:tmpl w:val="862A6CD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2">
    <w:nsid w:val="706653FF"/>
    <w:multiLevelType w:val="hybridMultilevel"/>
    <w:tmpl w:val="53101C04"/>
    <w:lvl w:ilvl="0" w:tplc="08130001">
      <w:numFmt w:val="bullet"/>
      <w:lvlText w:val="-"/>
      <w:lvlJc w:val="left"/>
      <w:pPr>
        <w:tabs>
          <w:tab w:val="num" w:pos="2007"/>
        </w:tabs>
        <w:ind w:left="2007" w:hanging="720"/>
      </w:pPr>
      <w:rPr>
        <w:rFonts w:ascii="Arial" w:eastAsia="Times New Roman" w:hAnsi="Arial" w:cs="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3">
    <w:nsid w:val="71226E33"/>
    <w:multiLevelType w:val="hybridMultilevel"/>
    <w:tmpl w:val="BA84DD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4">
    <w:nsid w:val="740A7A5A"/>
    <w:multiLevelType w:val="hybridMultilevel"/>
    <w:tmpl w:val="61B6160C"/>
    <w:lvl w:ilvl="0" w:tplc="0AFA6014">
      <w:start w:val="2"/>
      <w:numFmt w:val="bullet"/>
      <w:lvlText w:val="-"/>
      <w:lvlJc w:val="left"/>
      <w:pPr>
        <w:ind w:left="1440" w:hanging="360"/>
      </w:pPr>
      <w:rPr>
        <w:rFonts w:ascii="Times New Roman" w:hAnsi="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5">
    <w:nsid w:val="74CC1164"/>
    <w:multiLevelType w:val="hybridMultilevel"/>
    <w:tmpl w:val="DF58DC10"/>
    <w:lvl w:ilvl="0" w:tplc="4D96E4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74D55750"/>
    <w:multiLevelType w:val="hybridMultilevel"/>
    <w:tmpl w:val="E24E744E"/>
    <w:lvl w:ilvl="0" w:tplc="70D07E88">
      <w:start w:val="1"/>
      <w:numFmt w:val="bullet"/>
      <w:lvlText w:val=""/>
      <w:lvlJc w:val="left"/>
      <w:pPr>
        <w:tabs>
          <w:tab w:val="num" w:pos="0"/>
        </w:tabs>
        <w:ind w:left="0" w:firstLine="0"/>
      </w:pPr>
      <w:rPr>
        <w:rFonts w:ascii="Symbol" w:hAnsi="Symbol" w:hint="default"/>
        <w:color w:val="auto"/>
        <w:sz w:val="18"/>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7">
    <w:nsid w:val="74EB3808"/>
    <w:multiLevelType w:val="hybridMultilevel"/>
    <w:tmpl w:val="800E2EF0"/>
    <w:lvl w:ilvl="0" w:tplc="4D96E418">
      <w:start w:val="1"/>
      <w:numFmt w:val="bullet"/>
      <w:lvlText w:val=""/>
      <w:lvlJc w:val="left"/>
      <w:pPr>
        <w:tabs>
          <w:tab w:val="num" w:pos="0"/>
        </w:tabs>
        <w:ind w:left="0" w:firstLine="0"/>
      </w:pPr>
      <w:rPr>
        <w:rFonts w:ascii="Symbol" w:hAnsi="Symbol" w:hint="default"/>
        <w:color w:val="auto"/>
        <w:sz w:val="1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758D76DA"/>
    <w:multiLevelType w:val="hybridMultilevel"/>
    <w:tmpl w:val="02EC8AAE"/>
    <w:lvl w:ilvl="0" w:tplc="04130001">
      <w:numFmt w:val="bullet"/>
      <w:lvlText w:val="-"/>
      <w:lvlJc w:val="left"/>
      <w:pPr>
        <w:ind w:left="720" w:hanging="360"/>
      </w:pPr>
      <w:rPr>
        <w:rFonts w:ascii="AvantGarde Bk BT" w:eastAsia="Times New Roman" w:hAnsi="AvantGarde Bk B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9">
    <w:nsid w:val="782D366F"/>
    <w:multiLevelType w:val="hybridMultilevel"/>
    <w:tmpl w:val="019653BE"/>
    <w:lvl w:ilvl="0" w:tplc="C1BA89C4">
      <w:start w:val="1"/>
      <w:numFmt w:val="bullet"/>
      <w:lvlText w:val=""/>
      <w:lvlJc w:val="left"/>
      <w:pPr>
        <w:ind w:left="720" w:hanging="360"/>
      </w:pPr>
      <w:rPr>
        <w:rFonts w:ascii="Symbol" w:hAnsi="Symbol" w:hint="default"/>
      </w:rPr>
    </w:lvl>
    <w:lvl w:ilvl="1" w:tplc="C2B2CF5A">
      <w:start w:val="1"/>
      <w:numFmt w:val="bullet"/>
      <w:lvlText w:val="o"/>
      <w:lvlJc w:val="left"/>
      <w:pPr>
        <w:ind w:left="1440" w:hanging="360"/>
      </w:pPr>
      <w:rPr>
        <w:rFonts w:ascii="Courier New" w:hAnsi="Courier New" w:cs="Courier New" w:hint="default"/>
      </w:rPr>
    </w:lvl>
    <w:lvl w:ilvl="2" w:tplc="35405D26" w:tentative="1">
      <w:start w:val="1"/>
      <w:numFmt w:val="bullet"/>
      <w:lvlText w:val=""/>
      <w:lvlJc w:val="left"/>
      <w:pPr>
        <w:ind w:left="2160" w:hanging="360"/>
      </w:pPr>
      <w:rPr>
        <w:rFonts w:ascii="Wingdings" w:hAnsi="Wingdings" w:hint="default"/>
      </w:rPr>
    </w:lvl>
    <w:lvl w:ilvl="3" w:tplc="FB2697B4" w:tentative="1">
      <w:start w:val="1"/>
      <w:numFmt w:val="bullet"/>
      <w:lvlText w:val=""/>
      <w:lvlJc w:val="left"/>
      <w:pPr>
        <w:ind w:left="2880" w:hanging="360"/>
      </w:pPr>
      <w:rPr>
        <w:rFonts w:ascii="Symbol" w:hAnsi="Symbol" w:hint="default"/>
      </w:rPr>
    </w:lvl>
    <w:lvl w:ilvl="4" w:tplc="4A527862" w:tentative="1">
      <w:start w:val="1"/>
      <w:numFmt w:val="bullet"/>
      <w:lvlText w:val="o"/>
      <w:lvlJc w:val="left"/>
      <w:pPr>
        <w:ind w:left="3600" w:hanging="360"/>
      </w:pPr>
      <w:rPr>
        <w:rFonts w:ascii="Courier New" w:hAnsi="Courier New" w:cs="Courier New" w:hint="default"/>
      </w:rPr>
    </w:lvl>
    <w:lvl w:ilvl="5" w:tplc="B554CE84" w:tentative="1">
      <w:start w:val="1"/>
      <w:numFmt w:val="bullet"/>
      <w:lvlText w:val=""/>
      <w:lvlJc w:val="left"/>
      <w:pPr>
        <w:ind w:left="4320" w:hanging="360"/>
      </w:pPr>
      <w:rPr>
        <w:rFonts w:ascii="Wingdings" w:hAnsi="Wingdings" w:hint="default"/>
      </w:rPr>
    </w:lvl>
    <w:lvl w:ilvl="6" w:tplc="12ACBF0E" w:tentative="1">
      <w:start w:val="1"/>
      <w:numFmt w:val="bullet"/>
      <w:lvlText w:val=""/>
      <w:lvlJc w:val="left"/>
      <w:pPr>
        <w:ind w:left="5040" w:hanging="360"/>
      </w:pPr>
      <w:rPr>
        <w:rFonts w:ascii="Symbol" w:hAnsi="Symbol" w:hint="default"/>
      </w:rPr>
    </w:lvl>
    <w:lvl w:ilvl="7" w:tplc="FE220A3A" w:tentative="1">
      <w:start w:val="1"/>
      <w:numFmt w:val="bullet"/>
      <w:lvlText w:val="o"/>
      <w:lvlJc w:val="left"/>
      <w:pPr>
        <w:ind w:left="5760" w:hanging="360"/>
      </w:pPr>
      <w:rPr>
        <w:rFonts w:ascii="Courier New" w:hAnsi="Courier New" w:cs="Courier New" w:hint="default"/>
      </w:rPr>
    </w:lvl>
    <w:lvl w:ilvl="8" w:tplc="C788655A" w:tentative="1">
      <w:start w:val="1"/>
      <w:numFmt w:val="bullet"/>
      <w:lvlText w:val=""/>
      <w:lvlJc w:val="left"/>
      <w:pPr>
        <w:ind w:left="6480" w:hanging="360"/>
      </w:pPr>
      <w:rPr>
        <w:rFonts w:ascii="Wingdings" w:hAnsi="Wingdings" w:hint="default"/>
      </w:rPr>
    </w:lvl>
  </w:abstractNum>
  <w:abstractNum w:abstractNumId="120">
    <w:nsid w:val="7B5C599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nsid w:val="7E042284"/>
    <w:multiLevelType w:val="hybridMultilevel"/>
    <w:tmpl w:val="D21403D6"/>
    <w:lvl w:ilvl="0" w:tplc="C6B6D3B0">
      <w:start w:val="2"/>
      <w:numFmt w:val="bullet"/>
      <w:lvlText w:val="-"/>
      <w:lvlJc w:val="left"/>
      <w:pPr>
        <w:ind w:left="1080" w:hanging="360"/>
      </w:pPr>
      <w:rPr>
        <w:rFonts w:ascii="Times New Roman" w:hAnsi="Times New Roman" w:hint="default"/>
      </w:rPr>
    </w:lvl>
    <w:lvl w:ilvl="1" w:tplc="87B46A2A" w:tentative="1">
      <w:start w:val="1"/>
      <w:numFmt w:val="bullet"/>
      <w:lvlText w:val="o"/>
      <w:lvlJc w:val="left"/>
      <w:pPr>
        <w:ind w:left="1800" w:hanging="360"/>
      </w:pPr>
      <w:rPr>
        <w:rFonts w:ascii="Courier New" w:hAnsi="Courier New" w:cs="Courier New" w:hint="default"/>
      </w:rPr>
    </w:lvl>
    <w:lvl w:ilvl="2" w:tplc="4C7C7FA6" w:tentative="1">
      <w:start w:val="1"/>
      <w:numFmt w:val="bullet"/>
      <w:lvlText w:val=""/>
      <w:lvlJc w:val="left"/>
      <w:pPr>
        <w:ind w:left="2520" w:hanging="360"/>
      </w:pPr>
      <w:rPr>
        <w:rFonts w:ascii="Wingdings" w:hAnsi="Wingdings" w:hint="default"/>
      </w:rPr>
    </w:lvl>
    <w:lvl w:ilvl="3" w:tplc="98F44144" w:tentative="1">
      <w:start w:val="1"/>
      <w:numFmt w:val="bullet"/>
      <w:lvlText w:val=""/>
      <w:lvlJc w:val="left"/>
      <w:pPr>
        <w:ind w:left="3240" w:hanging="360"/>
      </w:pPr>
      <w:rPr>
        <w:rFonts w:ascii="Symbol" w:hAnsi="Symbol" w:hint="default"/>
      </w:rPr>
    </w:lvl>
    <w:lvl w:ilvl="4" w:tplc="25D6FBBE" w:tentative="1">
      <w:start w:val="1"/>
      <w:numFmt w:val="bullet"/>
      <w:lvlText w:val="o"/>
      <w:lvlJc w:val="left"/>
      <w:pPr>
        <w:ind w:left="3960" w:hanging="360"/>
      </w:pPr>
      <w:rPr>
        <w:rFonts w:ascii="Courier New" w:hAnsi="Courier New" w:cs="Courier New" w:hint="default"/>
      </w:rPr>
    </w:lvl>
    <w:lvl w:ilvl="5" w:tplc="5E6A70C8" w:tentative="1">
      <w:start w:val="1"/>
      <w:numFmt w:val="bullet"/>
      <w:lvlText w:val=""/>
      <w:lvlJc w:val="left"/>
      <w:pPr>
        <w:ind w:left="4680" w:hanging="360"/>
      </w:pPr>
      <w:rPr>
        <w:rFonts w:ascii="Wingdings" w:hAnsi="Wingdings" w:hint="default"/>
      </w:rPr>
    </w:lvl>
    <w:lvl w:ilvl="6" w:tplc="11CE5E84" w:tentative="1">
      <w:start w:val="1"/>
      <w:numFmt w:val="bullet"/>
      <w:lvlText w:val=""/>
      <w:lvlJc w:val="left"/>
      <w:pPr>
        <w:ind w:left="5400" w:hanging="360"/>
      </w:pPr>
      <w:rPr>
        <w:rFonts w:ascii="Symbol" w:hAnsi="Symbol" w:hint="default"/>
      </w:rPr>
    </w:lvl>
    <w:lvl w:ilvl="7" w:tplc="7F764A62" w:tentative="1">
      <w:start w:val="1"/>
      <w:numFmt w:val="bullet"/>
      <w:lvlText w:val="o"/>
      <w:lvlJc w:val="left"/>
      <w:pPr>
        <w:ind w:left="6120" w:hanging="360"/>
      </w:pPr>
      <w:rPr>
        <w:rFonts w:ascii="Courier New" w:hAnsi="Courier New" w:cs="Courier New" w:hint="default"/>
      </w:rPr>
    </w:lvl>
    <w:lvl w:ilvl="8" w:tplc="F59E629A" w:tentative="1">
      <w:start w:val="1"/>
      <w:numFmt w:val="bullet"/>
      <w:lvlText w:val=""/>
      <w:lvlJc w:val="left"/>
      <w:pPr>
        <w:ind w:left="6840" w:hanging="360"/>
      </w:pPr>
      <w:rPr>
        <w:rFonts w:ascii="Wingdings" w:hAnsi="Wingdings" w:hint="default"/>
      </w:rPr>
    </w:lvl>
  </w:abstractNum>
  <w:abstractNum w:abstractNumId="122">
    <w:nsid w:val="7E1F364F"/>
    <w:multiLevelType w:val="hybridMultilevel"/>
    <w:tmpl w:val="9AD2FCF0"/>
    <w:lvl w:ilvl="0" w:tplc="0AFA6014">
      <w:start w:val="1"/>
      <w:numFmt w:val="decimal"/>
      <w:lvlText w:val="(%1)"/>
      <w:lvlJc w:val="left"/>
      <w:pPr>
        <w:ind w:left="720" w:hanging="360"/>
      </w:pPr>
      <w:rPr>
        <w:rFonts w:hint="default"/>
      </w:rPr>
    </w:lvl>
    <w:lvl w:ilvl="1" w:tplc="08130003" w:tentative="1">
      <w:start w:val="1"/>
      <w:numFmt w:val="lowerLetter"/>
      <w:lvlText w:val="%2."/>
      <w:lvlJc w:val="left"/>
      <w:pPr>
        <w:ind w:left="1440" w:hanging="360"/>
      </w:pPr>
    </w:lvl>
    <w:lvl w:ilvl="2" w:tplc="08130005" w:tentative="1">
      <w:start w:val="1"/>
      <w:numFmt w:val="lowerRoman"/>
      <w:lvlText w:val="%3."/>
      <w:lvlJc w:val="right"/>
      <w:pPr>
        <w:ind w:left="2160" w:hanging="180"/>
      </w:pPr>
    </w:lvl>
    <w:lvl w:ilvl="3" w:tplc="08130001" w:tentative="1">
      <w:start w:val="1"/>
      <w:numFmt w:val="decimal"/>
      <w:lvlText w:val="%4."/>
      <w:lvlJc w:val="left"/>
      <w:pPr>
        <w:ind w:left="2880" w:hanging="360"/>
      </w:pPr>
    </w:lvl>
    <w:lvl w:ilvl="4" w:tplc="08130003" w:tentative="1">
      <w:start w:val="1"/>
      <w:numFmt w:val="lowerLetter"/>
      <w:lvlText w:val="%5."/>
      <w:lvlJc w:val="left"/>
      <w:pPr>
        <w:ind w:left="3600" w:hanging="360"/>
      </w:pPr>
    </w:lvl>
    <w:lvl w:ilvl="5" w:tplc="08130005" w:tentative="1">
      <w:start w:val="1"/>
      <w:numFmt w:val="lowerRoman"/>
      <w:lvlText w:val="%6."/>
      <w:lvlJc w:val="right"/>
      <w:pPr>
        <w:ind w:left="4320" w:hanging="180"/>
      </w:pPr>
    </w:lvl>
    <w:lvl w:ilvl="6" w:tplc="08130001" w:tentative="1">
      <w:start w:val="1"/>
      <w:numFmt w:val="decimal"/>
      <w:lvlText w:val="%7."/>
      <w:lvlJc w:val="left"/>
      <w:pPr>
        <w:ind w:left="5040" w:hanging="360"/>
      </w:pPr>
    </w:lvl>
    <w:lvl w:ilvl="7" w:tplc="08130003" w:tentative="1">
      <w:start w:val="1"/>
      <w:numFmt w:val="lowerLetter"/>
      <w:lvlText w:val="%8."/>
      <w:lvlJc w:val="left"/>
      <w:pPr>
        <w:ind w:left="5760" w:hanging="360"/>
      </w:pPr>
    </w:lvl>
    <w:lvl w:ilvl="8" w:tplc="08130005" w:tentative="1">
      <w:start w:val="1"/>
      <w:numFmt w:val="lowerRoman"/>
      <w:lvlText w:val="%9."/>
      <w:lvlJc w:val="right"/>
      <w:pPr>
        <w:ind w:left="6480" w:hanging="180"/>
      </w:pPr>
    </w:lvl>
  </w:abstractNum>
  <w:num w:numId="1">
    <w:abstractNumId w:val="56"/>
  </w:num>
  <w:num w:numId="2">
    <w:abstractNumId w:val="120"/>
  </w:num>
  <w:num w:numId="3">
    <w:abstractNumId w:val="55"/>
  </w:num>
  <w:num w:numId="4">
    <w:abstractNumId w:val="9"/>
  </w:num>
  <w:num w:numId="5">
    <w:abstractNumId w:val="7"/>
  </w:num>
  <w:num w:numId="6">
    <w:abstractNumId w:val="6"/>
  </w:num>
  <w:num w:numId="7">
    <w:abstractNumId w:val="5"/>
  </w:num>
  <w:num w:numId="8">
    <w:abstractNumId w:val="4"/>
  </w:num>
  <w:num w:numId="9">
    <w:abstractNumId w:val="2"/>
  </w:num>
  <w:num w:numId="10">
    <w:abstractNumId w:val="1"/>
  </w:num>
  <w:num w:numId="11">
    <w:abstractNumId w:val="0"/>
  </w:num>
  <w:num w:numId="12">
    <w:abstractNumId w:val="8"/>
  </w:num>
  <w:num w:numId="13">
    <w:abstractNumId w:val="3"/>
  </w:num>
  <w:num w:numId="14">
    <w:abstractNumId w:val="33"/>
  </w:num>
  <w:num w:numId="15">
    <w:abstractNumId w:val="47"/>
  </w:num>
  <w:num w:numId="16">
    <w:abstractNumId w:val="112"/>
  </w:num>
  <w:num w:numId="17">
    <w:abstractNumId w:val="66"/>
  </w:num>
  <w:num w:numId="18">
    <w:abstractNumId w:val="52"/>
  </w:num>
  <w:num w:numId="19">
    <w:abstractNumId w:val="15"/>
  </w:num>
  <w:num w:numId="20">
    <w:abstractNumId w:val="98"/>
  </w:num>
  <w:num w:numId="21">
    <w:abstractNumId w:val="86"/>
  </w:num>
  <w:num w:numId="22">
    <w:abstractNumId w:val="105"/>
  </w:num>
  <w:num w:numId="23">
    <w:abstractNumId w:val="51"/>
  </w:num>
  <w:num w:numId="24">
    <w:abstractNumId w:val="115"/>
  </w:num>
  <w:num w:numId="25">
    <w:abstractNumId w:val="62"/>
  </w:num>
  <w:num w:numId="26">
    <w:abstractNumId w:val="36"/>
  </w:num>
  <w:num w:numId="27">
    <w:abstractNumId w:val="94"/>
  </w:num>
  <w:num w:numId="28">
    <w:abstractNumId w:val="122"/>
  </w:num>
  <w:num w:numId="29">
    <w:abstractNumId w:val="68"/>
  </w:num>
  <w:num w:numId="30">
    <w:abstractNumId w:val="23"/>
  </w:num>
  <w:num w:numId="31">
    <w:abstractNumId w:val="118"/>
  </w:num>
  <w:num w:numId="32">
    <w:abstractNumId w:val="21"/>
  </w:num>
  <w:num w:numId="33">
    <w:abstractNumId w:val="67"/>
  </w:num>
  <w:num w:numId="34">
    <w:abstractNumId w:val="26"/>
  </w:num>
  <w:num w:numId="35">
    <w:abstractNumId w:val="49"/>
  </w:num>
  <w:num w:numId="36">
    <w:abstractNumId w:val="40"/>
  </w:num>
  <w:num w:numId="37">
    <w:abstractNumId w:val="75"/>
  </w:num>
  <w:num w:numId="38">
    <w:abstractNumId w:val="32"/>
  </w:num>
  <w:num w:numId="39">
    <w:abstractNumId w:val="16"/>
  </w:num>
  <w:num w:numId="40">
    <w:abstractNumId w:val="48"/>
  </w:num>
  <w:num w:numId="41">
    <w:abstractNumId w:val="83"/>
  </w:num>
  <w:num w:numId="42">
    <w:abstractNumId w:val="34"/>
  </w:num>
  <w:num w:numId="43">
    <w:abstractNumId w:val="85"/>
  </w:num>
  <w:num w:numId="44">
    <w:abstractNumId w:val="79"/>
  </w:num>
  <w:num w:numId="45">
    <w:abstractNumId w:val="59"/>
  </w:num>
  <w:num w:numId="46">
    <w:abstractNumId w:val="81"/>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6"/>
  </w:num>
  <w:num w:numId="49">
    <w:abstractNumId w:val="99"/>
  </w:num>
  <w:num w:numId="50">
    <w:abstractNumId w:val="54"/>
  </w:num>
  <w:num w:numId="51">
    <w:abstractNumId w:val="46"/>
  </w:num>
  <w:num w:numId="52">
    <w:abstractNumId w:val="119"/>
  </w:num>
  <w:num w:numId="53">
    <w:abstractNumId w:val="31"/>
  </w:num>
  <w:num w:numId="54">
    <w:abstractNumId w:val="41"/>
  </w:num>
  <w:num w:numId="55">
    <w:abstractNumId w:val="82"/>
  </w:num>
  <w:num w:numId="56">
    <w:abstractNumId w:val="18"/>
  </w:num>
  <w:num w:numId="57">
    <w:abstractNumId w:val="89"/>
  </w:num>
  <w:num w:numId="58">
    <w:abstractNumId w:val="65"/>
  </w:num>
  <w:num w:numId="59">
    <w:abstractNumId w:val="113"/>
  </w:num>
  <w:num w:numId="60">
    <w:abstractNumId w:val="44"/>
  </w:num>
  <w:num w:numId="61">
    <w:abstractNumId w:val="110"/>
  </w:num>
  <w:num w:numId="62">
    <w:abstractNumId w:val="90"/>
  </w:num>
  <w:num w:numId="63">
    <w:abstractNumId w:val="73"/>
  </w:num>
  <w:num w:numId="64">
    <w:abstractNumId w:val="45"/>
  </w:num>
  <w:num w:numId="65">
    <w:abstractNumId w:val="53"/>
  </w:num>
  <w:num w:numId="66">
    <w:abstractNumId w:val="117"/>
  </w:num>
  <w:num w:numId="67">
    <w:abstractNumId w:val="70"/>
  </w:num>
  <w:num w:numId="68">
    <w:abstractNumId w:val="103"/>
  </w:num>
  <w:num w:numId="69">
    <w:abstractNumId w:val="91"/>
  </w:num>
  <w:num w:numId="70">
    <w:abstractNumId w:val="30"/>
  </w:num>
  <w:num w:numId="71">
    <w:abstractNumId w:val="24"/>
  </w:num>
  <w:num w:numId="72">
    <w:abstractNumId w:val="84"/>
  </w:num>
  <w:num w:numId="73">
    <w:abstractNumId w:val="80"/>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num>
  <w:num w:numId="77">
    <w:abstractNumId w:val="76"/>
  </w:num>
  <w:num w:numId="78">
    <w:abstractNumId w:val="95"/>
  </w:num>
  <w:num w:numId="79">
    <w:abstractNumId w:val="39"/>
  </w:num>
  <w:num w:numId="80">
    <w:abstractNumId w:val="109"/>
  </w:num>
  <w:num w:numId="81">
    <w:abstractNumId w:val="107"/>
  </w:num>
  <w:num w:numId="82">
    <w:abstractNumId w:val="61"/>
  </w:num>
  <w:num w:numId="83">
    <w:abstractNumId w:val="20"/>
  </w:num>
  <w:num w:numId="84">
    <w:abstractNumId w:val="88"/>
  </w:num>
  <w:num w:numId="85">
    <w:abstractNumId w:val="87"/>
  </w:num>
  <w:num w:numId="86">
    <w:abstractNumId w:val="93"/>
  </w:num>
  <w:num w:numId="87">
    <w:abstractNumId w:val="38"/>
  </w:num>
  <w:num w:numId="88">
    <w:abstractNumId w:val="104"/>
  </w:num>
  <w:num w:numId="89">
    <w:abstractNumId w:val="71"/>
  </w:num>
  <w:num w:numId="90">
    <w:abstractNumId w:val="101"/>
  </w:num>
  <w:num w:numId="91">
    <w:abstractNumId w:val="102"/>
  </w:num>
  <w:num w:numId="92">
    <w:abstractNumId w:val="114"/>
  </w:num>
  <w:num w:numId="93">
    <w:abstractNumId w:val="63"/>
  </w:num>
  <w:num w:numId="94">
    <w:abstractNumId w:val="121"/>
  </w:num>
  <w:num w:numId="95">
    <w:abstractNumId w:val="14"/>
  </w:num>
  <w:num w:numId="96">
    <w:abstractNumId w:val="12"/>
  </w:num>
  <w:num w:numId="97">
    <w:abstractNumId w:val="42"/>
  </w:num>
  <w:num w:numId="9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99">
    <w:abstractNumId w:val="108"/>
  </w:num>
  <w:num w:numId="100">
    <w:abstractNumId w:val="29"/>
  </w:num>
  <w:num w:numId="101">
    <w:abstractNumId w:val="72"/>
  </w:num>
  <w:num w:numId="102">
    <w:abstractNumId w:val="96"/>
  </w:num>
  <w:num w:numId="103">
    <w:abstractNumId w:val="13"/>
  </w:num>
  <w:num w:numId="104">
    <w:abstractNumId w:val="35"/>
  </w:num>
  <w:num w:numId="105">
    <w:abstractNumId w:val="19"/>
  </w:num>
  <w:num w:numId="106">
    <w:abstractNumId w:val="97"/>
  </w:num>
  <w:num w:numId="107">
    <w:abstractNumId w:val="69"/>
  </w:num>
  <w:num w:numId="108">
    <w:abstractNumId w:val="60"/>
  </w:num>
  <w:num w:numId="109">
    <w:abstractNumId w:val="111"/>
  </w:num>
  <w:num w:numId="110">
    <w:abstractNumId w:val="17"/>
  </w:num>
  <w:num w:numId="111">
    <w:abstractNumId w:val="22"/>
  </w:num>
  <w:num w:numId="112">
    <w:abstractNumId w:val="28"/>
  </w:num>
  <w:num w:numId="113">
    <w:abstractNumId w:val="92"/>
  </w:num>
  <w:num w:numId="114">
    <w:abstractNumId w:val="74"/>
  </w:num>
  <w:num w:numId="115">
    <w:abstractNumId w:val="25"/>
  </w:num>
  <w:num w:numId="116">
    <w:abstractNumId w:val="27"/>
  </w:num>
  <w:num w:numId="117">
    <w:abstractNumId w:val="77"/>
  </w:num>
  <w:num w:numId="118">
    <w:abstractNumId w:val="64"/>
  </w:num>
  <w:num w:numId="119">
    <w:abstractNumId w:val="57"/>
  </w:num>
  <w:num w:numId="120">
    <w:abstractNumId w:val="43"/>
  </w:num>
  <w:num w:numId="121">
    <w:abstractNumId w:val="11"/>
  </w:num>
  <w:num w:numId="122">
    <w:abstractNumId w:val="100"/>
  </w:num>
  <w:num w:numId="123">
    <w:abstractNumId w:val="37"/>
  </w:num>
  <w:num w:numId="124">
    <w:abstractNumId w:val="50"/>
  </w:num>
  <w:num w:numId="125">
    <w:abstractNumId w:val="58"/>
  </w:num>
  <w:num w:numId="126">
    <w:abstractNumId w:val="78"/>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hideSpellingErrors/>
  <w:hideGrammaticalErrors/>
  <w:activeWritingStyle w:appName="MSWord" w:lang="nl-NL" w:vendorID="1" w:dllVersion="512" w:checkStyle="1"/>
  <w:activeWritingStyle w:appName="MSWord" w:lang="nl-BE" w:vendorID="1" w:dllVersion="512" w:checkStyle="1"/>
  <w:activeWritingStyle w:appName="MSWord" w:lang="nl" w:vendorID="1" w:dllVersion="512" w:checkStyle="1"/>
  <w:activeWritingStyle w:appName="MSWord" w:lang="it-IT" w:vendorID="3" w:dllVersion="517" w:checkStyle="1"/>
  <w:activeWritingStyle w:appName="MSWord" w:lang="nb-NO" w:vendorID="666" w:dllVersion="513" w:checkStyle="1"/>
  <w:activeWritingStyle w:appName="MSWord" w:lang="nb-NO" w:vendorID="22" w:dllVersion="513" w:checkStyle="1"/>
  <w:attachedTemplate r:id="rId1"/>
  <w:stylePaneFormatFilter w:val="0008"/>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7553">
      <o:colormenu v:ext="edit" strokecolor="none"/>
    </o:shapedefaults>
  </w:hdrShapeDefaults>
  <w:footnotePr>
    <w:footnote w:id="-1"/>
    <w:footnote w:id="0"/>
  </w:footnotePr>
  <w:endnotePr>
    <w:endnote w:id="-1"/>
    <w:endnote w:id="0"/>
  </w:endnotePr>
  <w:compat/>
  <w:rsids>
    <w:rsidRoot w:val="00FC6BA9"/>
    <w:rsid w:val="00001086"/>
    <w:rsid w:val="00001625"/>
    <w:rsid w:val="000020D9"/>
    <w:rsid w:val="00002637"/>
    <w:rsid w:val="000029B1"/>
    <w:rsid w:val="0000321D"/>
    <w:rsid w:val="00003960"/>
    <w:rsid w:val="00003D35"/>
    <w:rsid w:val="0000411A"/>
    <w:rsid w:val="000046C7"/>
    <w:rsid w:val="00004C17"/>
    <w:rsid w:val="00004E87"/>
    <w:rsid w:val="00004F9E"/>
    <w:rsid w:val="0000523B"/>
    <w:rsid w:val="00005508"/>
    <w:rsid w:val="00005569"/>
    <w:rsid w:val="000056AD"/>
    <w:rsid w:val="00005D2D"/>
    <w:rsid w:val="000060A6"/>
    <w:rsid w:val="0000630D"/>
    <w:rsid w:val="00006A91"/>
    <w:rsid w:val="00006E3B"/>
    <w:rsid w:val="00006F14"/>
    <w:rsid w:val="00007B77"/>
    <w:rsid w:val="00007C7D"/>
    <w:rsid w:val="00007D1B"/>
    <w:rsid w:val="00007F36"/>
    <w:rsid w:val="00010127"/>
    <w:rsid w:val="000101A8"/>
    <w:rsid w:val="0001046F"/>
    <w:rsid w:val="00010876"/>
    <w:rsid w:val="0001109A"/>
    <w:rsid w:val="000113FA"/>
    <w:rsid w:val="0001194C"/>
    <w:rsid w:val="00011C9D"/>
    <w:rsid w:val="00011CAC"/>
    <w:rsid w:val="00011E25"/>
    <w:rsid w:val="00011E81"/>
    <w:rsid w:val="00011F2F"/>
    <w:rsid w:val="000126BB"/>
    <w:rsid w:val="00012700"/>
    <w:rsid w:val="00012BA8"/>
    <w:rsid w:val="000134F7"/>
    <w:rsid w:val="00013559"/>
    <w:rsid w:val="00013A3A"/>
    <w:rsid w:val="00013DE9"/>
    <w:rsid w:val="00013FE3"/>
    <w:rsid w:val="000144D0"/>
    <w:rsid w:val="000145A7"/>
    <w:rsid w:val="00015030"/>
    <w:rsid w:val="00015CE6"/>
    <w:rsid w:val="00016262"/>
    <w:rsid w:val="00017081"/>
    <w:rsid w:val="000170F4"/>
    <w:rsid w:val="0001737D"/>
    <w:rsid w:val="000173BF"/>
    <w:rsid w:val="00017B74"/>
    <w:rsid w:val="00017FD1"/>
    <w:rsid w:val="00020043"/>
    <w:rsid w:val="00020575"/>
    <w:rsid w:val="00020F5E"/>
    <w:rsid w:val="000216B2"/>
    <w:rsid w:val="0002197D"/>
    <w:rsid w:val="00021C52"/>
    <w:rsid w:val="000225FD"/>
    <w:rsid w:val="0002286C"/>
    <w:rsid w:val="00022A7D"/>
    <w:rsid w:val="00022AF7"/>
    <w:rsid w:val="00022F9B"/>
    <w:rsid w:val="000242EA"/>
    <w:rsid w:val="0002452D"/>
    <w:rsid w:val="00024541"/>
    <w:rsid w:val="000246DA"/>
    <w:rsid w:val="000247A5"/>
    <w:rsid w:val="00024AEA"/>
    <w:rsid w:val="00024DB3"/>
    <w:rsid w:val="000250FC"/>
    <w:rsid w:val="0002541B"/>
    <w:rsid w:val="00025A88"/>
    <w:rsid w:val="00025F5F"/>
    <w:rsid w:val="00026377"/>
    <w:rsid w:val="0002641E"/>
    <w:rsid w:val="00027036"/>
    <w:rsid w:val="00027176"/>
    <w:rsid w:val="00027879"/>
    <w:rsid w:val="0002788A"/>
    <w:rsid w:val="00027B42"/>
    <w:rsid w:val="00027C6C"/>
    <w:rsid w:val="000301A2"/>
    <w:rsid w:val="00030625"/>
    <w:rsid w:val="000308A1"/>
    <w:rsid w:val="00030A20"/>
    <w:rsid w:val="00031313"/>
    <w:rsid w:val="00031839"/>
    <w:rsid w:val="00031A05"/>
    <w:rsid w:val="000320BF"/>
    <w:rsid w:val="0003224C"/>
    <w:rsid w:val="000327C7"/>
    <w:rsid w:val="00032B0D"/>
    <w:rsid w:val="00032C6E"/>
    <w:rsid w:val="0003353F"/>
    <w:rsid w:val="00033689"/>
    <w:rsid w:val="00034A1E"/>
    <w:rsid w:val="00035076"/>
    <w:rsid w:val="00035169"/>
    <w:rsid w:val="0003616F"/>
    <w:rsid w:val="00036355"/>
    <w:rsid w:val="00036365"/>
    <w:rsid w:val="0003665A"/>
    <w:rsid w:val="000375F1"/>
    <w:rsid w:val="0003794A"/>
    <w:rsid w:val="00040116"/>
    <w:rsid w:val="000403A9"/>
    <w:rsid w:val="0004041C"/>
    <w:rsid w:val="000407D4"/>
    <w:rsid w:val="00040B77"/>
    <w:rsid w:val="00040DD6"/>
    <w:rsid w:val="00040E05"/>
    <w:rsid w:val="000415BE"/>
    <w:rsid w:val="00041638"/>
    <w:rsid w:val="0004197F"/>
    <w:rsid w:val="00041BB5"/>
    <w:rsid w:val="00041ECF"/>
    <w:rsid w:val="000422D2"/>
    <w:rsid w:val="0004269E"/>
    <w:rsid w:val="00042720"/>
    <w:rsid w:val="0004281E"/>
    <w:rsid w:val="00042858"/>
    <w:rsid w:val="00042A01"/>
    <w:rsid w:val="00042BD5"/>
    <w:rsid w:val="00042BDF"/>
    <w:rsid w:val="00042C4C"/>
    <w:rsid w:val="000433E8"/>
    <w:rsid w:val="00043498"/>
    <w:rsid w:val="000434CF"/>
    <w:rsid w:val="00043618"/>
    <w:rsid w:val="00043693"/>
    <w:rsid w:val="00043D15"/>
    <w:rsid w:val="00044422"/>
    <w:rsid w:val="00045371"/>
    <w:rsid w:val="000453BF"/>
    <w:rsid w:val="000454D5"/>
    <w:rsid w:val="00045B43"/>
    <w:rsid w:val="00045B57"/>
    <w:rsid w:val="00045EB8"/>
    <w:rsid w:val="0004606F"/>
    <w:rsid w:val="0004651B"/>
    <w:rsid w:val="000465B1"/>
    <w:rsid w:val="00047826"/>
    <w:rsid w:val="000500D6"/>
    <w:rsid w:val="00050112"/>
    <w:rsid w:val="00050ED9"/>
    <w:rsid w:val="00051926"/>
    <w:rsid w:val="00051977"/>
    <w:rsid w:val="00051DBD"/>
    <w:rsid w:val="000520AA"/>
    <w:rsid w:val="00052D6F"/>
    <w:rsid w:val="00053638"/>
    <w:rsid w:val="000548C5"/>
    <w:rsid w:val="00054C57"/>
    <w:rsid w:val="00054F67"/>
    <w:rsid w:val="000556AA"/>
    <w:rsid w:val="000561C3"/>
    <w:rsid w:val="00056227"/>
    <w:rsid w:val="00056405"/>
    <w:rsid w:val="00056B47"/>
    <w:rsid w:val="00056CB3"/>
    <w:rsid w:val="00057326"/>
    <w:rsid w:val="0005784D"/>
    <w:rsid w:val="00057899"/>
    <w:rsid w:val="00057A39"/>
    <w:rsid w:val="000601A8"/>
    <w:rsid w:val="00060559"/>
    <w:rsid w:val="00060D41"/>
    <w:rsid w:val="0006123A"/>
    <w:rsid w:val="00061411"/>
    <w:rsid w:val="000615B1"/>
    <w:rsid w:val="00061898"/>
    <w:rsid w:val="00061E56"/>
    <w:rsid w:val="00062E46"/>
    <w:rsid w:val="00062E49"/>
    <w:rsid w:val="000631FE"/>
    <w:rsid w:val="00063278"/>
    <w:rsid w:val="000632BF"/>
    <w:rsid w:val="00063387"/>
    <w:rsid w:val="000634F0"/>
    <w:rsid w:val="00063EC2"/>
    <w:rsid w:val="00064F15"/>
    <w:rsid w:val="000652FC"/>
    <w:rsid w:val="00066D28"/>
    <w:rsid w:val="00066F2B"/>
    <w:rsid w:val="000672AC"/>
    <w:rsid w:val="00067C59"/>
    <w:rsid w:val="000717E1"/>
    <w:rsid w:val="00071A7C"/>
    <w:rsid w:val="00071ADD"/>
    <w:rsid w:val="00071CAC"/>
    <w:rsid w:val="000724EF"/>
    <w:rsid w:val="000729E8"/>
    <w:rsid w:val="00072B24"/>
    <w:rsid w:val="00072B8C"/>
    <w:rsid w:val="00073D0D"/>
    <w:rsid w:val="00074945"/>
    <w:rsid w:val="00074C55"/>
    <w:rsid w:val="00074CBB"/>
    <w:rsid w:val="00075852"/>
    <w:rsid w:val="00075A66"/>
    <w:rsid w:val="00076813"/>
    <w:rsid w:val="00076CEC"/>
    <w:rsid w:val="00076E63"/>
    <w:rsid w:val="00076FCD"/>
    <w:rsid w:val="00077081"/>
    <w:rsid w:val="000773B2"/>
    <w:rsid w:val="000778ED"/>
    <w:rsid w:val="00077EF5"/>
    <w:rsid w:val="00077F47"/>
    <w:rsid w:val="000800D2"/>
    <w:rsid w:val="00080867"/>
    <w:rsid w:val="00080B52"/>
    <w:rsid w:val="00080DA0"/>
    <w:rsid w:val="00081785"/>
    <w:rsid w:val="0008182B"/>
    <w:rsid w:val="0008184B"/>
    <w:rsid w:val="00081C15"/>
    <w:rsid w:val="0008333C"/>
    <w:rsid w:val="000836DD"/>
    <w:rsid w:val="00083753"/>
    <w:rsid w:val="00083CBB"/>
    <w:rsid w:val="0008440D"/>
    <w:rsid w:val="00084583"/>
    <w:rsid w:val="000847E3"/>
    <w:rsid w:val="0008541D"/>
    <w:rsid w:val="000855A1"/>
    <w:rsid w:val="000858A2"/>
    <w:rsid w:val="00086536"/>
    <w:rsid w:val="00086B7C"/>
    <w:rsid w:val="000902F7"/>
    <w:rsid w:val="00090A77"/>
    <w:rsid w:val="00090FC0"/>
    <w:rsid w:val="00091B89"/>
    <w:rsid w:val="00091DF7"/>
    <w:rsid w:val="00092494"/>
    <w:rsid w:val="00092DC9"/>
    <w:rsid w:val="000931D4"/>
    <w:rsid w:val="00093406"/>
    <w:rsid w:val="000934B8"/>
    <w:rsid w:val="00093652"/>
    <w:rsid w:val="00093919"/>
    <w:rsid w:val="00093E9A"/>
    <w:rsid w:val="00094751"/>
    <w:rsid w:val="00095078"/>
    <w:rsid w:val="00095A69"/>
    <w:rsid w:val="00095CA1"/>
    <w:rsid w:val="00095EC8"/>
    <w:rsid w:val="0009635B"/>
    <w:rsid w:val="0009662E"/>
    <w:rsid w:val="000966E2"/>
    <w:rsid w:val="000967C9"/>
    <w:rsid w:val="00096A35"/>
    <w:rsid w:val="00096C2B"/>
    <w:rsid w:val="00097717"/>
    <w:rsid w:val="00097DFA"/>
    <w:rsid w:val="00097FE2"/>
    <w:rsid w:val="000A03FA"/>
    <w:rsid w:val="000A097E"/>
    <w:rsid w:val="000A0D8E"/>
    <w:rsid w:val="000A128F"/>
    <w:rsid w:val="000A1F10"/>
    <w:rsid w:val="000A24E8"/>
    <w:rsid w:val="000A2599"/>
    <w:rsid w:val="000A2D58"/>
    <w:rsid w:val="000A2EB4"/>
    <w:rsid w:val="000A2F84"/>
    <w:rsid w:val="000A3CC8"/>
    <w:rsid w:val="000A4034"/>
    <w:rsid w:val="000A437F"/>
    <w:rsid w:val="000A4C13"/>
    <w:rsid w:val="000A4C3E"/>
    <w:rsid w:val="000A50AB"/>
    <w:rsid w:val="000A50BB"/>
    <w:rsid w:val="000A5297"/>
    <w:rsid w:val="000A538C"/>
    <w:rsid w:val="000A54F6"/>
    <w:rsid w:val="000A5A10"/>
    <w:rsid w:val="000A5D47"/>
    <w:rsid w:val="000A644E"/>
    <w:rsid w:val="000A6B6E"/>
    <w:rsid w:val="000A6D04"/>
    <w:rsid w:val="000A736E"/>
    <w:rsid w:val="000A75B4"/>
    <w:rsid w:val="000B0590"/>
    <w:rsid w:val="000B097A"/>
    <w:rsid w:val="000B098F"/>
    <w:rsid w:val="000B09E5"/>
    <w:rsid w:val="000B0FA3"/>
    <w:rsid w:val="000B12B2"/>
    <w:rsid w:val="000B1A69"/>
    <w:rsid w:val="000B2380"/>
    <w:rsid w:val="000B26B8"/>
    <w:rsid w:val="000B2A6A"/>
    <w:rsid w:val="000B3683"/>
    <w:rsid w:val="000B39AD"/>
    <w:rsid w:val="000B3FD6"/>
    <w:rsid w:val="000B429B"/>
    <w:rsid w:val="000B43FD"/>
    <w:rsid w:val="000B46B8"/>
    <w:rsid w:val="000B5895"/>
    <w:rsid w:val="000B68D9"/>
    <w:rsid w:val="000B7109"/>
    <w:rsid w:val="000B733D"/>
    <w:rsid w:val="000B7881"/>
    <w:rsid w:val="000C03E7"/>
    <w:rsid w:val="000C078C"/>
    <w:rsid w:val="000C099A"/>
    <w:rsid w:val="000C0C35"/>
    <w:rsid w:val="000C127C"/>
    <w:rsid w:val="000C12A7"/>
    <w:rsid w:val="000C1DB1"/>
    <w:rsid w:val="000C2002"/>
    <w:rsid w:val="000C2087"/>
    <w:rsid w:val="000C2A7C"/>
    <w:rsid w:val="000C2C3D"/>
    <w:rsid w:val="000C2C46"/>
    <w:rsid w:val="000C2D5A"/>
    <w:rsid w:val="000C34A9"/>
    <w:rsid w:val="000C36D6"/>
    <w:rsid w:val="000C3C75"/>
    <w:rsid w:val="000C4188"/>
    <w:rsid w:val="000C4CBF"/>
    <w:rsid w:val="000C4DEC"/>
    <w:rsid w:val="000C5086"/>
    <w:rsid w:val="000C531A"/>
    <w:rsid w:val="000C5767"/>
    <w:rsid w:val="000C5D23"/>
    <w:rsid w:val="000C65D0"/>
    <w:rsid w:val="000C6A63"/>
    <w:rsid w:val="000C748B"/>
    <w:rsid w:val="000C7508"/>
    <w:rsid w:val="000C7C16"/>
    <w:rsid w:val="000C7D34"/>
    <w:rsid w:val="000D04F1"/>
    <w:rsid w:val="000D05E7"/>
    <w:rsid w:val="000D084E"/>
    <w:rsid w:val="000D0CAE"/>
    <w:rsid w:val="000D0D33"/>
    <w:rsid w:val="000D0D4A"/>
    <w:rsid w:val="000D23F9"/>
    <w:rsid w:val="000D2A9E"/>
    <w:rsid w:val="000D2AFE"/>
    <w:rsid w:val="000D2C2E"/>
    <w:rsid w:val="000D2DAC"/>
    <w:rsid w:val="000D356A"/>
    <w:rsid w:val="000D3746"/>
    <w:rsid w:val="000D3B7E"/>
    <w:rsid w:val="000D496F"/>
    <w:rsid w:val="000D4D94"/>
    <w:rsid w:val="000D4E27"/>
    <w:rsid w:val="000D6078"/>
    <w:rsid w:val="000D64C1"/>
    <w:rsid w:val="000D666D"/>
    <w:rsid w:val="000D66BB"/>
    <w:rsid w:val="000D6731"/>
    <w:rsid w:val="000D6F56"/>
    <w:rsid w:val="000D72C4"/>
    <w:rsid w:val="000D757C"/>
    <w:rsid w:val="000D75CA"/>
    <w:rsid w:val="000D79AE"/>
    <w:rsid w:val="000D7B8B"/>
    <w:rsid w:val="000D7CFD"/>
    <w:rsid w:val="000E096E"/>
    <w:rsid w:val="000E0C94"/>
    <w:rsid w:val="000E0EF3"/>
    <w:rsid w:val="000E1324"/>
    <w:rsid w:val="000E1437"/>
    <w:rsid w:val="000E1949"/>
    <w:rsid w:val="000E1D6C"/>
    <w:rsid w:val="000E2735"/>
    <w:rsid w:val="000E2D1B"/>
    <w:rsid w:val="000E3DDE"/>
    <w:rsid w:val="000E48A2"/>
    <w:rsid w:val="000E4AE2"/>
    <w:rsid w:val="000E4F2C"/>
    <w:rsid w:val="000E5301"/>
    <w:rsid w:val="000E5539"/>
    <w:rsid w:val="000E58FE"/>
    <w:rsid w:val="000E63FF"/>
    <w:rsid w:val="000E6470"/>
    <w:rsid w:val="000E6AA5"/>
    <w:rsid w:val="000E73A3"/>
    <w:rsid w:val="000E7E9F"/>
    <w:rsid w:val="000F00CB"/>
    <w:rsid w:val="000F0348"/>
    <w:rsid w:val="000F0B61"/>
    <w:rsid w:val="000F1093"/>
    <w:rsid w:val="000F19F1"/>
    <w:rsid w:val="000F1C84"/>
    <w:rsid w:val="000F1FE3"/>
    <w:rsid w:val="000F24F1"/>
    <w:rsid w:val="000F265C"/>
    <w:rsid w:val="000F2A11"/>
    <w:rsid w:val="000F2CFD"/>
    <w:rsid w:val="000F2D87"/>
    <w:rsid w:val="000F3626"/>
    <w:rsid w:val="000F37D6"/>
    <w:rsid w:val="000F391B"/>
    <w:rsid w:val="000F3C57"/>
    <w:rsid w:val="000F3C98"/>
    <w:rsid w:val="000F4036"/>
    <w:rsid w:val="000F4096"/>
    <w:rsid w:val="000F44CB"/>
    <w:rsid w:val="000F4DB6"/>
    <w:rsid w:val="000F5070"/>
    <w:rsid w:val="000F5316"/>
    <w:rsid w:val="000F53D0"/>
    <w:rsid w:val="000F553A"/>
    <w:rsid w:val="000F57B1"/>
    <w:rsid w:val="000F59FC"/>
    <w:rsid w:val="000F5CBC"/>
    <w:rsid w:val="000F5D06"/>
    <w:rsid w:val="000F5D8A"/>
    <w:rsid w:val="000F6383"/>
    <w:rsid w:val="000F6448"/>
    <w:rsid w:val="000F6498"/>
    <w:rsid w:val="000F681B"/>
    <w:rsid w:val="000F7D09"/>
    <w:rsid w:val="0010027B"/>
    <w:rsid w:val="00100978"/>
    <w:rsid w:val="00100A0D"/>
    <w:rsid w:val="001013BF"/>
    <w:rsid w:val="001019CE"/>
    <w:rsid w:val="00101B66"/>
    <w:rsid w:val="00101EA5"/>
    <w:rsid w:val="001025C3"/>
    <w:rsid w:val="0010270F"/>
    <w:rsid w:val="00102A89"/>
    <w:rsid w:val="00103B1F"/>
    <w:rsid w:val="00103B9F"/>
    <w:rsid w:val="00104599"/>
    <w:rsid w:val="0010463D"/>
    <w:rsid w:val="001046E1"/>
    <w:rsid w:val="00104749"/>
    <w:rsid w:val="00104E54"/>
    <w:rsid w:val="0010528D"/>
    <w:rsid w:val="0010556D"/>
    <w:rsid w:val="00105AC6"/>
    <w:rsid w:val="00106D38"/>
    <w:rsid w:val="00106E5B"/>
    <w:rsid w:val="00106EDD"/>
    <w:rsid w:val="00106F6B"/>
    <w:rsid w:val="001073ED"/>
    <w:rsid w:val="001077F2"/>
    <w:rsid w:val="00107C47"/>
    <w:rsid w:val="00110158"/>
    <w:rsid w:val="00110E70"/>
    <w:rsid w:val="001110CF"/>
    <w:rsid w:val="00111520"/>
    <w:rsid w:val="00111736"/>
    <w:rsid w:val="00111CFD"/>
    <w:rsid w:val="00112840"/>
    <w:rsid w:val="00113B30"/>
    <w:rsid w:val="00113EDF"/>
    <w:rsid w:val="001140B8"/>
    <w:rsid w:val="001146FB"/>
    <w:rsid w:val="00114A20"/>
    <w:rsid w:val="00114A97"/>
    <w:rsid w:val="00114BC3"/>
    <w:rsid w:val="00115737"/>
    <w:rsid w:val="00115C00"/>
    <w:rsid w:val="001169C2"/>
    <w:rsid w:val="00116BEB"/>
    <w:rsid w:val="0011772E"/>
    <w:rsid w:val="0011777C"/>
    <w:rsid w:val="001179CC"/>
    <w:rsid w:val="00117D95"/>
    <w:rsid w:val="00117DE9"/>
    <w:rsid w:val="00117F9F"/>
    <w:rsid w:val="001201CE"/>
    <w:rsid w:val="0012068C"/>
    <w:rsid w:val="001208F3"/>
    <w:rsid w:val="0012111A"/>
    <w:rsid w:val="001229AD"/>
    <w:rsid w:val="00122C47"/>
    <w:rsid w:val="0012336F"/>
    <w:rsid w:val="00123875"/>
    <w:rsid w:val="00123D15"/>
    <w:rsid w:val="00124335"/>
    <w:rsid w:val="00125297"/>
    <w:rsid w:val="0012533E"/>
    <w:rsid w:val="00125565"/>
    <w:rsid w:val="001258AE"/>
    <w:rsid w:val="001264BB"/>
    <w:rsid w:val="00126EA0"/>
    <w:rsid w:val="001272B4"/>
    <w:rsid w:val="00130F21"/>
    <w:rsid w:val="0013170E"/>
    <w:rsid w:val="00131BC7"/>
    <w:rsid w:val="0013208C"/>
    <w:rsid w:val="0013222E"/>
    <w:rsid w:val="00132C5A"/>
    <w:rsid w:val="00132EF6"/>
    <w:rsid w:val="001331B4"/>
    <w:rsid w:val="0013334D"/>
    <w:rsid w:val="00134320"/>
    <w:rsid w:val="00134563"/>
    <w:rsid w:val="00134B26"/>
    <w:rsid w:val="00134E76"/>
    <w:rsid w:val="00135214"/>
    <w:rsid w:val="0013560F"/>
    <w:rsid w:val="001358EB"/>
    <w:rsid w:val="001364AA"/>
    <w:rsid w:val="001367B9"/>
    <w:rsid w:val="001368A2"/>
    <w:rsid w:val="00136E56"/>
    <w:rsid w:val="00136F1A"/>
    <w:rsid w:val="0014166C"/>
    <w:rsid w:val="00141737"/>
    <w:rsid w:val="00141C9C"/>
    <w:rsid w:val="00141D3E"/>
    <w:rsid w:val="00142010"/>
    <w:rsid w:val="001420FA"/>
    <w:rsid w:val="001424E1"/>
    <w:rsid w:val="00142B89"/>
    <w:rsid w:val="0014300E"/>
    <w:rsid w:val="0014392A"/>
    <w:rsid w:val="00143A37"/>
    <w:rsid w:val="00143FC7"/>
    <w:rsid w:val="001440D4"/>
    <w:rsid w:val="001441F9"/>
    <w:rsid w:val="00144494"/>
    <w:rsid w:val="0014481C"/>
    <w:rsid w:val="00144BBB"/>
    <w:rsid w:val="00144D5E"/>
    <w:rsid w:val="00144D80"/>
    <w:rsid w:val="0014511B"/>
    <w:rsid w:val="0014511C"/>
    <w:rsid w:val="00145BC7"/>
    <w:rsid w:val="00145D58"/>
    <w:rsid w:val="00145F5C"/>
    <w:rsid w:val="00146957"/>
    <w:rsid w:val="001471A4"/>
    <w:rsid w:val="00147720"/>
    <w:rsid w:val="00147869"/>
    <w:rsid w:val="001478B9"/>
    <w:rsid w:val="00147D48"/>
    <w:rsid w:val="0015052E"/>
    <w:rsid w:val="00150672"/>
    <w:rsid w:val="001506A6"/>
    <w:rsid w:val="00150B8D"/>
    <w:rsid w:val="00151180"/>
    <w:rsid w:val="00153766"/>
    <w:rsid w:val="00154433"/>
    <w:rsid w:val="0015469F"/>
    <w:rsid w:val="0015479F"/>
    <w:rsid w:val="001551A8"/>
    <w:rsid w:val="00155809"/>
    <w:rsid w:val="00155DDE"/>
    <w:rsid w:val="00156040"/>
    <w:rsid w:val="00156246"/>
    <w:rsid w:val="00156285"/>
    <w:rsid w:val="001574D4"/>
    <w:rsid w:val="00160406"/>
    <w:rsid w:val="0016043E"/>
    <w:rsid w:val="001608FF"/>
    <w:rsid w:val="00160B6D"/>
    <w:rsid w:val="001615DF"/>
    <w:rsid w:val="001616EF"/>
    <w:rsid w:val="00161C04"/>
    <w:rsid w:val="00161FAA"/>
    <w:rsid w:val="001620D6"/>
    <w:rsid w:val="00162299"/>
    <w:rsid w:val="0016282F"/>
    <w:rsid w:val="00162CA5"/>
    <w:rsid w:val="00162FBB"/>
    <w:rsid w:val="00163543"/>
    <w:rsid w:val="00163819"/>
    <w:rsid w:val="00163E8B"/>
    <w:rsid w:val="00163EB5"/>
    <w:rsid w:val="00164BDE"/>
    <w:rsid w:val="00164C81"/>
    <w:rsid w:val="00164CD2"/>
    <w:rsid w:val="00164D87"/>
    <w:rsid w:val="001650F6"/>
    <w:rsid w:val="001651E1"/>
    <w:rsid w:val="001656FE"/>
    <w:rsid w:val="00165804"/>
    <w:rsid w:val="00165A7F"/>
    <w:rsid w:val="00165F77"/>
    <w:rsid w:val="00166962"/>
    <w:rsid w:val="00166C47"/>
    <w:rsid w:val="00166DE8"/>
    <w:rsid w:val="00166FD5"/>
    <w:rsid w:val="00167416"/>
    <w:rsid w:val="00167BC2"/>
    <w:rsid w:val="00167E19"/>
    <w:rsid w:val="00170828"/>
    <w:rsid w:val="00170F3E"/>
    <w:rsid w:val="00170FA1"/>
    <w:rsid w:val="001715CE"/>
    <w:rsid w:val="00171636"/>
    <w:rsid w:val="00172A54"/>
    <w:rsid w:val="00172FD4"/>
    <w:rsid w:val="00173E30"/>
    <w:rsid w:val="0017473D"/>
    <w:rsid w:val="00174861"/>
    <w:rsid w:val="001752C0"/>
    <w:rsid w:val="0017587C"/>
    <w:rsid w:val="00175CD6"/>
    <w:rsid w:val="00175E8E"/>
    <w:rsid w:val="00175F01"/>
    <w:rsid w:val="001767EB"/>
    <w:rsid w:val="001819F3"/>
    <w:rsid w:val="00181C49"/>
    <w:rsid w:val="001821B1"/>
    <w:rsid w:val="0018239A"/>
    <w:rsid w:val="001823B0"/>
    <w:rsid w:val="001826CA"/>
    <w:rsid w:val="00182BDA"/>
    <w:rsid w:val="00182DA7"/>
    <w:rsid w:val="00182F9A"/>
    <w:rsid w:val="0018438A"/>
    <w:rsid w:val="001845DD"/>
    <w:rsid w:val="001848CC"/>
    <w:rsid w:val="00184AAA"/>
    <w:rsid w:val="00185847"/>
    <w:rsid w:val="00185C7B"/>
    <w:rsid w:val="00185D19"/>
    <w:rsid w:val="00185F0A"/>
    <w:rsid w:val="00186292"/>
    <w:rsid w:val="00186CA9"/>
    <w:rsid w:val="00187219"/>
    <w:rsid w:val="00187BAA"/>
    <w:rsid w:val="00190B78"/>
    <w:rsid w:val="00191321"/>
    <w:rsid w:val="00191362"/>
    <w:rsid w:val="001922E1"/>
    <w:rsid w:val="00192404"/>
    <w:rsid w:val="00192692"/>
    <w:rsid w:val="001928A4"/>
    <w:rsid w:val="001928AE"/>
    <w:rsid w:val="00193B40"/>
    <w:rsid w:val="00193D1D"/>
    <w:rsid w:val="0019403E"/>
    <w:rsid w:val="00194A05"/>
    <w:rsid w:val="00194E5A"/>
    <w:rsid w:val="0019509F"/>
    <w:rsid w:val="00195476"/>
    <w:rsid w:val="00195577"/>
    <w:rsid w:val="00195660"/>
    <w:rsid w:val="00195679"/>
    <w:rsid w:val="00195795"/>
    <w:rsid w:val="00195BAA"/>
    <w:rsid w:val="00195ECF"/>
    <w:rsid w:val="00196238"/>
    <w:rsid w:val="00196634"/>
    <w:rsid w:val="00196CFB"/>
    <w:rsid w:val="00196FFC"/>
    <w:rsid w:val="00197220"/>
    <w:rsid w:val="001972C3"/>
    <w:rsid w:val="0019753E"/>
    <w:rsid w:val="0019777C"/>
    <w:rsid w:val="0019783D"/>
    <w:rsid w:val="001A00FA"/>
    <w:rsid w:val="001A08D0"/>
    <w:rsid w:val="001A09C7"/>
    <w:rsid w:val="001A0FCD"/>
    <w:rsid w:val="001A19D5"/>
    <w:rsid w:val="001A1ADF"/>
    <w:rsid w:val="001A1C8C"/>
    <w:rsid w:val="001A240E"/>
    <w:rsid w:val="001A2F01"/>
    <w:rsid w:val="001A30BC"/>
    <w:rsid w:val="001A3597"/>
    <w:rsid w:val="001A3C83"/>
    <w:rsid w:val="001A4910"/>
    <w:rsid w:val="001A4E71"/>
    <w:rsid w:val="001A5631"/>
    <w:rsid w:val="001A6071"/>
    <w:rsid w:val="001A6421"/>
    <w:rsid w:val="001A65AE"/>
    <w:rsid w:val="001A7111"/>
    <w:rsid w:val="001A726D"/>
    <w:rsid w:val="001A7A1E"/>
    <w:rsid w:val="001B0091"/>
    <w:rsid w:val="001B0349"/>
    <w:rsid w:val="001B1153"/>
    <w:rsid w:val="001B1245"/>
    <w:rsid w:val="001B12A1"/>
    <w:rsid w:val="001B1A4B"/>
    <w:rsid w:val="001B2560"/>
    <w:rsid w:val="001B29B8"/>
    <w:rsid w:val="001B2A05"/>
    <w:rsid w:val="001B2BE3"/>
    <w:rsid w:val="001B30C5"/>
    <w:rsid w:val="001B3335"/>
    <w:rsid w:val="001B3A85"/>
    <w:rsid w:val="001B3CA3"/>
    <w:rsid w:val="001B4401"/>
    <w:rsid w:val="001B45AA"/>
    <w:rsid w:val="001B4EB3"/>
    <w:rsid w:val="001B5264"/>
    <w:rsid w:val="001B5391"/>
    <w:rsid w:val="001B55CD"/>
    <w:rsid w:val="001B58FD"/>
    <w:rsid w:val="001B5B10"/>
    <w:rsid w:val="001B5EFB"/>
    <w:rsid w:val="001B5FE8"/>
    <w:rsid w:val="001B60FF"/>
    <w:rsid w:val="001B639C"/>
    <w:rsid w:val="001B7052"/>
    <w:rsid w:val="001B7053"/>
    <w:rsid w:val="001B7503"/>
    <w:rsid w:val="001B7523"/>
    <w:rsid w:val="001B78D3"/>
    <w:rsid w:val="001B7D15"/>
    <w:rsid w:val="001B7E6F"/>
    <w:rsid w:val="001C01F0"/>
    <w:rsid w:val="001C07A6"/>
    <w:rsid w:val="001C0E27"/>
    <w:rsid w:val="001C1E15"/>
    <w:rsid w:val="001C1EA3"/>
    <w:rsid w:val="001C201A"/>
    <w:rsid w:val="001C227B"/>
    <w:rsid w:val="001C2839"/>
    <w:rsid w:val="001C28DD"/>
    <w:rsid w:val="001C2EAC"/>
    <w:rsid w:val="001C3331"/>
    <w:rsid w:val="001C34FC"/>
    <w:rsid w:val="001C4389"/>
    <w:rsid w:val="001C4519"/>
    <w:rsid w:val="001C4937"/>
    <w:rsid w:val="001C5804"/>
    <w:rsid w:val="001C6871"/>
    <w:rsid w:val="001C6E57"/>
    <w:rsid w:val="001C719B"/>
    <w:rsid w:val="001C73A5"/>
    <w:rsid w:val="001C7D27"/>
    <w:rsid w:val="001D0FA3"/>
    <w:rsid w:val="001D103A"/>
    <w:rsid w:val="001D1D3A"/>
    <w:rsid w:val="001D2F3F"/>
    <w:rsid w:val="001D32A6"/>
    <w:rsid w:val="001D36CD"/>
    <w:rsid w:val="001D405F"/>
    <w:rsid w:val="001D411F"/>
    <w:rsid w:val="001D4261"/>
    <w:rsid w:val="001D447A"/>
    <w:rsid w:val="001D4644"/>
    <w:rsid w:val="001D4CF8"/>
    <w:rsid w:val="001D4E89"/>
    <w:rsid w:val="001D4FBE"/>
    <w:rsid w:val="001D5B58"/>
    <w:rsid w:val="001D5D88"/>
    <w:rsid w:val="001D601F"/>
    <w:rsid w:val="001D6841"/>
    <w:rsid w:val="001D6B8D"/>
    <w:rsid w:val="001D7003"/>
    <w:rsid w:val="001D7038"/>
    <w:rsid w:val="001D7335"/>
    <w:rsid w:val="001D7EE5"/>
    <w:rsid w:val="001E0DFB"/>
    <w:rsid w:val="001E13EF"/>
    <w:rsid w:val="001E17CA"/>
    <w:rsid w:val="001E27BB"/>
    <w:rsid w:val="001E300D"/>
    <w:rsid w:val="001E34D7"/>
    <w:rsid w:val="001E3601"/>
    <w:rsid w:val="001E4829"/>
    <w:rsid w:val="001E4A56"/>
    <w:rsid w:val="001E4BA2"/>
    <w:rsid w:val="001E511C"/>
    <w:rsid w:val="001E5388"/>
    <w:rsid w:val="001E557A"/>
    <w:rsid w:val="001E6258"/>
    <w:rsid w:val="001E64B6"/>
    <w:rsid w:val="001E69D1"/>
    <w:rsid w:val="001E6C51"/>
    <w:rsid w:val="001E6CD3"/>
    <w:rsid w:val="001E6FAB"/>
    <w:rsid w:val="001E77E8"/>
    <w:rsid w:val="001E7877"/>
    <w:rsid w:val="001E7881"/>
    <w:rsid w:val="001E7BF1"/>
    <w:rsid w:val="001E7E66"/>
    <w:rsid w:val="001F013D"/>
    <w:rsid w:val="001F0724"/>
    <w:rsid w:val="001F0DC0"/>
    <w:rsid w:val="001F15AD"/>
    <w:rsid w:val="001F21E8"/>
    <w:rsid w:val="001F2325"/>
    <w:rsid w:val="001F2A97"/>
    <w:rsid w:val="001F354B"/>
    <w:rsid w:val="001F37EC"/>
    <w:rsid w:val="001F387A"/>
    <w:rsid w:val="001F38C1"/>
    <w:rsid w:val="001F38E0"/>
    <w:rsid w:val="001F4089"/>
    <w:rsid w:val="001F49DF"/>
    <w:rsid w:val="001F5702"/>
    <w:rsid w:val="001F57C3"/>
    <w:rsid w:val="001F5821"/>
    <w:rsid w:val="001F5ABA"/>
    <w:rsid w:val="001F6326"/>
    <w:rsid w:val="001F72C1"/>
    <w:rsid w:val="001F7534"/>
    <w:rsid w:val="001F7A49"/>
    <w:rsid w:val="001F7A93"/>
    <w:rsid w:val="00200841"/>
    <w:rsid w:val="00200F48"/>
    <w:rsid w:val="0020165B"/>
    <w:rsid w:val="00201994"/>
    <w:rsid w:val="00201AD0"/>
    <w:rsid w:val="00201E3E"/>
    <w:rsid w:val="002032B4"/>
    <w:rsid w:val="002037B6"/>
    <w:rsid w:val="00203D3B"/>
    <w:rsid w:val="0020463A"/>
    <w:rsid w:val="00204A8B"/>
    <w:rsid w:val="00204BF2"/>
    <w:rsid w:val="00204D23"/>
    <w:rsid w:val="00205298"/>
    <w:rsid w:val="002053E1"/>
    <w:rsid w:val="00205757"/>
    <w:rsid w:val="00206335"/>
    <w:rsid w:val="0020636C"/>
    <w:rsid w:val="0020652A"/>
    <w:rsid w:val="00206811"/>
    <w:rsid w:val="00206E0A"/>
    <w:rsid w:val="00207628"/>
    <w:rsid w:val="00207692"/>
    <w:rsid w:val="00207768"/>
    <w:rsid w:val="00207E5C"/>
    <w:rsid w:val="00207F31"/>
    <w:rsid w:val="002105D4"/>
    <w:rsid w:val="00212CD6"/>
    <w:rsid w:val="00213514"/>
    <w:rsid w:val="00214748"/>
    <w:rsid w:val="002149EE"/>
    <w:rsid w:val="00215208"/>
    <w:rsid w:val="0021528C"/>
    <w:rsid w:val="00215DC3"/>
    <w:rsid w:val="0021642E"/>
    <w:rsid w:val="00216501"/>
    <w:rsid w:val="00216CB2"/>
    <w:rsid w:val="00216E3D"/>
    <w:rsid w:val="00216ECF"/>
    <w:rsid w:val="00216ED5"/>
    <w:rsid w:val="002176B2"/>
    <w:rsid w:val="002177A9"/>
    <w:rsid w:val="00220793"/>
    <w:rsid w:val="00221108"/>
    <w:rsid w:val="00221214"/>
    <w:rsid w:val="00221833"/>
    <w:rsid w:val="00221A30"/>
    <w:rsid w:val="00221D73"/>
    <w:rsid w:val="002225CC"/>
    <w:rsid w:val="002228F6"/>
    <w:rsid w:val="00222C9E"/>
    <w:rsid w:val="00222CB6"/>
    <w:rsid w:val="00223D75"/>
    <w:rsid w:val="0022412C"/>
    <w:rsid w:val="0022450A"/>
    <w:rsid w:val="00224D39"/>
    <w:rsid w:val="00225087"/>
    <w:rsid w:val="00225338"/>
    <w:rsid w:val="00225DB8"/>
    <w:rsid w:val="00226480"/>
    <w:rsid w:val="002278A7"/>
    <w:rsid w:val="00227B0D"/>
    <w:rsid w:val="00227C2E"/>
    <w:rsid w:val="00227C5F"/>
    <w:rsid w:val="00227F98"/>
    <w:rsid w:val="002304EB"/>
    <w:rsid w:val="00230A1E"/>
    <w:rsid w:val="00230C32"/>
    <w:rsid w:val="002310B4"/>
    <w:rsid w:val="00231230"/>
    <w:rsid w:val="002319F4"/>
    <w:rsid w:val="00232F23"/>
    <w:rsid w:val="00233021"/>
    <w:rsid w:val="00233538"/>
    <w:rsid w:val="002344B4"/>
    <w:rsid w:val="002347BF"/>
    <w:rsid w:val="002348B3"/>
    <w:rsid w:val="00234BC1"/>
    <w:rsid w:val="00235641"/>
    <w:rsid w:val="00235D7F"/>
    <w:rsid w:val="00236059"/>
    <w:rsid w:val="00236477"/>
    <w:rsid w:val="002366C6"/>
    <w:rsid w:val="00236C26"/>
    <w:rsid w:val="00237AA7"/>
    <w:rsid w:val="00237D91"/>
    <w:rsid w:val="00240876"/>
    <w:rsid w:val="00240A0F"/>
    <w:rsid w:val="00240CAF"/>
    <w:rsid w:val="00241128"/>
    <w:rsid w:val="0024115F"/>
    <w:rsid w:val="002418C8"/>
    <w:rsid w:val="00241BE3"/>
    <w:rsid w:val="00242978"/>
    <w:rsid w:val="00242B6F"/>
    <w:rsid w:val="00242D80"/>
    <w:rsid w:val="002434AF"/>
    <w:rsid w:val="00243DF7"/>
    <w:rsid w:val="00244574"/>
    <w:rsid w:val="00244B5E"/>
    <w:rsid w:val="00244BA3"/>
    <w:rsid w:val="00245229"/>
    <w:rsid w:val="002453CE"/>
    <w:rsid w:val="002455D5"/>
    <w:rsid w:val="002457B1"/>
    <w:rsid w:val="00246520"/>
    <w:rsid w:val="00246816"/>
    <w:rsid w:val="0024695B"/>
    <w:rsid w:val="00246A97"/>
    <w:rsid w:val="00246AB9"/>
    <w:rsid w:val="0024714D"/>
    <w:rsid w:val="00247B20"/>
    <w:rsid w:val="00247CDF"/>
    <w:rsid w:val="002505E9"/>
    <w:rsid w:val="00250C8E"/>
    <w:rsid w:val="002510ED"/>
    <w:rsid w:val="0025127F"/>
    <w:rsid w:val="00251348"/>
    <w:rsid w:val="002513BD"/>
    <w:rsid w:val="00251AD5"/>
    <w:rsid w:val="00251CFE"/>
    <w:rsid w:val="00252A03"/>
    <w:rsid w:val="00252C07"/>
    <w:rsid w:val="00252C39"/>
    <w:rsid w:val="00253251"/>
    <w:rsid w:val="00253EA1"/>
    <w:rsid w:val="00253FF1"/>
    <w:rsid w:val="00254BC6"/>
    <w:rsid w:val="00254CA7"/>
    <w:rsid w:val="00254DCB"/>
    <w:rsid w:val="00254F98"/>
    <w:rsid w:val="002550E3"/>
    <w:rsid w:val="00255BCD"/>
    <w:rsid w:val="00255DF4"/>
    <w:rsid w:val="002560C7"/>
    <w:rsid w:val="00256213"/>
    <w:rsid w:val="002562B1"/>
    <w:rsid w:val="002562D1"/>
    <w:rsid w:val="0025662E"/>
    <w:rsid w:val="0025687F"/>
    <w:rsid w:val="00256AE2"/>
    <w:rsid w:val="00256CF6"/>
    <w:rsid w:val="00256D77"/>
    <w:rsid w:val="0025767C"/>
    <w:rsid w:val="00257C95"/>
    <w:rsid w:val="00257CD6"/>
    <w:rsid w:val="00257FCA"/>
    <w:rsid w:val="0026001D"/>
    <w:rsid w:val="00260537"/>
    <w:rsid w:val="00261FBC"/>
    <w:rsid w:val="0026247C"/>
    <w:rsid w:val="00262EB0"/>
    <w:rsid w:val="00263204"/>
    <w:rsid w:val="002635CD"/>
    <w:rsid w:val="002646E4"/>
    <w:rsid w:val="0026492F"/>
    <w:rsid w:val="00264CC8"/>
    <w:rsid w:val="002652DD"/>
    <w:rsid w:val="00265C3A"/>
    <w:rsid w:val="00265D78"/>
    <w:rsid w:val="00266496"/>
    <w:rsid w:val="00266A84"/>
    <w:rsid w:val="00266B46"/>
    <w:rsid w:val="00266C5D"/>
    <w:rsid w:val="00267553"/>
    <w:rsid w:val="00267E2C"/>
    <w:rsid w:val="0027011F"/>
    <w:rsid w:val="0027054A"/>
    <w:rsid w:val="00270968"/>
    <w:rsid w:val="00270F90"/>
    <w:rsid w:val="0027108F"/>
    <w:rsid w:val="002719C0"/>
    <w:rsid w:val="00271A41"/>
    <w:rsid w:val="0027244C"/>
    <w:rsid w:val="002737F7"/>
    <w:rsid w:val="002739AA"/>
    <w:rsid w:val="00273B70"/>
    <w:rsid w:val="002744A2"/>
    <w:rsid w:val="0027488C"/>
    <w:rsid w:val="0027502A"/>
    <w:rsid w:val="002750F6"/>
    <w:rsid w:val="00275131"/>
    <w:rsid w:val="00275249"/>
    <w:rsid w:val="0027556D"/>
    <w:rsid w:val="00275DB2"/>
    <w:rsid w:val="00275E9F"/>
    <w:rsid w:val="00275EED"/>
    <w:rsid w:val="00276AEA"/>
    <w:rsid w:val="00276FC1"/>
    <w:rsid w:val="00277375"/>
    <w:rsid w:val="002773DC"/>
    <w:rsid w:val="00277CF5"/>
    <w:rsid w:val="002803F1"/>
    <w:rsid w:val="00280EA1"/>
    <w:rsid w:val="00280FBB"/>
    <w:rsid w:val="002810BE"/>
    <w:rsid w:val="002813D3"/>
    <w:rsid w:val="002814D3"/>
    <w:rsid w:val="002816EC"/>
    <w:rsid w:val="00281729"/>
    <w:rsid w:val="00281781"/>
    <w:rsid w:val="002818AE"/>
    <w:rsid w:val="00281B3A"/>
    <w:rsid w:val="00281DDB"/>
    <w:rsid w:val="00282202"/>
    <w:rsid w:val="00282835"/>
    <w:rsid w:val="00283A58"/>
    <w:rsid w:val="00284054"/>
    <w:rsid w:val="00285CA6"/>
    <w:rsid w:val="00285FA6"/>
    <w:rsid w:val="00286245"/>
    <w:rsid w:val="0028649A"/>
    <w:rsid w:val="00287227"/>
    <w:rsid w:val="00287449"/>
    <w:rsid w:val="00287B64"/>
    <w:rsid w:val="0029021F"/>
    <w:rsid w:val="0029029D"/>
    <w:rsid w:val="00290680"/>
    <w:rsid w:val="0029137A"/>
    <w:rsid w:val="0029188E"/>
    <w:rsid w:val="002921DD"/>
    <w:rsid w:val="00292E0F"/>
    <w:rsid w:val="002936B4"/>
    <w:rsid w:val="00293BAD"/>
    <w:rsid w:val="00293CB7"/>
    <w:rsid w:val="0029403E"/>
    <w:rsid w:val="002940B8"/>
    <w:rsid w:val="002948B4"/>
    <w:rsid w:val="00295331"/>
    <w:rsid w:val="00296002"/>
    <w:rsid w:val="0029603A"/>
    <w:rsid w:val="00296525"/>
    <w:rsid w:val="00296586"/>
    <w:rsid w:val="0029669F"/>
    <w:rsid w:val="00297051"/>
    <w:rsid w:val="00297EBA"/>
    <w:rsid w:val="002A0520"/>
    <w:rsid w:val="002A0BC5"/>
    <w:rsid w:val="002A0CF4"/>
    <w:rsid w:val="002A12DD"/>
    <w:rsid w:val="002A1737"/>
    <w:rsid w:val="002A1DB8"/>
    <w:rsid w:val="002A2398"/>
    <w:rsid w:val="002A23FC"/>
    <w:rsid w:val="002A2463"/>
    <w:rsid w:val="002A24D6"/>
    <w:rsid w:val="002A2917"/>
    <w:rsid w:val="002A2D38"/>
    <w:rsid w:val="002A3756"/>
    <w:rsid w:val="002A3F2C"/>
    <w:rsid w:val="002A3F4E"/>
    <w:rsid w:val="002A4344"/>
    <w:rsid w:val="002A43E4"/>
    <w:rsid w:val="002A475B"/>
    <w:rsid w:val="002A4CA1"/>
    <w:rsid w:val="002A4FF6"/>
    <w:rsid w:val="002A56E5"/>
    <w:rsid w:val="002A575F"/>
    <w:rsid w:val="002A5EBA"/>
    <w:rsid w:val="002A6A05"/>
    <w:rsid w:val="002A6E83"/>
    <w:rsid w:val="002A75CE"/>
    <w:rsid w:val="002A78A5"/>
    <w:rsid w:val="002B00C0"/>
    <w:rsid w:val="002B0A21"/>
    <w:rsid w:val="002B16AE"/>
    <w:rsid w:val="002B16BF"/>
    <w:rsid w:val="002B1C54"/>
    <w:rsid w:val="002B2488"/>
    <w:rsid w:val="002B2715"/>
    <w:rsid w:val="002B278D"/>
    <w:rsid w:val="002B2ADC"/>
    <w:rsid w:val="002B2C55"/>
    <w:rsid w:val="002B2E5C"/>
    <w:rsid w:val="002B3053"/>
    <w:rsid w:val="002B313B"/>
    <w:rsid w:val="002B32F3"/>
    <w:rsid w:val="002B3711"/>
    <w:rsid w:val="002B49E4"/>
    <w:rsid w:val="002B4B5D"/>
    <w:rsid w:val="002B52D3"/>
    <w:rsid w:val="002B555A"/>
    <w:rsid w:val="002B60E0"/>
    <w:rsid w:val="002B63D4"/>
    <w:rsid w:val="002B6A1C"/>
    <w:rsid w:val="002B6E26"/>
    <w:rsid w:val="002B6E54"/>
    <w:rsid w:val="002C01EC"/>
    <w:rsid w:val="002C062F"/>
    <w:rsid w:val="002C0CA1"/>
    <w:rsid w:val="002C13C0"/>
    <w:rsid w:val="002C14C1"/>
    <w:rsid w:val="002C17E6"/>
    <w:rsid w:val="002C1950"/>
    <w:rsid w:val="002C19A6"/>
    <w:rsid w:val="002C334F"/>
    <w:rsid w:val="002C3718"/>
    <w:rsid w:val="002C3A4D"/>
    <w:rsid w:val="002C4273"/>
    <w:rsid w:val="002C4865"/>
    <w:rsid w:val="002C4D40"/>
    <w:rsid w:val="002C4E8B"/>
    <w:rsid w:val="002C5438"/>
    <w:rsid w:val="002C5510"/>
    <w:rsid w:val="002C5D44"/>
    <w:rsid w:val="002C616C"/>
    <w:rsid w:val="002C6984"/>
    <w:rsid w:val="002C69D1"/>
    <w:rsid w:val="002C6FAF"/>
    <w:rsid w:val="002C70B3"/>
    <w:rsid w:val="002C7946"/>
    <w:rsid w:val="002C7B71"/>
    <w:rsid w:val="002C7D8C"/>
    <w:rsid w:val="002D0486"/>
    <w:rsid w:val="002D08CF"/>
    <w:rsid w:val="002D1281"/>
    <w:rsid w:val="002D18F1"/>
    <w:rsid w:val="002D237E"/>
    <w:rsid w:val="002D29CE"/>
    <w:rsid w:val="002D2CAD"/>
    <w:rsid w:val="002D2F6A"/>
    <w:rsid w:val="002D342F"/>
    <w:rsid w:val="002D4112"/>
    <w:rsid w:val="002D4628"/>
    <w:rsid w:val="002D471B"/>
    <w:rsid w:val="002D4910"/>
    <w:rsid w:val="002D4F35"/>
    <w:rsid w:val="002D50EE"/>
    <w:rsid w:val="002D52A6"/>
    <w:rsid w:val="002D55FA"/>
    <w:rsid w:val="002D5B3F"/>
    <w:rsid w:val="002D5B58"/>
    <w:rsid w:val="002D635C"/>
    <w:rsid w:val="002D6FC9"/>
    <w:rsid w:val="002D71C7"/>
    <w:rsid w:val="002D750F"/>
    <w:rsid w:val="002D779B"/>
    <w:rsid w:val="002D7F3F"/>
    <w:rsid w:val="002E01D9"/>
    <w:rsid w:val="002E043C"/>
    <w:rsid w:val="002E14D4"/>
    <w:rsid w:val="002E198F"/>
    <w:rsid w:val="002E2309"/>
    <w:rsid w:val="002E23B0"/>
    <w:rsid w:val="002E2A21"/>
    <w:rsid w:val="002E2C2D"/>
    <w:rsid w:val="002E3127"/>
    <w:rsid w:val="002E352D"/>
    <w:rsid w:val="002E36EE"/>
    <w:rsid w:val="002E389E"/>
    <w:rsid w:val="002E4263"/>
    <w:rsid w:val="002E46DB"/>
    <w:rsid w:val="002E4832"/>
    <w:rsid w:val="002E4A11"/>
    <w:rsid w:val="002E567C"/>
    <w:rsid w:val="002E63AB"/>
    <w:rsid w:val="002E742A"/>
    <w:rsid w:val="002E7B01"/>
    <w:rsid w:val="002F0322"/>
    <w:rsid w:val="002F07AE"/>
    <w:rsid w:val="002F0B7A"/>
    <w:rsid w:val="002F13A6"/>
    <w:rsid w:val="002F16C9"/>
    <w:rsid w:val="002F180E"/>
    <w:rsid w:val="002F1C2F"/>
    <w:rsid w:val="002F2EEF"/>
    <w:rsid w:val="002F3079"/>
    <w:rsid w:val="002F34A3"/>
    <w:rsid w:val="002F34EE"/>
    <w:rsid w:val="002F35C5"/>
    <w:rsid w:val="002F373B"/>
    <w:rsid w:val="002F3DB0"/>
    <w:rsid w:val="002F40F4"/>
    <w:rsid w:val="002F47A8"/>
    <w:rsid w:val="002F4826"/>
    <w:rsid w:val="002F4959"/>
    <w:rsid w:val="002F4E31"/>
    <w:rsid w:val="002F52BE"/>
    <w:rsid w:val="002F5BD1"/>
    <w:rsid w:val="002F624D"/>
    <w:rsid w:val="002F6287"/>
    <w:rsid w:val="002F68F1"/>
    <w:rsid w:val="002F69B5"/>
    <w:rsid w:val="002F6AAC"/>
    <w:rsid w:val="002F6BDC"/>
    <w:rsid w:val="002F7C79"/>
    <w:rsid w:val="002F7FCE"/>
    <w:rsid w:val="003000D7"/>
    <w:rsid w:val="003002E2"/>
    <w:rsid w:val="003004B2"/>
    <w:rsid w:val="00300BB5"/>
    <w:rsid w:val="00300C80"/>
    <w:rsid w:val="00301E20"/>
    <w:rsid w:val="00301E7E"/>
    <w:rsid w:val="00301ED4"/>
    <w:rsid w:val="00302DE8"/>
    <w:rsid w:val="00302E96"/>
    <w:rsid w:val="003033F5"/>
    <w:rsid w:val="00303EBE"/>
    <w:rsid w:val="003042CA"/>
    <w:rsid w:val="003044B3"/>
    <w:rsid w:val="003049BD"/>
    <w:rsid w:val="00304FC8"/>
    <w:rsid w:val="003050F7"/>
    <w:rsid w:val="003052CB"/>
    <w:rsid w:val="00305D58"/>
    <w:rsid w:val="003065C1"/>
    <w:rsid w:val="00306B10"/>
    <w:rsid w:val="00307BD1"/>
    <w:rsid w:val="00310BF8"/>
    <w:rsid w:val="003111AE"/>
    <w:rsid w:val="00311338"/>
    <w:rsid w:val="0031148E"/>
    <w:rsid w:val="0031159E"/>
    <w:rsid w:val="00311A4D"/>
    <w:rsid w:val="00311AA1"/>
    <w:rsid w:val="00311D9C"/>
    <w:rsid w:val="0031213B"/>
    <w:rsid w:val="00312200"/>
    <w:rsid w:val="00312527"/>
    <w:rsid w:val="00312778"/>
    <w:rsid w:val="00312B8C"/>
    <w:rsid w:val="00312D26"/>
    <w:rsid w:val="00313060"/>
    <w:rsid w:val="003134AF"/>
    <w:rsid w:val="003134B8"/>
    <w:rsid w:val="0031454D"/>
    <w:rsid w:val="003145DB"/>
    <w:rsid w:val="0031483C"/>
    <w:rsid w:val="00314B2C"/>
    <w:rsid w:val="00314FB9"/>
    <w:rsid w:val="0031525D"/>
    <w:rsid w:val="0031653F"/>
    <w:rsid w:val="00316620"/>
    <w:rsid w:val="00316B80"/>
    <w:rsid w:val="00316E7C"/>
    <w:rsid w:val="00316EAF"/>
    <w:rsid w:val="00317433"/>
    <w:rsid w:val="00317525"/>
    <w:rsid w:val="00317A13"/>
    <w:rsid w:val="00317D6F"/>
    <w:rsid w:val="0032004E"/>
    <w:rsid w:val="0032080C"/>
    <w:rsid w:val="00321EEB"/>
    <w:rsid w:val="00321FAE"/>
    <w:rsid w:val="0032228B"/>
    <w:rsid w:val="00322393"/>
    <w:rsid w:val="0032246A"/>
    <w:rsid w:val="003224BB"/>
    <w:rsid w:val="0032260A"/>
    <w:rsid w:val="00322D4B"/>
    <w:rsid w:val="003230CA"/>
    <w:rsid w:val="003232DF"/>
    <w:rsid w:val="003233AA"/>
    <w:rsid w:val="00323787"/>
    <w:rsid w:val="00323F20"/>
    <w:rsid w:val="00324313"/>
    <w:rsid w:val="0032436B"/>
    <w:rsid w:val="003247CD"/>
    <w:rsid w:val="00324ECC"/>
    <w:rsid w:val="00324FD6"/>
    <w:rsid w:val="003256F3"/>
    <w:rsid w:val="00325C56"/>
    <w:rsid w:val="00325F0C"/>
    <w:rsid w:val="00326209"/>
    <w:rsid w:val="0032671B"/>
    <w:rsid w:val="00326C08"/>
    <w:rsid w:val="00326C9A"/>
    <w:rsid w:val="00326F35"/>
    <w:rsid w:val="0032796B"/>
    <w:rsid w:val="0033067F"/>
    <w:rsid w:val="003306C0"/>
    <w:rsid w:val="00330991"/>
    <w:rsid w:val="00330DB3"/>
    <w:rsid w:val="00330EBB"/>
    <w:rsid w:val="00330F26"/>
    <w:rsid w:val="00331652"/>
    <w:rsid w:val="00331793"/>
    <w:rsid w:val="00331A93"/>
    <w:rsid w:val="00331E1E"/>
    <w:rsid w:val="003326B6"/>
    <w:rsid w:val="00332900"/>
    <w:rsid w:val="00332F00"/>
    <w:rsid w:val="00333581"/>
    <w:rsid w:val="00333B48"/>
    <w:rsid w:val="00333C33"/>
    <w:rsid w:val="003342ED"/>
    <w:rsid w:val="0033469A"/>
    <w:rsid w:val="003348CB"/>
    <w:rsid w:val="00335046"/>
    <w:rsid w:val="0033567E"/>
    <w:rsid w:val="003357BC"/>
    <w:rsid w:val="003365EC"/>
    <w:rsid w:val="0033686A"/>
    <w:rsid w:val="00336C28"/>
    <w:rsid w:val="003373A7"/>
    <w:rsid w:val="00337C9B"/>
    <w:rsid w:val="0034022D"/>
    <w:rsid w:val="00340283"/>
    <w:rsid w:val="00340D23"/>
    <w:rsid w:val="0034118A"/>
    <w:rsid w:val="0034133C"/>
    <w:rsid w:val="00341997"/>
    <w:rsid w:val="00341A20"/>
    <w:rsid w:val="00341D10"/>
    <w:rsid w:val="003421D8"/>
    <w:rsid w:val="003422F7"/>
    <w:rsid w:val="00342625"/>
    <w:rsid w:val="00343027"/>
    <w:rsid w:val="003438B7"/>
    <w:rsid w:val="003438EB"/>
    <w:rsid w:val="00343969"/>
    <w:rsid w:val="00343DD5"/>
    <w:rsid w:val="00344522"/>
    <w:rsid w:val="00344D3F"/>
    <w:rsid w:val="00344E6C"/>
    <w:rsid w:val="003451D4"/>
    <w:rsid w:val="0034592D"/>
    <w:rsid w:val="00345A25"/>
    <w:rsid w:val="00345F3B"/>
    <w:rsid w:val="003469EE"/>
    <w:rsid w:val="00346CC9"/>
    <w:rsid w:val="00347282"/>
    <w:rsid w:val="00347752"/>
    <w:rsid w:val="00347B5F"/>
    <w:rsid w:val="00347DEC"/>
    <w:rsid w:val="003502D4"/>
    <w:rsid w:val="0035045B"/>
    <w:rsid w:val="00350C06"/>
    <w:rsid w:val="00351D4C"/>
    <w:rsid w:val="003521FF"/>
    <w:rsid w:val="0035258E"/>
    <w:rsid w:val="003526D7"/>
    <w:rsid w:val="00352764"/>
    <w:rsid w:val="00352DEB"/>
    <w:rsid w:val="0035312F"/>
    <w:rsid w:val="0035327F"/>
    <w:rsid w:val="00353303"/>
    <w:rsid w:val="00353770"/>
    <w:rsid w:val="00354290"/>
    <w:rsid w:val="00355131"/>
    <w:rsid w:val="0035528A"/>
    <w:rsid w:val="003552A9"/>
    <w:rsid w:val="0035534A"/>
    <w:rsid w:val="00355618"/>
    <w:rsid w:val="00355666"/>
    <w:rsid w:val="00355A69"/>
    <w:rsid w:val="00355B76"/>
    <w:rsid w:val="00356166"/>
    <w:rsid w:val="00356C4B"/>
    <w:rsid w:val="00356C57"/>
    <w:rsid w:val="0035701B"/>
    <w:rsid w:val="003572DD"/>
    <w:rsid w:val="003577DB"/>
    <w:rsid w:val="00357D99"/>
    <w:rsid w:val="00357E24"/>
    <w:rsid w:val="00357F9C"/>
    <w:rsid w:val="003602A2"/>
    <w:rsid w:val="00360473"/>
    <w:rsid w:val="00360C03"/>
    <w:rsid w:val="00360CE2"/>
    <w:rsid w:val="003619C5"/>
    <w:rsid w:val="00361A80"/>
    <w:rsid w:val="00361B43"/>
    <w:rsid w:val="00361D38"/>
    <w:rsid w:val="0036201F"/>
    <w:rsid w:val="0036303E"/>
    <w:rsid w:val="003642F4"/>
    <w:rsid w:val="0036437C"/>
    <w:rsid w:val="0036479D"/>
    <w:rsid w:val="0036497A"/>
    <w:rsid w:val="00365EB1"/>
    <w:rsid w:val="00366281"/>
    <w:rsid w:val="003667D9"/>
    <w:rsid w:val="0036758E"/>
    <w:rsid w:val="0036783D"/>
    <w:rsid w:val="00367AA0"/>
    <w:rsid w:val="00367ECF"/>
    <w:rsid w:val="003703AC"/>
    <w:rsid w:val="00371186"/>
    <w:rsid w:val="0037122B"/>
    <w:rsid w:val="00371442"/>
    <w:rsid w:val="003714E0"/>
    <w:rsid w:val="0037178B"/>
    <w:rsid w:val="00372314"/>
    <w:rsid w:val="00372B5B"/>
    <w:rsid w:val="00373B33"/>
    <w:rsid w:val="00373F20"/>
    <w:rsid w:val="00375D5F"/>
    <w:rsid w:val="00375E5A"/>
    <w:rsid w:val="00375E7B"/>
    <w:rsid w:val="003761C1"/>
    <w:rsid w:val="00376262"/>
    <w:rsid w:val="003767AB"/>
    <w:rsid w:val="00376846"/>
    <w:rsid w:val="00376B25"/>
    <w:rsid w:val="00376D6C"/>
    <w:rsid w:val="00376FEC"/>
    <w:rsid w:val="003772CA"/>
    <w:rsid w:val="003777FC"/>
    <w:rsid w:val="00377B0E"/>
    <w:rsid w:val="00377BA2"/>
    <w:rsid w:val="00377D40"/>
    <w:rsid w:val="003800AE"/>
    <w:rsid w:val="003801B8"/>
    <w:rsid w:val="00381B55"/>
    <w:rsid w:val="0038212D"/>
    <w:rsid w:val="0038234F"/>
    <w:rsid w:val="0038279B"/>
    <w:rsid w:val="00382806"/>
    <w:rsid w:val="00382D5B"/>
    <w:rsid w:val="00383161"/>
    <w:rsid w:val="00383886"/>
    <w:rsid w:val="003839DA"/>
    <w:rsid w:val="00383FF6"/>
    <w:rsid w:val="00384A02"/>
    <w:rsid w:val="00384F92"/>
    <w:rsid w:val="00385F45"/>
    <w:rsid w:val="00386ED5"/>
    <w:rsid w:val="00387051"/>
    <w:rsid w:val="003872A7"/>
    <w:rsid w:val="003872B0"/>
    <w:rsid w:val="0038730C"/>
    <w:rsid w:val="0038787C"/>
    <w:rsid w:val="00390090"/>
    <w:rsid w:val="003904C6"/>
    <w:rsid w:val="00390A39"/>
    <w:rsid w:val="00390CBE"/>
    <w:rsid w:val="0039144F"/>
    <w:rsid w:val="0039149D"/>
    <w:rsid w:val="0039165E"/>
    <w:rsid w:val="0039178F"/>
    <w:rsid w:val="003917AB"/>
    <w:rsid w:val="00391C9E"/>
    <w:rsid w:val="00391F58"/>
    <w:rsid w:val="00392521"/>
    <w:rsid w:val="003925B6"/>
    <w:rsid w:val="0039272F"/>
    <w:rsid w:val="00392BD8"/>
    <w:rsid w:val="00393478"/>
    <w:rsid w:val="00393E9D"/>
    <w:rsid w:val="00394163"/>
    <w:rsid w:val="00394D88"/>
    <w:rsid w:val="00395158"/>
    <w:rsid w:val="003953BF"/>
    <w:rsid w:val="00395FBF"/>
    <w:rsid w:val="00396106"/>
    <w:rsid w:val="003968D0"/>
    <w:rsid w:val="00396FD3"/>
    <w:rsid w:val="00397254"/>
    <w:rsid w:val="003975C9"/>
    <w:rsid w:val="003975D6"/>
    <w:rsid w:val="003977A8"/>
    <w:rsid w:val="003978F2"/>
    <w:rsid w:val="00397A28"/>
    <w:rsid w:val="00397F21"/>
    <w:rsid w:val="003A0287"/>
    <w:rsid w:val="003A0E0B"/>
    <w:rsid w:val="003A1187"/>
    <w:rsid w:val="003A1D01"/>
    <w:rsid w:val="003A2246"/>
    <w:rsid w:val="003A23EB"/>
    <w:rsid w:val="003A3055"/>
    <w:rsid w:val="003A3906"/>
    <w:rsid w:val="003A3DCB"/>
    <w:rsid w:val="003A3DD9"/>
    <w:rsid w:val="003A44F5"/>
    <w:rsid w:val="003A4960"/>
    <w:rsid w:val="003A5373"/>
    <w:rsid w:val="003A5672"/>
    <w:rsid w:val="003A58DD"/>
    <w:rsid w:val="003A5E16"/>
    <w:rsid w:val="003A5F6F"/>
    <w:rsid w:val="003A7317"/>
    <w:rsid w:val="003A736B"/>
    <w:rsid w:val="003A7A39"/>
    <w:rsid w:val="003A7E99"/>
    <w:rsid w:val="003B0554"/>
    <w:rsid w:val="003B1091"/>
    <w:rsid w:val="003B13E8"/>
    <w:rsid w:val="003B1897"/>
    <w:rsid w:val="003B1BF1"/>
    <w:rsid w:val="003B1D25"/>
    <w:rsid w:val="003B2456"/>
    <w:rsid w:val="003B247E"/>
    <w:rsid w:val="003B2904"/>
    <w:rsid w:val="003B2EF1"/>
    <w:rsid w:val="003B2F91"/>
    <w:rsid w:val="003B324F"/>
    <w:rsid w:val="003B365D"/>
    <w:rsid w:val="003B3736"/>
    <w:rsid w:val="003B3869"/>
    <w:rsid w:val="003B38E2"/>
    <w:rsid w:val="003B39DD"/>
    <w:rsid w:val="003B3C80"/>
    <w:rsid w:val="003B40AF"/>
    <w:rsid w:val="003B549A"/>
    <w:rsid w:val="003B56E4"/>
    <w:rsid w:val="003B5B2B"/>
    <w:rsid w:val="003B5DDA"/>
    <w:rsid w:val="003B626C"/>
    <w:rsid w:val="003B6B77"/>
    <w:rsid w:val="003B70D2"/>
    <w:rsid w:val="003B7783"/>
    <w:rsid w:val="003B788B"/>
    <w:rsid w:val="003B7E76"/>
    <w:rsid w:val="003C1F52"/>
    <w:rsid w:val="003C2209"/>
    <w:rsid w:val="003C2746"/>
    <w:rsid w:val="003C2B28"/>
    <w:rsid w:val="003C37A7"/>
    <w:rsid w:val="003C3CA8"/>
    <w:rsid w:val="003C3D0C"/>
    <w:rsid w:val="003C3F9D"/>
    <w:rsid w:val="003C426F"/>
    <w:rsid w:val="003C48BA"/>
    <w:rsid w:val="003C4E53"/>
    <w:rsid w:val="003C51FB"/>
    <w:rsid w:val="003C554E"/>
    <w:rsid w:val="003C5703"/>
    <w:rsid w:val="003C641B"/>
    <w:rsid w:val="003C7963"/>
    <w:rsid w:val="003C7F2C"/>
    <w:rsid w:val="003C7F4F"/>
    <w:rsid w:val="003D011F"/>
    <w:rsid w:val="003D045C"/>
    <w:rsid w:val="003D0B70"/>
    <w:rsid w:val="003D111E"/>
    <w:rsid w:val="003D1563"/>
    <w:rsid w:val="003D17A4"/>
    <w:rsid w:val="003D1A7F"/>
    <w:rsid w:val="003D2CA0"/>
    <w:rsid w:val="003D2EC6"/>
    <w:rsid w:val="003D308A"/>
    <w:rsid w:val="003D3C8B"/>
    <w:rsid w:val="003D3FB3"/>
    <w:rsid w:val="003D4486"/>
    <w:rsid w:val="003D4EC6"/>
    <w:rsid w:val="003D5586"/>
    <w:rsid w:val="003D5638"/>
    <w:rsid w:val="003D6107"/>
    <w:rsid w:val="003D6E7F"/>
    <w:rsid w:val="003D7491"/>
    <w:rsid w:val="003D7A13"/>
    <w:rsid w:val="003D7B8C"/>
    <w:rsid w:val="003D7E53"/>
    <w:rsid w:val="003E016B"/>
    <w:rsid w:val="003E08B5"/>
    <w:rsid w:val="003E1D5D"/>
    <w:rsid w:val="003E1E3A"/>
    <w:rsid w:val="003E2499"/>
    <w:rsid w:val="003E2EF8"/>
    <w:rsid w:val="003E2F8D"/>
    <w:rsid w:val="003E38A4"/>
    <w:rsid w:val="003E39D0"/>
    <w:rsid w:val="003E3C15"/>
    <w:rsid w:val="003E3CCB"/>
    <w:rsid w:val="003E3EEC"/>
    <w:rsid w:val="003E44EA"/>
    <w:rsid w:val="003E50C4"/>
    <w:rsid w:val="003E5AFD"/>
    <w:rsid w:val="003E733A"/>
    <w:rsid w:val="003E76EF"/>
    <w:rsid w:val="003E7BC7"/>
    <w:rsid w:val="003F0195"/>
    <w:rsid w:val="003F0440"/>
    <w:rsid w:val="003F0488"/>
    <w:rsid w:val="003F0C1F"/>
    <w:rsid w:val="003F0D7E"/>
    <w:rsid w:val="003F11A9"/>
    <w:rsid w:val="003F1755"/>
    <w:rsid w:val="003F1915"/>
    <w:rsid w:val="003F1A6F"/>
    <w:rsid w:val="003F22C9"/>
    <w:rsid w:val="003F2952"/>
    <w:rsid w:val="003F2A61"/>
    <w:rsid w:val="003F37F1"/>
    <w:rsid w:val="003F3A8D"/>
    <w:rsid w:val="003F42F1"/>
    <w:rsid w:val="003F4499"/>
    <w:rsid w:val="003F475A"/>
    <w:rsid w:val="003F48A4"/>
    <w:rsid w:val="003F4C6E"/>
    <w:rsid w:val="003F541C"/>
    <w:rsid w:val="003F56C2"/>
    <w:rsid w:val="003F5788"/>
    <w:rsid w:val="003F57F4"/>
    <w:rsid w:val="003F5E9F"/>
    <w:rsid w:val="003F6459"/>
    <w:rsid w:val="003F655E"/>
    <w:rsid w:val="003F6DAE"/>
    <w:rsid w:val="0040000E"/>
    <w:rsid w:val="0040099C"/>
    <w:rsid w:val="00400D49"/>
    <w:rsid w:val="00401009"/>
    <w:rsid w:val="0040123A"/>
    <w:rsid w:val="004013EE"/>
    <w:rsid w:val="00401703"/>
    <w:rsid w:val="00402020"/>
    <w:rsid w:val="00402145"/>
    <w:rsid w:val="0040227B"/>
    <w:rsid w:val="004025B9"/>
    <w:rsid w:val="00402644"/>
    <w:rsid w:val="004027A5"/>
    <w:rsid w:val="00402BD0"/>
    <w:rsid w:val="00402BF7"/>
    <w:rsid w:val="00402CD2"/>
    <w:rsid w:val="00403281"/>
    <w:rsid w:val="004033E3"/>
    <w:rsid w:val="0040353D"/>
    <w:rsid w:val="0040366F"/>
    <w:rsid w:val="00403A0C"/>
    <w:rsid w:val="00403BC0"/>
    <w:rsid w:val="00403CC4"/>
    <w:rsid w:val="004040AC"/>
    <w:rsid w:val="00404316"/>
    <w:rsid w:val="00404652"/>
    <w:rsid w:val="0040486F"/>
    <w:rsid w:val="00404A25"/>
    <w:rsid w:val="00404B8E"/>
    <w:rsid w:val="0040535E"/>
    <w:rsid w:val="004058EA"/>
    <w:rsid w:val="004079C5"/>
    <w:rsid w:val="00407D2D"/>
    <w:rsid w:val="004105C2"/>
    <w:rsid w:val="00410636"/>
    <w:rsid w:val="0041080E"/>
    <w:rsid w:val="00410E76"/>
    <w:rsid w:val="00411A7D"/>
    <w:rsid w:val="00411AED"/>
    <w:rsid w:val="00411B15"/>
    <w:rsid w:val="00411B6C"/>
    <w:rsid w:val="00411BB5"/>
    <w:rsid w:val="00411C3F"/>
    <w:rsid w:val="00411CB0"/>
    <w:rsid w:val="00412053"/>
    <w:rsid w:val="00412753"/>
    <w:rsid w:val="0041278A"/>
    <w:rsid w:val="00412CA5"/>
    <w:rsid w:val="00412E72"/>
    <w:rsid w:val="004133DE"/>
    <w:rsid w:val="004137FC"/>
    <w:rsid w:val="00413890"/>
    <w:rsid w:val="00413A78"/>
    <w:rsid w:val="0041494B"/>
    <w:rsid w:val="00414DA9"/>
    <w:rsid w:val="00414EC8"/>
    <w:rsid w:val="004153FF"/>
    <w:rsid w:val="00415759"/>
    <w:rsid w:val="00415822"/>
    <w:rsid w:val="0041677E"/>
    <w:rsid w:val="00416A91"/>
    <w:rsid w:val="00416B64"/>
    <w:rsid w:val="00416F83"/>
    <w:rsid w:val="004172F7"/>
    <w:rsid w:val="0041748B"/>
    <w:rsid w:val="00417B19"/>
    <w:rsid w:val="00420033"/>
    <w:rsid w:val="0042026F"/>
    <w:rsid w:val="00420A3B"/>
    <w:rsid w:val="004210E0"/>
    <w:rsid w:val="0042143E"/>
    <w:rsid w:val="004222E4"/>
    <w:rsid w:val="00422465"/>
    <w:rsid w:val="00422DC3"/>
    <w:rsid w:val="004232FC"/>
    <w:rsid w:val="004237D6"/>
    <w:rsid w:val="00423A4C"/>
    <w:rsid w:val="00423A6F"/>
    <w:rsid w:val="00423AB8"/>
    <w:rsid w:val="00423DE0"/>
    <w:rsid w:val="00423FD9"/>
    <w:rsid w:val="00424098"/>
    <w:rsid w:val="00424B41"/>
    <w:rsid w:val="0042542E"/>
    <w:rsid w:val="00425493"/>
    <w:rsid w:val="00425BF6"/>
    <w:rsid w:val="00426556"/>
    <w:rsid w:val="0042675E"/>
    <w:rsid w:val="004272AC"/>
    <w:rsid w:val="00427CE1"/>
    <w:rsid w:val="00427EE6"/>
    <w:rsid w:val="00430129"/>
    <w:rsid w:val="0043054B"/>
    <w:rsid w:val="00430682"/>
    <w:rsid w:val="00430852"/>
    <w:rsid w:val="00430B8B"/>
    <w:rsid w:val="00430F53"/>
    <w:rsid w:val="00431403"/>
    <w:rsid w:val="0043178C"/>
    <w:rsid w:val="004320F1"/>
    <w:rsid w:val="004326C2"/>
    <w:rsid w:val="00432777"/>
    <w:rsid w:val="00432CD2"/>
    <w:rsid w:val="00433036"/>
    <w:rsid w:val="0043315D"/>
    <w:rsid w:val="0043454A"/>
    <w:rsid w:val="004346A5"/>
    <w:rsid w:val="00435310"/>
    <w:rsid w:val="00435877"/>
    <w:rsid w:val="00435DB0"/>
    <w:rsid w:val="00435DDE"/>
    <w:rsid w:val="00435F46"/>
    <w:rsid w:val="004364D2"/>
    <w:rsid w:val="004369BA"/>
    <w:rsid w:val="00437319"/>
    <w:rsid w:val="00437AD8"/>
    <w:rsid w:val="00440459"/>
    <w:rsid w:val="00440B95"/>
    <w:rsid w:val="00440E94"/>
    <w:rsid w:val="00440FE9"/>
    <w:rsid w:val="004410E1"/>
    <w:rsid w:val="0044252F"/>
    <w:rsid w:val="00442F8B"/>
    <w:rsid w:val="0044306D"/>
    <w:rsid w:val="00443212"/>
    <w:rsid w:val="00443418"/>
    <w:rsid w:val="0044446E"/>
    <w:rsid w:val="00444502"/>
    <w:rsid w:val="0044478E"/>
    <w:rsid w:val="004450BB"/>
    <w:rsid w:val="00445535"/>
    <w:rsid w:val="00445970"/>
    <w:rsid w:val="00445F93"/>
    <w:rsid w:val="004465AD"/>
    <w:rsid w:val="00446869"/>
    <w:rsid w:val="00446CE6"/>
    <w:rsid w:val="004470C3"/>
    <w:rsid w:val="004475FC"/>
    <w:rsid w:val="00447FE6"/>
    <w:rsid w:val="00450212"/>
    <w:rsid w:val="0045049C"/>
    <w:rsid w:val="00450A67"/>
    <w:rsid w:val="00451136"/>
    <w:rsid w:val="0045128E"/>
    <w:rsid w:val="004512D6"/>
    <w:rsid w:val="0045146D"/>
    <w:rsid w:val="0045192F"/>
    <w:rsid w:val="0045235A"/>
    <w:rsid w:val="0045237B"/>
    <w:rsid w:val="004523C5"/>
    <w:rsid w:val="00452917"/>
    <w:rsid w:val="004529D0"/>
    <w:rsid w:val="00452C48"/>
    <w:rsid w:val="00452CAC"/>
    <w:rsid w:val="00453B00"/>
    <w:rsid w:val="00453D76"/>
    <w:rsid w:val="004540B6"/>
    <w:rsid w:val="004544DB"/>
    <w:rsid w:val="004546DD"/>
    <w:rsid w:val="00454F0A"/>
    <w:rsid w:val="00454FA1"/>
    <w:rsid w:val="004553A2"/>
    <w:rsid w:val="004560FE"/>
    <w:rsid w:val="00456103"/>
    <w:rsid w:val="0045616E"/>
    <w:rsid w:val="0045678F"/>
    <w:rsid w:val="00456D96"/>
    <w:rsid w:val="00456FF1"/>
    <w:rsid w:val="00457143"/>
    <w:rsid w:val="00457C9D"/>
    <w:rsid w:val="004605C6"/>
    <w:rsid w:val="00460A2E"/>
    <w:rsid w:val="00460E10"/>
    <w:rsid w:val="00460F62"/>
    <w:rsid w:val="00461277"/>
    <w:rsid w:val="00461BFC"/>
    <w:rsid w:val="00461E8E"/>
    <w:rsid w:val="004626A3"/>
    <w:rsid w:val="0046333B"/>
    <w:rsid w:val="00463511"/>
    <w:rsid w:val="00463A7D"/>
    <w:rsid w:val="00464C4C"/>
    <w:rsid w:val="00464F24"/>
    <w:rsid w:val="0046513B"/>
    <w:rsid w:val="00465434"/>
    <w:rsid w:val="00465E3D"/>
    <w:rsid w:val="004667E6"/>
    <w:rsid w:val="0046720A"/>
    <w:rsid w:val="00467A16"/>
    <w:rsid w:val="0047003A"/>
    <w:rsid w:val="00470F41"/>
    <w:rsid w:val="004718AF"/>
    <w:rsid w:val="00471958"/>
    <w:rsid w:val="00471B67"/>
    <w:rsid w:val="00471CC0"/>
    <w:rsid w:val="00471E65"/>
    <w:rsid w:val="00472371"/>
    <w:rsid w:val="004723C2"/>
    <w:rsid w:val="004725E1"/>
    <w:rsid w:val="00472E64"/>
    <w:rsid w:val="00473053"/>
    <w:rsid w:val="004735A9"/>
    <w:rsid w:val="00473E17"/>
    <w:rsid w:val="00475583"/>
    <w:rsid w:val="00475932"/>
    <w:rsid w:val="0047601D"/>
    <w:rsid w:val="0047608A"/>
    <w:rsid w:val="00477000"/>
    <w:rsid w:val="00477480"/>
    <w:rsid w:val="0047748F"/>
    <w:rsid w:val="004774BE"/>
    <w:rsid w:val="0048006C"/>
    <w:rsid w:val="00480341"/>
    <w:rsid w:val="004808A0"/>
    <w:rsid w:val="0048169D"/>
    <w:rsid w:val="0048198F"/>
    <w:rsid w:val="00481C21"/>
    <w:rsid w:val="00481DA3"/>
    <w:rsid w:val="0048233B"/>
    <w:rsid w:val="00482F71"/>
    <w:rsid w:val="0048311D"/>
    <w:rsid w:val="00483589"/>
    <w:rsid w:val="004837A1"/>
    <w:rsid w:val="00483A6A"/>
    <w:rsid w:val="004842E0"/>
    <w:rsid w:val="004843AB"/>
    <w:rsid w:val="004843DA"/>
    <w:rsid w:val="00485189"/>
    <w:rsid w:val="004855AC"/>
    <w:rsid w:val="004855E0"/>
    <w:rsid w:val="00485ABF"/>
    <w:rsid w:val="00486B57"/>
    <w:rsid w:val="00487A81"/>
    <w:rsid w:val="00487B11"/>
    <w:rsid w:val="00487DB0"/>
    <w:rsid w:val="0049046A"/>
    <w:rsid w:val="00490586"/>
    <w:rsid w:val="00490AAA"/>
    <w:rsid w:val="00490FF4"/>
    <w:rsid w:val="00491157"/>
    <w:rsid w:val="0049192D"/>
    <w:rsid w:val="00491C39"/>
    <w:rsid w:val="004924D2"/>
    <w:rsid w:val="00492F6C"/>
    <w:rsid w:val="004931F3"/>
    <w:rsid w:val="0049367B"/>
    <w:rsid w:val="004946E2"/>
    <w:rsid w:val="00494D81"/>
    <w:rsid w:val="00494ED5"/>
    <w:rsid w:val="0049553C"/>
    <w:rsid w:val="00495AA8"/>
    <w:rsid w:val="004967A0"/>
    <w:rsid w:val="00496D65"/>
    <w:rsid w:val="0049757E"/>
    <w:rsid w:val="004976CE"/>
    <w:rsid w:val="00497858"/>
    <w:rsid w:val="004A01D8"/>
    <w:rsid w:val="004A0329"/>
    <w:rsid w:val="004A0F56"/>
    <w:rsid w:val="004A0FAF"/>
    <w:rsid w:val="004A1507"/>
    <w:rsid w:val="004A2307"/>
    <w:rsid w:val="004A2844"/>
    <w:rsid w:val="004A2BED"/>
    <w:rsid w:val="004A2E25"/>
    <w:rsid w:val="004A343D"/>
    <w:rsid w:val="004A37B6"/>
    <w:rsid w:val="004A3D1B"/>
    <w:rsid w:val="004A3F28"/>
    <w:rsid w:val="004A42D9"/>
    <w:rsid w:val="004A4C70"/>
    <w:rsid w:val="004A52B4"/>
    <w:rsid w:val="004A557E"/>
    <w:rsid w:val="004A5CF2"/>
    <w:rsid w:val="004A673E"/>
    <w:rsid w:val="004A6829"/>
    <w:rsid w:val="004A694D"/>
    <w:rsid w:val="004A7104"/>
    <w:rsid w:val="004B0546"/>
    <w:rsid w:val="004B07F9"/>
    <w:rsid w:val="004B09A3"/>
    <w:rsid w:val="004B10BC"/>
    <w:rsid w:val="004B1BA4"/>
    <w:rsid w:val="004B1FE3"/>
    <w:rsid w:val="004B23C6"/>
    <w:rsid w:val="004B23EA"/>
    <w:rsid w:val="004B26D4"/>
    <w:rsid w:val="004B359E"/>
    <w:rsid w:val="004B3DEE"/>
    <w:rsid w:val="004B417D"/>
    <w:rsid w:val="004B4B5B"/>
    <w:rsid w:val="004B4EEF"/>
    <w:rsid w:val="004B5046"/>
    <w:rsid w:val="004B5139"/>
    <w:rsid w:val="004B5229"/>
    <w:rsid w:val="004B52B1"/>
    <w:rsid w:val="004B54D6"/>
    <w:rsid w:val="004B5E90"/>
    <w:rsid w:val="004B5F41"/>
    <w:rsid w:val="004B5F6A"/>
    <w:rsid w:val="004B603D"/>
    <w:rsid w:val="004B6481"/>
    <w:rsid w:val="004B69E6"/>
    <w:rsid w:val="004B743B"/>
    <w:rsid w:val="004C046C"/>
    <w:rsid w:val="004C1231"/>
    <w:rsid w:val="004C1547"/>
    <w:rsid w:val="004C1CF7"/>
    <w:rsid w:val="004C1FC5"/>
    <w:rsid w:val="004C2182"/>
    <w:rsid w:val="004C2444"/>
    <w:rsid w:val="004C2D6F"/>
    <w:rsid w:val="004C2EA5"/>
    <w:rsid w:val="004C33E9"/>
    <w:rsid w:val="004C3854"/>
    <w:rsid w:val="004C3B38"/>
    <w:rsid w:val="004C3C5E"/>
    <w:rsid w:val="004C3CD0"/>
    <w:rsid w:val="004C3DEE"/>
    <w:rsid w:val="004C468A"/>
    <w:rsid w:val="004C4C27"/>
    <w:rsid w:val="004C4E89"/>
    <w:rsid w:val="004C5505"/>
    <w:rsid w:val="004C568B"/>
    <w:rsid w:val="004C5776"/>
    <w:rsid w:val="004C5969"/>
    <w:rsid w:val="004C636E"/>
    <w:rsid w:val="004C6650"/>
    <w:rsid w:val="004C666B"/>
    <w:rsid w:val="004C69EA"/>
    <w:rsid w:val="004C6AD3"/>
    <w:rsid w:val="004C6D22"/>
    <w:rsid w:val="004C712E"/>
    <w:rsid w:val="004D00D1"/>
    <w:rsid w:val="004D016A"/>
    <w:rsid w:val="004D0248"/>
    <w:rsid w:val="004D05EA"/>
    <w:rsid w:val="004D0B4A"/>
    <w:rsid w:val="004D1917"/>
    <w:rsid w:val="004D1AEE"/>
    <w:rsid w:val="004D1C58"/>
    <w:rsid w:val="004D2051"/>
    <w:rsid w:val="004D263C"/>
    <w:rsid w:val="004D2885"/>
    <w:rsid w:val="004D2A5A"/>
    <w:rsid w:val="004D2AC0"/>
    <w:rsid w:val="004D33A0"/>
    <w:rsid w:val="004D377B"/>
    <w:rsid w:val="004D3823"/>
    <w:rsid w:val="004D45A8"/>
    <w:rsid w:val="004D474A"/>
    <w:rsid w:val="004D501E"/>
    <w:rsid w:val="004D60A6"/>
    <w:rsid w:val="004D6A44"/>
    <w:rsid w:val="004D7056"/>
    <w:rsid w:val="004D75CC"/>
    <w:rsid w:val="004D75E2"/>
    <w:rsid w:val="004D768E"/>
    <w:rsid w:val="004D7733"/>
    <w:rsid w:val="004D7EC0"/>
    <w:rsid w:val="004E023F"/>
    <w:rsid w:val="004E15D9"/>
    <w:rsid w:val="004E1815"/>
    <w:rsid w:val="004E25C4"/>
    <w:rsid w:val="004E285A"/>
    <w:rsid w:val="004E2AC6"/>
    <w:rsid w:val="004E2D4E"/>
    <w:rsid w:val="004E3BEA"/>
    <w:rsid w:val="004E3D42"/>
    <w:rsid w:val="004E3D73"/>
    <w:rsid w:val="004E3E72"/>
    <w:rsid w:val="004E4587"/>
    <w:rsid w:val="004E46DB"/>
    <w:rsid w:val="004E4A42"/>
    <w:rsid w:val="004E5238"/>
    <w:rsid w:val="004E5BA3"/>
    <w:rsid w:val="004E6143"/>
    <w:rsid w:val="004E7123"/>
    <w:rsid w:val="004E7431"/>
    <w:rsid w:val="004E74BB"/>
    <w:rsid w:val="004E7F0F"/>
    <w:rsid w:val="004F00B7"/>
    <w:rsid w:val="004F0323"/>
    <w:rsid w:val="004F0346"/>
    <w:rsid w:val="004F04AC"/>
    <w:rsid w:val="004F0CD8"/>
    <w:rsid w:val="004F118F"/>
    <w:rsid w:val="004F1A14"/>
    <w:rsid w:val="004F1E8B"/>
    <w:rsid w:val="004F2967"/>
    <w:rsid w:val="004F2A3E"/>
    <w:rsid w:val="004F2ACB"/>
    <w:rsid w:val="004F31C7"/>
    <w:rsid w:val="004F3555"/>
    <w:rsid w:val="004F39BC"/>
    <w:rsid w:val="004F40A7"/>
    <w:rsid w:val="004F44A5"/>
    <w:rsid w:val="004F45E0"/>
    <w:rsid w:val="004F49BB"/>
    <w:rsid w:val="004F4C1F"/>
    <w:rsid w:val="004F4D9A"/>
    <w:rsid w:val="004F5B2F"/>
    <w:rsid w:val="004F6040"/>
    <w:rsid w:val="004F6052"/>
    <w:rsid w:val="004F68F4"/>
    <w:rsid w:val="004F786C"/>
    <w:rsid w:val="004F7A47"/>
    <w:rsid w:val="004F7A8F"/>
    <w:rsid w:val="0050019E"/>
    <w:rsid w:val="0050038F"/>
    <w:rsid w:val="00500D7B"/>
    <w:rsid w:val="005012C5"/>
    <w:rsid w:val="00501ED7"/>
    <w:rsid w:val="00501FB9"/>
    <w:rsid w:val="0050240C"/>
    <w:rsid w:val="005027E6"/>
    <w:rsid w:val="00502F79"/>
    <w:rsid w:val="0050315D"/>
    <w:rsid w:val="005037DA"/>
    <w:rsid w:val="005038E8"/>
    <w:rsid w:val="00503D4D"/>
    <w:rsid w:val="0050490F"/>
    <w:rsid w:val="00504999"/>
    <w:rsid w:val="00504AD4"/>
    <w:rsid w:val="00504C10"/>
    <w:rsid w:val="00504E13"/>
    <w:rsid w:val="00505B3C"/>
    <w:rsid w:val="00506231"/>
    <w:rsid w:val="005065BD"/>
    <w:rsid w:val="005065F7"/>
    <w:rsid w:val="005067E2"/>
    <w:rsid w:val="005069FD"/>
    <w:rsid w:val="0050710D"/>
    <w:rsid w:val="00507161"/>
    <w:rsid w:val="005101BE"/>
    <w:rsid w:val="00510391"/>
    <w:rsid w:val="005104BD"/>
    <w:rsid w:val="00510D35"/>
    <w:rsid w:val="00510FA7"/>
    <w:rsid w:val="00510FDE"/>
    <w:rsid w:val="005113B6"/>
    <w:rsid w:val="00511CB3"/>
    <w:rsid w:val="00512118"/>
    <w:rsid w:val="0051224C"/>
    <w:rsid w:val="005128FA"/>
    <w:rsid w:val="00512B86"/>
    <w:rsid w:val="005132F7"/>
    <w:rsid w:val="005139A9"/>
    <w:rsid w:val="00513FB1"/>
    <w:rsid w:val="00514048"/>
    <w:rsid w:val="00514212"/>
    <w:rsid w:val="0051473E"/>
    <w:rsid w:val="00514757"/>
    <w:rsid w:val="00514FFA"/>
    <w:rsid w:val="005158E4"/>
    <w:rsid w:val="00515D5F"/>
    <w:rsid w:val="00516EEA"/>
    <w:rsid w:val="00517267"/>
    <w:rsid w:val="0051733B"/>
    <w:rsid w:val="00517436"/>
    <w:rsid w:val="00517A30"/>
    <w:rsid w:val="00521517"/>
    <w:rsid w:val="00521919"/>
    <w:rsid w:val="0052256C"/>
    <w:rsid w:val="00522785"/>
    <w:rsid w:val="0052333C"/>
    <w:rsid w:val="005233EE"/>
    <w:rsid w:val="005236CA"/>
    <w:rsid w:val="005240BE"/>
    <w:rsid w:val="00524219"/>
    <w:rsid w:val="00525690"/>
    <w:rsid w:val="00525BE0"/>
    <w:rsid w:val="00525E75"/>
    <w:rsid w:val="00526290"/>
    <w:rsid w:val="005268A6"/>
    <w:rsid w:val="00526DA0"/>
    <w:rsid w:val="005270E8"/>
    <w:rsid w:val="005271D1"/>
    <w:rsid w:val="0052720F"/>
    <w:rsid w:val="005272D2"/>
    <w:rsid w:val="00527C97"/>
    <w:rsid w:val="00530033"/>
    <w:rsid w:val="005308D3"/>
    <w:rsid w:val="00530BC4"/>
    <w:rsid w:val="00531192"/>
    <w:rsid w:val="0053193F"/>
    <w:rsid w:val="00531E14"/>
    <w:rsid w:val="0053208D"/>
    <w:rsid w:val="0053234A"/>
    <w:rsid w:val="00532BBF"/>
    <w:rsid w:val="00533166"/>
    <w:rsid w:val="005332F0"/>
    <w:rsid w:val="00533993"/>
    <w:rsid w:val="00533D34"/>
    <w:rsid w:val="00533EDE"/>
    <w:rsid w:val="00534A31"/>
    <w:rsid w:val="00534BC3"/>
    <w:rsid w:val="00534DB0"/>
    <w:rsid w:val="005350D2"/>
    <w:rsid w:val="00535635"/>
    <w:rsid w:val="00535692"/>
    <w:rsid w:val="00535B1D"/>
    <w:rsid w:val="00536136"/>
    <w:rsid w:val="0053759B"/>
    <w:rsid w:val="005375E5"/>
    <w:rsid w:val="00537E20"/>
    <w:rsid w:val="00537F6F"/>
    <w:rsid w:val="005401E4"/>
    <w:rsid w:val="00540766"/>
    <w:rsid w:val="0054080B"/>
    <w:rsid w:val="00540817"/>
    <w:rsid w:val="005410BC"/>
    <w:rsid w:val="00541212"/>
    <w:rsid w:val="0054167D"/>
    <w:rsid w:val="00541C4A"/>
    <w:rsid w:val="00541EC8"/>
    <w:rsid w:val="0054231D"/>
    <w:rsid w:val="00542A9C"/>
    <w:rsid w:val="005438FE"/>
    <w:rsid w:val="0054415B"/>
    <w:rsid w:val="00544256"/>
    <w:rsid w:val="00544EC3"/>
    <w:rsid w:val="00545834"/>
    <w:rsid w:val="00545FA9"/>
    <w:rsid w:val="005460E3"/>
    <w:rsid w:val="0054634F"/>
    <w:rsid w:val="0054680C"/>
    <w:rsid w:val="005470EC"/>
    <w:rsid w:val="00547B47"/>
    <w:rsid w:val="00547B60"/>
    <w:rsid w:val="00547F97"/>
    <w:rsid w:val="0055036D"/>
    <w:rsid w:val="00550A27"/>
    <w:rsid w:val="00550F8A"/>
    <w:rsid w:val="005517BC"/>
    <w:rsid w:val="00551DD1"/>
    <w:rsid w:val="00552547"/>
    <w:rsid w:val="005526AF"/>
    <w:rsid w:val="00552766"/>
    <w:rsid w:val="005535C7"/>
    <w:rsid w:val="0055460E"/>
    <w:rsid w:val="00554E9F"/>
    <w:rsid w:val="00555A66"/>
    <w:rsid w:val="00555FFA"/>
    <w:rsid w:val="00556472"/>
    <w:rsid w:val="005567D8"/>
    <w:rsid w:val="00556A2E"/>
    <w:rsid w:val="0055777A"/>
    <w:rsid w:val="00557FC0"/>
    <w:rsid w:val="005602DA"/>
    <w:rsid w:val="00560D78"/>
    <w:rsid w:val="00560E20"/>
    <w:rsid w:val="0056124E"/>
    <w:rsid w:val="005618D4"/>
    <w:rsid w:val="00561CEF"/>
    <w:rsid w:val="00562481"/>
    <w:rsid w:val="00562A7C"/>
    <w:rsid w:val="00562CB9"/>
    <w:rsid w:val="00562F0A"/>
    <w:rsid w:val="005634CE"/>
    <w:rsid w:val="00563A99"/>
    <w:rsid w:val="005640CC"/>
    <w:rsid w:val="00565269"/>
    <w:rsid w:val="0056541B"/>
    <w:rsid w:val="00565474"/>
    <w:rsid w:val="00566F5C"/>
    <w:rsid w:val="005670F8"/>
    <w:rsid w:val="00567783"/>
    <w:rsid w:val="005678DF"/>
    <w:rsid w:val="00567C84"/>
    <w:rsid w:val="00567E0E"/>
    <w:rsid w:val="00567ED5"/>
    <w:rsid w:val="005708FB"/>
    <w:rsid w:val="00570A08"/>
    <w:rsid w:val="00570F2A"/>
    <w:rsid w:val="00571A63"/>
    <w:rsid w:val="00571EBC"/>
    <w:rsid w:val="005724DD"/>
    <w:rsid w:val="00572EDA"/>
    <w:rsid w:val="0057367D"/>
    <w:rsid w:val="0057371B"/>
    <w:rsid w:val="0057381F"/>
    <w:rsid w:val="00573B6D"/>
    <w:rsid w:val="00573C43"/>
    <w:rsid w:val="00573E96"/>
    <w:rsid w:val="00574427"/>
    <w:rsid w:val="00574CC3"/>
    <w:rsid w:val="00574F6D"/>
    <w:rsid w:val="005756F8"/>
    <w:rsid w:val="00575746"/>
    <w:rsid w:val="00575A04"/>
    <w:rsid w:val="00575E58"/>
    <w:rsid w:val="00576138"/>
    <w:rsid w:val="0057632B"/>
    <w:rsid w:val="0057671C"/>
    <w:rsid w:val="00576BEC"/>
    <w:rsid w:val="00576E4B"/>
    <w:rsid w:val="00577061"/>
    <w:rsid w:val="00577885"/>
    <w:rsid w:val="005801AD"/>
    <w:rsid w:val="00580435"/>
    <w:rsid w:val="0058051C"/>
    <w:rsid w:val="00580603"/>
    <w:rsid w:val="0058063B"/>
    <w:rsid w:val="005807FC"/>
    <w:rsid w:val="00580D08"/>
    <w:rsid w:val="0058121A"/>
    <w:rsid w:val="00581260"/>
    <w:rsid w:val="005827E0"/>
    <w:rsid w:val="005827FB"/>
    <w:rsid w:val="00582C08"/>
    <w:rsid w:val="00582F77"/>
    <w:rsid w:val="00583123"/>
    <w:rsid w:val="00583D19"/>
    <w:rsid w:val="005850B8"/>
    <w:rsid w:val="00586933"/>
    <w:rsid w:val="005869B5"/>
    <w:rsid w:val="00586C5E"/>
    <w:rsid w:val="005878E1"/>
    <w:rsid w:val="0059005A"/>
    <w:rsid w:val="00590726"/>
    <w:rsid w:val="00590CA1"/>
    <w:rsid w:val="00590DA0"/>
    <w:rsid w:val="00590F8B"/>
    <w:rsid w:val="005918EE"/>
    <w:rsid w:val="00591A51"/>
    <w:rsid w:val="00591DE3"/>
    <w:rsid w:val="005924A9"/>
    <w:rsid w:val="0059292D"/>
    <w:rsid w:val="00592B63"/>
    <w:rsid w:val="00592BAA"/>
    <w:rsid w:val="0059382F"/>
    <w:rsid w:val="005938B4"/>
    <w:rsid w:val="00593F91"/>
    <w:rsid w:val="005947E3"/>
    <w:rsid w:val="00594EE9"/>
    <w:rsid w:val="00594F9E"/>
    <w:rsid w:val="00595822"/>
    <w:rsid w:val="00595B1E"/>
    <w:rsid w:val="00595C2A"/>
    <w:rsid w:val="00596413"/>
    <w:rsid w:val="00596761"/>
    <w:rsid w:val="0059696C"/>
    <w:rsid w:val="005970DE"/>
    <w:rsid w:val="00597E83"/>
    <w:rsid w:val="005A0051"/>
    <w:rsid w:val="005A0358"/>
    <w:rsid w:val="005A09C1"/>
    <w:rsid w:val="005A0C10"/>
    <w:rsid w:val="005A127D"/>
    <w:rsid w:val="005A142E"/>
    <w:rsid w:val="005A14B9"/>
    <w:rsid w:val="005A1BBB"/>
    <w:rsid w:val="005A1C26"/>
    <w:rsid w:val="005A1DAD"/>
    <w:rsid w:val="005A1DCA"/>
    <w:rsid w:val="005A1E6D"/>
    <w:rsid w:val="005A2974"/>
    <w:rsid w:val="005A2AB6"/>
    <w:rsid w:val="005A2B20"/>
    <w:rsid w:val="005A2CBA"/>
    <w:rsid w:val="005A3C0E"/>
    <w:rsid w:val="005A4177"/>
    <w:rsid w:val="005A4740"/>
    <w:rsid w:val="005A49F4"/>
    <w:rsid w:val="005A4C1E"/>
    <w:rsid w:val="005A4D7F"/>
    <w:rsid w:val="005A5234"/>
    <w:rsid w:val="005A54B2"/>
    <w:rsid w:val="005A579B"/>
    <w:rsid w:val="005A58EB"/>
    <w:rsid w:val="005A58EF"/>
    <w:rsid w:val="005A5ABC"/>
    <w:rsid w:val="005A5C72"/>
    <w:rsid w:val="005A6053"/>
    <w:rsid w:val="005A6D00"/>
    <w:rsid w:val="005A7643"/>
    <w:rsid w:val="005A77DF"/>
    <w:rsid w:val="005A7A6A"/>
    <w:rsid w:val="005A7B30"/>
    <w:rsid w:val="005A7BD6"/>
    <w:rsid w:val="005B1156"/>
    <w:rsid w:val="005B122F"/>
    <w:rsid w:val="005B1DA9"/>
    <w:rsid w:val="005B27F6"/>
    <w:rsid w:val="005B28EE"/>
    <w:rsid w:val="005B2C89"/>
    <w:rsid w:val="005B3318"/>
    <w:rsid w:val="005B33CA"/>
    <w:rsid w:val="005B3476"/>
    <w:rsid w:val="005B35F4"/>
    <w:rsid w:val="005B3AE5"/>
    <w:rsid w:val="005B4342"/>
    <w:rsid w:val="005B4A58"/>
    <w:rsid w:val="005B4A76"/>
    <w:rsid w:val="005B4B5D"/>
    <w:rsid w:val="005B4B80"/>
    <w:rsid w:val="005B4C09"/>
    <w:rsid w:val="005B51DF"/>
    <w:rsid w:val="005B5A2F"/>
    <w:rsid w:val="005B5C16"/>
    <w:rsid w:val="005B5C30"/>
    <w:rsid w:val="005B5D40"/>
    <w:rsid w:val="005B6736"/>
    <w:rsid w:val="005B74E0"/>
    <w:rsid w:val="005B7E37"/>
    <w:rsid w:val="005C00E0"/>
    <w:rsid w:val="005C160E"/>
    <w:rsid w:val="005C2874"/>
    <w:rsid w:val="005C2D4B"/>
    <w:rsid w:val="005C2E7D"/>
    <w:rsid w:val="005C2EBA"/>
    <w:rsid w:val="005C3E07"/>
    <w:rsid w:val="005C40E7"/>
    <w:rsid w:val="005C463A"/>
    <w:rsid w:val="005C4BAC"/>
    <w:rsid w:val="005C4E5E"/>
    <w:rsid w:val="005C4F83"/>
    <w:rsid w:val="005C5314"/>
    <w:rsid w:val="005C55B1"/>
    <w:rsid w:val="005C58D1"/>
    <w:rsid w:val="005C5BF6"/>
    <w:rsid w:val="005C5C97"/>
    <w:rsid w:val="005C6A7D"/>
    <w:rsid w:val="005C7548"/>
    <w:rsid w:val="005C77E9"/>
    <w:rsid w:val="005C7B72"/>
    <w:rsid w:val="005C7DF4"/>
    <w:rsid w:val="005D04E9"/>
    <w:rsid w:val="005D0FB7"/>
    <w:rsid w:val="005D11C9"/>
    <w:rsid w:val="005D124C"/>
    <w:rsid w:val="005D1540"/>
    <w:rsid w:val="005D1CD8"/>
    <w:rsid w:val="005D1D6E"/>
    <w:rsid w:val="005D200C"/>
    <w:rsid w:val="005D26C7"/>
    <w:rsid w:val="005D2B74"/>
    <w:rsid w:val="005D3471"/>
    <w:rsid w:val="005D4672"/>
    <w:rsid w:val="005D51F0"/>
    <w:rsid w:val="005D5777"/>
    <w:rsid w:val="005D5AAD"/>
    <w:rsid w:val="005D6C67"/>
    <w:rsid w:val="005D7D41"/>
    <w:rsid w:val="005E0187"/>
    <w:rsid w:val="005E046C"/>
    <w:rsid w:val="005E078A"/>
    <w:rsid w:val="005E0860"/>
    <w:rsid w:val="005E0996"/>
    <w:rsid w:val="005E0A43"/>
    <w:rsid w:val="005E0A9E"/>
    <w:rsid w:val="005E0CCF"/>
    <w:rsid w:val="005E0DAE"/>
    <w:rsid w:val="005E1657"/>
    <w:rsid w:val="005E1B5E"/>
    <w:rsid w:val="005E267D"/>
    <w:rsid w:val="005E27AE"/>
    <w:rsid w:val="005E2CDA"/>
    <w:rsid w:val="005E2E36"/>
    <w:rsid w:val="005E2F3A"/>
    <w:rsid w:val="005E359C"/>
    <w:rsid w:val="005E3DAE"/>
    <w:rsid w:val="005E3E93"/>
    <w:rsid w:val="005E429E"/>
    <w:rsid w:val="005E489D"/>
    <w:rsid w:val="005E49FD"/>
    <w:rsid w:val="005E4BF5"/>
    <w:rsid w:val="005E4C19"/>
    <w:rsid w:val="005E50CD"/>
    <w:rsid w:val="005E5A90"/>
    <w:rsid w:val="005E5EB6"/>
    <w:rsid w:val="005E6021"/>
    <w:rsid w:val="005E6169"/>
    <w:rsid w:val="005E62B2"/>
    <w:rsid w:val="005E6746"/>
    <w:rsid w:val="005E67E7"/>
    <w:rsid w:val="005E6BF0"/>
    <w:rsid w:val="005E6C87"/>
    <w:rsid w:val="005E7441"/>
    <w:rsid w:val="005E7B2A"/>
    <w:rsid w:val="005E7F19"/>
    <w:rsid w:val="005F03D9"/>
    <w:rsid w:val="005F0442"/>
    <w:rsid w:val="005F04AB"/>
    <w:rsid w:val="005F11E3"/>
    <w:rsid w:val="005F1B0F"/>
    <w:rsid w:val="005F23DA"/>
    <w:rsid w:val="005F2CED"/>
    <w:rsid w:val="005F3108"/>
    <w:rsid w:val="005F34D4"/>
    <w:rsid w:val="005F36F8"/>
    <w:rsid w:val="005F3CE0"/>
    <w:rsid w:val="005F4131"/>
    <w:rsid w:val="005F430E"/>
    <w:rsid w:val="005F5109"/>
    <w:rsid w:val="005F52C8"/>
    <w:rsid w:val="005F58AD"/>
    <w:rsid w:val="005F5922"/>
    <w:rsid w:val="005F5F4A"/>
    <w:rsid w:val="005F69CD"/>
    <w:rsid w:val="005F6CCA"/>
    <w:rsid w:val="005F7A11"/>
    <w:rsid w:val="0060116E"/>
    <w:rsid w:val="006017CC"/>
    <w:rsid w:val="006024F7"/>
    <w:rsid w:val="0060260C"/>
    <w:rsid w:val="006027DD"/>
    <w:rsid w:val="00602FB1"/>
    <w:rsid w:val="00603759"/>
    <w:rsid w:val="006038A3"/>
    <w:rsid w:val="00603DAF"/>
    <w:rsid w:val="00603E49"/>
    <w:rsid w:val="00603F64"/>
    <w:rsid w:val="00603F97"/>
    <w:rsid w:val="006040B3"/>
    <w:rsid w:val="006042D4"/>
    <w:rsid w:val="00604556"/>
    <w:rsid w:val="00604756"/>
    <w:rsid w:val="00604833"/>
    <w:rsid w:val="006049B3"/>
    <w:rsid w:val="006049E8"/>
    <w:rsid w:val="00605B16"/>
    <w:rsid w:val="00605D9A"/>
    <w:rsid w:val="006060B0"/>
    <w:rsid w:val="00606298"/>
    <w:rsid w:val="00606B0A"/>
    <w:rsid w:val="006073F8"/>
    <w:rsid w:val="00610841"/>
    <w:rsid w:val="00610B64"/>
    <w:rsid w:val="00610CB5"/>
    <w:rsid w:val="00610F1A"/>
    <w:rsid w:val="006110AA"/>
    <w:rsid w:val="006110C6"/>
    <w:rsid w:val="006111CF"/>
    <w:rsid w:val="00611269"/>
    <w:rsid w:val="00611284"/>
    <w:rsid w:val="00611319"/>
    <w:rsid w:val="0061181E"/>
    <w:rsid w:val="00611B44"/>
    <w:rsid w:val="00612135"/>
    <w:rsid w:val="00612A55"/>
    <w:rsid w:val="00612BDB"/>
    <w:rsid w:val="00613001"/>
    <w:rsid w:val="00613716"/>
    <w:rsid w:val="00613B1A"/>
    <w:rsid w:val="00613F95"/>
    <w:rsid w:val="00614672"/>
    <w:rsid w:val="00614746"/>
    <w:rsid w:val="00614F88"/>
    <w:rsid w:val="00617249"/>
    <w:rsid w:val="00617415"/>
    <w:rsid w:val="0061756C"/>
    <w:rsid w:val="006176D6"/>
    <w:rsid w:val="006200BB"/>
    <w:rsid w:val="006208BA"/>
    <w:rsid w:val="00620C49"/>
    <w:rsid w:val="00620F4B"/>
    <w:rsid w:val="00622433"/>
    <w:rsid w:val="00622D12"/>
    <w:rsid w:val="0062484F"/>
    <w:rsid w:val="00624919"/>
    <w:rsid w:val="00624929"/>
    <w:rsid w:val="006255BA"/>
    <w:rsid w:val="0062564F"/>
    <w:rsid w:val="00625DB0"/>
    <w:rsid w:val="00625ED6"/>
    <w:rsid w:val="00626059"/>
    <w:rsid w:val="006273AA"/>
    <w:rsid w:val="006300AC"/>
    <w:rsid w:val="00630407"/>
    <w:rsid w:val="006305C9"/>
    <w:rsid w:val="006305D1"/>
    <w:rsid w:val="00630F76"/>
    <w:rsid w:val="0063115B"/>
    <w:rsid w:val="00631F92"/>
    <w:rsid w:val="00632089"/>
    <w:rsid w:val="0063250E"/>
    <w:rsid w:val="00632840"/>
    <w:rsid w:val="00632D18"/>
    <w:rsid w:val="00632D88"/>
    <w:rsid w:val="00633678"/>
    <w:rsid w:val="006337B0"/>
    <w:rsid w:val="00633E01"/>
    <w:rsid w:val="00633F20"/>
    <w:rsid w:val="006346B2"/>
    <w:rsid w:val="00634966"/>
    <w:rsid w:val="00634E9C"/>
    <w:rsid w:val="00635350"/>
    <w:rsid w:val="006353A0"/>
    <w:rsid w:val="0063584A"/>
    <w:rsid w:val="00635A4E"/>
    <w:rsid w:val="00636154"/>
    <w:rsid w:val="006361AB"/>
    <w:rsid w:val="0063647B"/>
    <w:rsid w:val="0063667C"/>
    <w:rsid w:val="006366E5"/>
    <w:rsid w:val="00636A82"/>
    <w:rsid w:val="0063712A"/>
    <w:rsid w:val="00637DA0"/>
    <w:rsid w:val="00640361"/>
    <w:rsid w:val="006404A3"/>
    <w:rsid w:val="006404E6"/>
    <w:rsid w:val="006404E7"/>
    <w:rsid w:val="006407B1"/>
    <w:rsid w:val="0064108D"/>
    <w:rsid w:val="00641E7D"/>
    <w:rsid w:val="006427D0"/>
    <w:rsid w:val="00642C8B"/>
    <w:rsid w:val="00643B5F"/>
    <w:rsid w:val="006444F8"/>
    <w:rsid w:val="00644786"/>
    <w:rsid w:val="00644953"/>
    <w:rsid w:val="00644964"/>
    <w:rsid w:val="00644C21"/>
    <w:rsid w:val="006451C6"/>
    <w:rsid w:val="0064583F"/>
    <w:rsid w:val="006458AC"/>
    <w:rsid w:val="0064598E"/>
    <w:rsid w:val="00645A86"/>
    <w:rsid w:val="0064603D"/>
    <w:rsid w:val="00646464"/>
    <w:rsid w:val="00646499"/>
    <w:rsid w:val="00646EE9"/>
    <w:rsid w:val="006471EE"/>
    <w:rsid w:val="00647450"/>
    <w:rsid w:val="00647719"/>
    <w:rsid w:val="006479D9"/>
    <w:rsid w:val="00650508"/>
    <w:rsid w:val="00650615"/>
    <w:rsid w:val="0065091F"/>
    <w:rsid w:val="006509D4"/>
    <w:rsid w:val="00651076"/>
    <w:rsid w:val="00651A5D"/>
    <w:rsid w:val="00651B53"/>
    <w:rsid w:val="00652641"/>
    <w:rsid w:val="00652931"/>
    <w:rsid w:val="00652AAF"/>
    <w:rsid w:val="00652EEE"/>
    <w:rsid w:val="006533AA"/>
    <w:rsid w:val="006536FF"/>
    <w:rsid w:val="00653EA9"/>
    <w:rsid w:val="006547CC"/>
    <w:rsid w:val="00655485"/>
    <w:rsid w:val="006554E6"/>
    <w:rsid w:val="00655913"/>
    <w:rsid w:val="00655C28"/>
    <w:rsid w:val="00656334"/>
    <w:rsid w:val="006569B1"/>
    <w:rsid w:val="006600E8"/>
    <w:rsid w:val="0066013D"/>
    <w:rsid w:val="0066093B"/>
    <w:rsid w:val="00660BA3"/>
    <w:rsid w:val="006620F2"/>
    <w:rsid w:val="006625C8"/>
    <w:rsid w:val="00662947"/>
    <w:rsid w:val="00662E94"/>
    <w:rsid w:val="00664D55"/>
    <w:rsid w:val="006653B4"/>
    <w:rsid w:val="00665B8F"/>
    <w:rsid w:val="00665C79"/>
    <w:rsid w:val="00666952"/>
    <w:rsid w:val="00666EAA"/>
    <w:rsid w:val="00666F36"/>
    <w:rsid w:val="0067017A"/>
    <w:rsid w:val="006703B3"/>
    <w:rsid w:val="006704CA"/>
    <w:rsid w:val="0067059A"/>
    <w:rsid w:val="00670916"/>
    <w:rsid w:val="00671492"/>
    <w:rsid w:val="0067213D"/>
    <w:rsid w:val="00672206"/>
    <w:rsid w:val="0067240C"/>
    <w:rsid w:val="006731D4"/>
    <w:rsid w:val="006735A7"/>
    <w:rsid w:val="00673925"/>
    <w:rsid w:val="00673C78"/>
    <w:rsid w:val="00673F30"/>
    <w:rsid w:val="006740C1"/>
    <w:rsid w:val="00674145"/>
    <w:rsid w:val="00674352"/>
    <w:rsid w:val="0067456F"/>
    <w:rsid w:val="00674B57"/>
    <w:rsid w:val="00675266"/>
    <w:rsid w:val="0067547F"/>
    <w:rsid w:val="00675C28"/>
    <w:rsid w:val="00675C91"/>
    <w:rsid w:val="006761F8"/>
    <w:rsid w:val="00676A17"/>
    <w:rsid w:val="00676B07"/>
    <w:rsid w:val="006774C3"/>
    <w:rsid w:val="0067757A"/>
    <w:rsid w:val="0067785C"/>
    <w:rsid w:val="00680351"/>
    <w:rsid w:val="006808D7"/>
    <w:rsid w:val="006808DD"/>
    <w:rsid w:val="006816F7"/>
    <w:rsid w:val="00681FD1"/>
    <w:rsid w:val="00682010"/>
    <w:rsid w:val="006824AB"/>
    <w:rsid w:val="006824E7"/>
    <w:rsid w:val="00682B17"/>
    <w:rsid w:val="00682F80"/>
    <w:rsid w:val="0068376D"/>
    <w:rsid w:val="00683BAC"/>
    <w:rsid w:val="00684839"/>
    <w:rsid w:val="00686D81"/>
    <w:rsid w:val="00687394"/>
    <w:rsid w:val="0068787B"/>
    <w:rsid w:val="00687F9B"/>
    <w:rsid w:val="006900E3"/>
    <w:rsid w:val="00690316"/>
    <w:rsid w:val="006905A3"/>
    <w:rsid w:val="0069086E"/>
    <w:rsid w:val="006908CF"/>
    <w:rsid w:val="00690C31"/>
    <w:rsid w:val="00690DB5"/>
    <w:rsid w:val="00691731"/>
    <w:rsid w:val="00691778"/>
    <w:rsid w:val="00691D53"/>
    <w:rsid w:val="006920C3"/>
    <w:rsid w:val="006922BC"/>
    <w:rsid w:val="006925CB"/>
    <w:rsid w:val="00692C74"/>
    <w:rsid w:val="0069322F"/>
    <w:rsid w:val="00693A9C"/>
    <w:rsid w:val="006949B2"/>
    <w:rsid w:val="00694D73"/>
    <w:rsid w:val="006950BA"/>
    <w:rsid w:val="00695684"/>
    <w:rsid w:val="006957CD"/>
    <w:rsid w:val="00695FCA"/>
    <w:rsid w:val="00696637"/>
    <w:rsid w:val="00696934"/>
    <w:rsid w:val="00697251"/>
    <w:rsid w:val="006975F9"/>
    <w:rsid w:val="00697EA0"/>
    <w:rsid w:val="00697F5F"/>
    <w:rsid w:val="006A007C"/>
    <w:rsid w:val="006A092B"/>
    <w:rsid w:val="006A0CC6"/>
    <w:rsid w:val="006A1458"/>
    <w:rsid w:val="006A1A70"/>
    <w:rsid w:val="006A1CAD"/>
    <w:rsid w:val="006A2690"/>
    <w:rsid w:val="006A2F80"/>
    <w:rsid w:val="006A338B"/>
    <w:rsid w:val="006A392F"/>
    <w:rsid w:val="006A490F"/>
    <w:rsid w:val="006A49DE"/>
    <w:rsid w:val="006A4B7E"/>
    <w:rsid w:val="006A5009"/>
    <w:rsid w:val="006A61B2"/>
    <w:rsid w:val="006A62B6"/>
    <w:rsid w:val="006A7974"/>
    <w:rsid w:val="006B0132"/>
    <w:rsid w:val="006B02A5"/>
    <w:rsid w:val="006B0416"/>
    <w:rsid w:val="006B08EE"/>
    <w:rsid w:val="006B0C64"/>
    <w:rsid w:val="006B0D5F"/>
    <w:rsid w:val="006B1202"/>
    <w:rsid w:val="006B155E"/>
    <w:rsid w:val="006B1FC4"/>
    <w:rsid w:val="006B2399"/>
    <w:rsid w:val="006B2A37"/>
    <w:rsid w:val="006B2F37"/>
    <w:rsid w:val="006B387D"/>
    <w:rsid w:val="006B3A2F"/>
    <w:rsid w:val="006B4641"/>
    <w:rsid w:val="006B4CF9"/>
    <w:rsid w:val="006B4D56"/>
    <w:rsid w:val="006B56D4"/>
    <w:rsid w:val="006B596A"/>
    <w:rsid w:val="006B6012"/>
    <w:rsid w:val="006B60A0"/>
    <w:rsid w:val="006B6544"/>
    <w:rsid w:val="006B7894"/>
    <w:rsid w:val="006B7EF8"/>
    <w:rsid w:val="006C0DB4"/>
    <w:rsid w:val="006C1111"/>
    <w:rsid w:val="006C120A"/>
    <w:rsid w:val="006C1611"/>
    <w:rsid w:val="006C1CB2"/>
    <w:rsid w:val="006C1DDA"/>
    <w:rsid w:val="006C21AA"/>
    <w:rsid w:val="006C260E"/>
    <w:rsid w:val="006C29DA"/>
    <w:rsid w:val="006C32E3"/>
    <w:rsid w:val="006C3610"/>
    <w:rsid w:val="006C3CAF"/>
    <w:rsid w:val="006C3F02"/>
    <w:rsid w:val="006C420E"/>
    <w:rsid w:val="006C44BE"/>
    <w:rsid w:val="006C4509"/>
    <w:rsid w:val="006C45C1"/>
    <w:rsid w:val="006C4B8F"/>
    <w:rsid w:val="006C5372"/>
    <w:rsid w:val="006C5759"/>
    <w:rsid w:val="006C7651"/>
    <w:rsid w:val="006C7D2A"/>
    <w:rsid w:val="006D0346"/>
    <w:rsid w:val="006D0958"/>
    <w:rsid w:val="006D1315"/>
    <w:rsid w:val="006D14B9"/>
    <w:rsid w:val="006D1552"/>
    <w:rsid w:val="006D2071"/>
    <w:rsid w:val="006D2285"/>
    <w:rsid w:val="006D280F"/>
    <w:rsid w:val="006D2B8D"/>
    <w:rsid w:val="006D30F2"/>
    <w:rsid w:val="006D3AFF"/>
    <w:rsid w:val="006D3CA7"/>
    <w:rsid w:val="006D3CAB"/>
    <w:rsid w:val="006D3FFA"/>
    <w:rsid w:val="006D4229"/>
    <w:rsid w:val="006D475A"/>
    <w:rsid w:val="006D4DC4"/>
    <w:rsid w:val="006D50C5"/>
    <w:rsid w:val="006D5B05"/>
    <w:rsid w:val="006D5B0C"/>
    <w:rsid w:val="006D6A47"/>
    <w:rsid w:val="006D6B32"/>
    <w:rsid w:val="006D7230"/>
    <w:rsid w:val="006D72D7"/>
    <w:rsid w:val="006D7B37"/>
    <w:rsid w:val="006D7B78"/>
    <w:rsid w:val="006D7F8C"/>
    <w:rsid w:val="006E0211"/>
    <w:rsid w:val="006E08DD"/>
    <w:rsid w:val="006E093A"/>
    <w:rsid w:val="006E177D"/>
    <w:rsid w:val="006E1921"/>
    <w:rsid w:val="006E20AD"/>
    <w:rsid w:val="006E20BD"/>
    <w:rsid w:val="006E20C2"/>
    <w:rsid w:val="006E262F"/>
    <w:rsid w:val="006E3075"/>
    <w:rsid w:val="006E338B"/>
    <w:rsid w:val="006E38B2"/>
    <w:rsid w:val="006E3AF0"/>
    <w:rsid w:val="006E3C06"/>
    <w:rsid w:val="006E4D64"/>
    <w:rsid w:val="006E575C"/>
    <w:rsid w:val="006E58C9"/>
    <w:rsid w:val="006E66B2"/>
    <w:rsid w:val="006E6960"/>
    <w:rsid w:val="006E6B06"/>
    <w:rsid w:val="006E6EA5"/>
    <w:rsid w:val="006E7024"/>
    <w:rsid w:val="006E7350"/>
    <w:rsid w:val="006E7439"/>
    <w:rsid w:val="006E77A1"/>
    <w:rsid w:val="006E7FF9"/>
    <w:rsid w:val="006F00D0"/>
    <w:rsid w:val="006F0BFE"/>
    <w:rsid w:val="006F0BFF"/>
    <w:rsid w:val="006F15C5"/>
    <w:rsid w:val="006F1ADA"/>
    <w:rsid w:val="006F1BD2"/>
    <w:rsid w:val="006F1DF9"/>
    <w:rsid w:val="006F1EE3"/>
    <w:rsid w:val="006F30A7"/>
    <w:rsid w:val="006F3C0A"/>
    <w:rsid w:val="006F4522"/>
    <w:rsid w:val="006F455B"/>
    <w:rsid w:val="006F4796"/>
    <w:rsid w:val="006F4B5C"/>
    <w:rsid w:val="006F5A3F"/>
    <w:rsid w:val="006F5E53"/>
    <w:rsid w:val="006F6AEE"/>
    <w:rsid w:val="006F6C29"/>
    <w:rsid w:val="006F6D84"/>
    <w:rsid w:val="006F7704"/>
    <w:rsid w:val="006F77A1"/>
    <w:rsid w:val="00700B5C"/>
    <w:rsid w:val="00700C2B"/>
    <w:rsid w:val="007015AA"/>
    <w:rsid w:val="0070173C"/>
    <w:rsid w:val="007017B7"/>
    <w:rsid w:val="00701CF3"/>
    <w:rsid w:val="00702067"/>
    <w:rsid w:val="00702783"/>
    <w:rsid w:val="007029E6"/>
    <w:rsid w:val="00702E27"/>
    <w:rsid w:val="007032FF"/>
    <w:rsid w:val="007036B3"/>
    <w:rsid w:val="00703A85"/>
    <w:rsid w:val="0070472F"/>
    <w:rsid w:val="007048B4"/>
    <w:rsid w:val="00704979"/>
    <w:rsid w:val="00704BE0"/>
    <w:rsid w:val="00704FD8"/>
    <w:rsid w:val="00705A0C"/>
    <w:rsid w:val="007061EF"/>
    <w:rsid w:val="00706759"/>
    <w:rsid w:val="007068C7"/>
    <w:rsid w:val="00706FD8"/>
    <w:rsid w:val="007075BA"/>
    <w:rsid w:val="007079CD"/>
    <w:rsid w:val="00710A7D"/>
    <w:rsid w:val="0071150F"/>
    <w:rsid w:val="007115A9"/>
    <w:rsid w:val="007116A6"/>
    <w:rsid w:val="00711FB5"/>
    <w:rsid w:val="00712089"/>
    <w:rsid w:val="00712348"/>
    <w:rsid w:val="007124BC"/>
    <w:rsid w:val="00712649"/>
    <w:rsid w:val="007128E3"/>
    <w:rsid w:val="00712A63"/>
    <w:rsid w:val="00712C85"/>
    <w:rsid w:val="00712E8E"/>
    <w:rsid w:val="00712F21"/>
    <w:rsid w:val="007130BB"/>
    <w:rsid w:val="00713265"/>
    <w:rsid w:val="00713285"/>
    <w:rsid w:val="00713686"/>
    <w:rsid w:val="00713B72"/>
    <w:rsid w:val="00713BF9"/>
    <w:rsid w:val="00714417"/>
    <w:rsid w:val="007145F3"/>
    <w:rsid w:val="00714742"/>
    <w:rsid w:val="0071500C"/>
    <w:rsid w:val="00715ACC"/>
    <w:rsid w:val="00716073"/>
    <w:rsid w:val="00716BF3"/>
    <w:rsid w:val="00716D22"/>
    <w:rsid w:val="00717A36"/>
    <w:rsid w:val="007207F8"/>
    <w:rsid w:val="00720DFE"/>
    <w:rsid w:val="0072111E"/>
    <w:rsid w:val="0072122D"/>
    <w:rsid w:val="00721531"/>
    <w:rsid w:val="0072154D"/>
    <w:rsid w:val="007217C9"/>
    <w:rsid w:val="00721A6C"/>
    <w:rsid w:val="007220AA"/>
    <w:rsid w:val="0072228D"/>
    <w:rsid w:val="00722321"/>
    <w:rsid w:val="0072287B"/>
    <w:rsid w:val="00722FB3"/>
    <w:rsid w:val="00723421"/>
    <w:rsid w:val="00723553"/>
    <w:rsid w:val="007236CA"/>
    <w:rsid w:val="007236EA"/>
    <w:rsid w:val="00723916"/>
    <w:rsid w:val="00723CD7"/>
    <w:rsid w:val="00723CE2"/>
    <w:rsid w:val="00724290"/>
    <w:rsid w:val="0072463D"/>
    <w:rsid w:val="00724773"/>
    <w:rsid w:val="00724CC1"/>
    <w:rsid w:val="00724F6C"/>
    <w:rsid w:val="007250D6"/>
    <w:rsid w:val="007258A7"/>
    <w:rsid w:val="00725DB2"/>
    <w:rsid w:val="00726003"/>
    <w:rsid w:val="00726B65"/>
    <w:rsid w:val="00726BF1"/>
    <w:rsid w:val="00727465"/>
    <w:rsid w:val="00727A12"/>
    <w:rsid w:val="00727B3A"/>
    <w:rsid w:val="00727F08"/>
    <w:rsid w:val="00730701"/>
    <w:rsid w:val="00730F61"/>
    <w:rsid w:val="007314E2"/>
    <w:rsid w:val="00731907"/>
    <w:rsid w:val="00731B75"/>
    <w:rsid w:val="00731F07"/>
    <w:rsid w:val="00732F56"/>
    <w:rsid w:val="007337DB"/>
    <w:rsid w:val="00733A81"/>
    <w:rsid w:val="00733ED9"/>
    <w:rsid w:val="00734A9D"/>
    <w:rsid w:val="007352C8"/>
    <w:rsid w:val="00735940"/>
    <w:rsid w:val="007359E8"/>
    <w:rsid w:val="0073663A"/>
    <w:rsid w:val="007366DB"/>
    <w:rsid w:val="00737FCF"/>
    <w:rsid w:val="007401C5"/>
    <w:rsid w:val="00740A40"/>
    <w:rsid w:val="00740AF1"/>
    <w:rsid w:val="00740F23"/>
    <w:rsid w:val="007416DD"/>
    <w:rsid w:val="00741807"/>
    <w:rsid w:val="0074189D"/>
    <w:rsid w:val="00741AA5"/>
    <w:rsid w:val="00741E4B"/>
    <w:rsid w:val="00741EE8"/>
    <w:rsid w:val="0074232C"/>
    <w:rsid w:val="00742393"/>
    <w:rsid w:val="00743018"/>
    <w:rsid w:val="007438D6"/>
    <w:rsid w:val="00743D07"/>
    <w:rsid w:val="00743F7B"/>
    <w:rsid w:val="00744234"/>
    <w:rsid w:val="00744649"/>
    <w:rsid w:val="0074509F"/>
    <w:rsid w:val="00745967"/>
    <w:rsid w:val="007463FC"/>
    <w:rsid w:val="00747199"/>
    <w:rsid w:val="00747593"/>
    <w:rsid w:val="007500F8"/>
    <w:rsid w:val="00750571"/>
    <w:rsid w:val="00750E9B"/>
    <w:rsid w:val="007512DE"/>
    <w:rsid w:val="007513C9"/>
    <w:rsid w:val="007514B1"/>
    <w:rsid w:val="00751EED"/>
    <w:rsid w:val="0075259F"/>
    <w:rsid w:val="00752794"/>
    <w:rsid w:val="00753263"/>
    <w:rsid w:val="00753314"/>
    <w:rsid w:val="0075350D"/>
    <w:rsid w:val="00753AAE"/>
    <w:rsid w:val="00753B93"/>
    <w:rsid w:val="00753D2B"/>
    <w:rsid w:val="0075451E"/>
    <w:rsid w:val="00754C82"/>
    <w:rsid w:val="00754EF7"/>
    <w:rsid w:val="00754F76"/>
    <w:rsid w:val="0075529F"/>
    <w:rsid w:val="007552BB"/>
    <w:rsid w:val="00755AFA"/>
    <w:rsid w:val="00755E2E"/>
    <w:rsid w:val="007566A9"/>
    <w:rsid w:val="00756EE8"/>
    <w:rsid w:val="00756FA4"/>
    <w:rsid w:val="0075705B"/>
    <w:rsid w:val="00757219"/>
    <w:rsid w:val="00760671"/>
    <w:rsid w:val="00760702"/>
    <w:rsid w:val="00760B18"/>
    <w:rsid w:val="00760B86"/>
    <w:rsid w:val="007613DF"/>
    <w:rsid w:val="00762128"/>
    <w:rsid w:val="00762750"/>
    <w:rsid w:val="00762B80"/>
    <w:rsid w:val="00763014"/>
    <w:rsid w:val="00763052"/>
    <w:rsid w:val="00763115"/>
    <w:rsid w:val="007634CB"/>
    <w:rsid w:val="00763515"/>
    <w:rsid w:val="0076374E"/>
    <w:rsid w:val="00763805"/>
    <w:rsid w:val="007638F3"/>
    <w:rsid w:val="00763AA5"/>
    <w:rsid w:val="00764227"/>
    <w:rsid w:val="007644E1"/>
    <w:rsid w:val="0076458D"/>
    <w:rsid w:val="007646F1"/>
    <w:rsid w:val="00764941"/>
    <w:rsid w:val="00764EE0"/>
    <w:rsid w:val="0076509E"/>
    <w:rsid w:val="007653F9"/>
    <w:rsid w:val="0076547F"/>
    <w:rsid w:val="00765629"/>
    <w:rsid w:val="00765EA6"/>
    <w:rsid w:val="0076654E"/>
    <w:rsid w:val="007666FF"/>
    <w:rsid w:val="00766B77"/>
    <w:rsid w:val="00766C34"/>
    <w:rsid w:val="00766DC4"/>
    <w:rsid w:val="0076750A"/>
    <w:rsid w:val="007678FD"/>
    <w:rsid w:val="007704FF"/>
    <w:rsid w:val="00770501"/>
    <w:rsid w:val="00770548"/>
    <w:rsid w:val="0077080C"/>
    <w:rsid w:val="00770CCB"/>
    <w:rsid w:val="00770E9F"/>
    <w:rsid w:val="007714D4"/>
    <w:rsid w:val="00771A05"/>
    <w:rsid w:val="00771A8E"/>
    <w:rsid w:val="00771E91"/>
    <w:rsid w:val="00771FC7"/>
    <w:rsid w:val="007733C4"/>
    <w:rsid w:val="00773F70"/>
    <w:rsid w:val="0077458F"/>
    <w:rsid w:val="007747E0"/>
    <w:rsid w:val="0077487F"/>
    <w:rsid w:val="007751E9"/>
    <w:rsid w:val="00775681"/>
    <w:rsid w:val="00775AEB"/>
    <w:rsid w:val="00775B8F"/>
    <w:rsid w:val="007765C2"/>
    <w:rsid w:val="00776EE1"/>
    <w:rsid w:val="0077751F"/>
    <w:rsid w:val="007779A6"/>
    <w:rsid w:val="00777AD2"/>
    <w:rsid w:val="00777DFD"/>
    <w:rsid w:val="00780666"/>
    <w:rsid w:val="007806F8"/>
    <w:rsid w:val="0078070A"/>
    <w:rsid w:val="00780A6A"/>
    <w:rsid w:val="007810FA"/>
    <w:rsid w:val="0078188D"/>
    <w:rsid w:val="00781AA4"/>
    <w:rsid w:val="00781BBC"/>
    <w:rsid w:val="00782156"/>
    <w:rsid w:val="007826EE"/>
    <w:rsid w:val="00782DF0"/>
    <w:rsid w:val="0078400A"/>
    <w:rsid w:val="00784284"/>
    <w:rsid w:val="007845D8"/>
    <w:rsid w:val="007852BD"/>
    <w:rsid w:val="00785318"/>
    <w:rsid w:val="007858FD"/>
    <w:rsid w:val="00785BB8"/>
    <w:rsid w:val="00785D23"/>
    <w:rsid w:val="00786CA8"/>
    <w:rsid w:val="0078707E"/>
    <w:rsid w:val="00787269"/>
    <w:rsid w:val="00787ACA"/>
    <w:rsid w:val="007900BF"/>
    <w:rsid w:val="00790334"/>
    <w:rsid w:val="007904F5"/>
    <w:rsid w:val="007905EB"/>
    <w:rsid w:val="00790D02"/>
    <w:rsid w:val="00790DF6"/>
    <w:rsid w:val="007917A6"/>
    <w:rsid w:val="007918D8"/>
    <w:rsid w:val="00791BC3"/>
    <w:rsid w:val="00791D55"/>
    <w:rsid w:val="007920E5"/>
    <w:rsid w:val="00792510"/>
    <w:rsid w:val="00792FBD"/>
    <w:rsid w:val="007933F8"/>
    <w:rsid w:val="00793FEA"/>
    <w:rsid w:val="007946D0"/>
    <w:rsid w:val="0079492C"/>
    <w:rsid w:val="00794FC2"/>
    <w:rsid w:val="007956DC"/>
    <w:rsid w:val="00796253"/>
    <w:rsid w:val="007964FB"/>
    <w:rsid w:val="00796889"/>
    <w:rsid w:val="00796985"/>
    <w:rsid w:val="007A059F"/>
    <w:rsid w:val="007A0880"/>
    <w:rsid w:val="007A0D0C"/>
    <w:rsid w:val="007A127A"/>
    <w:rsid w:val="007A128B"/>
    <w:rsid w:val="007A144D"/>
    <w:rsid w:val="007A1BA2"/>
    <w:rsid w:val="007A1D50"/>
    <w:rsid w:val="007A1E4A"/>
    <w:rsid w:val="007A1F06"/>
    <w:rsid w:val="007A20E5"/>
    <w:rsid w:val="007A2545"/>
    <w:rsid w:val="007A3AFC"/>
    <w:rsid w:val="007A4CB5"/>
    <w:rsid w:val="007A54E5"/>
    <w:rsid w:val="007A5881"/>
    <w:rsid w:val="007A597D"/>
    <w:rsid w:val="007A5C97"/>
    <w:rsid w:val="007A610E"/>
    <w:rsid w:val="007A62FA"/>
    <w:rsid w:val="007A62FB"/>
    <w:rsid w:val="007A654C"/>
    <w:rsid w:val="007A69DE"/>
    <w:rsid w:val="007A7095"/>
    <w:rsid w:val="007A71DD"/>
    <w:rsid w:val="007A765D"/>
    <w:rsid w:val="007A7A16"/>
    <w:rsid w:val="007A7DB5"/>
    <w:rsid w:val="007A7ECC"/>
    <w:rsid w:val="007B01A9"/>
    <w:rsid w:val="007B026F"/>
    <w:rsid w:val="007B0399"/>
    <w:rsid w:val="007B0610"/>
    <w:rsid w:val="007B06BE"/>
    <w:rsid w:val="007B0B87"/>
    <w:rsid w:val="007B0B9E"/>
    <w:rsid w:val="007B0C91"/>
    <w:rsid w:val="007B0CAD"/>
    <w:rsid w:val="007B1B36"/>
    <w:rsid w:val="007B1B9A"/>
    <w:rsid w:val="007B20EA"/>
    <w:rsid w:val="007B2347"/>
    <w:rsid w:val="007B29B1"/>
    <w:rsid w:val="007B3044"/>
    <w:rsid w:val="007B323B"/>
    <w:rsid w:val="007B37EE"/>
    <w:rsid w:val="007B43EA"/>
    <w:rsid w:val="007B4A37"/>
    <w:rsid w:val="007B528F"/>
    <w:rsid w:val="007B53AF"/>
    <w:rsid w:val="007B59C3"/>
    <w:rsid w:val="007B6A07"/>
    <w:rsid w:val="007B6EED"/>
    <w:rsid w:val="007B710D"/>
    <w:rsid w:val="007B7C14"/>
    <w:rsid w:val="007C0512"/>
    <w:rsid w:val="007C06CC"/>
    <w:rsid w:val="007C0DB1"/>
    <w:rsid w:val="007C152B"/>
    <w:rsid w:val="007C155E"/>
    <w:rsid w:val="007C1AF8"/>
    <w:rsid w:val="007C1FF7"/>
    <w:rsid w:val="007C2226"/>
    <w:rsid w:val="007C28A2"/>
    <w:rsid w:val="007C2998"/>
    <w:rsid w:val="007C2BA1"/>
    <w:rsid w:val="007C2EB9"/>
    <w:rsid w:val="007C36DB"/>
    <w:rsid w:val="007C408E"/>
    <w:rsid w:val="007C4265"/>
    <w:rsid w:val="007C48FA"/>
    <w:rsid w:val="007C5012"/>
    <w:rsid w:val="007C5080"/>
    <w:rsid w:val="007C57D4"/>
    <w:rsid w:val="007C5B27"/>
    <w:rsid w:val="007C5CE7"/>
    <w:rsid w:val="007C5DEC"/>
    <w:rsid w:val="007C602A"/>
    <w:rsid w:val="007C6067"/>
    <w:rsid w:val="007C67EC"/>
    <w:rsid w:val="007C6A66"/>
    <w:rsid w:val="007C6B72"/>
    <w:rsid w:val="007C6F27"/>
    <w:rsid w:val="007C7269"/>
    <w:rsid w:val="007C766F"/>
    <w:rsid w:val="007C796C"/>
    <w:rsid w:val="007C7DC8"/>
    <w:rsid w:val="007C7EAC"/>
    <w:rsid w:val="007D05CB"/>
    <w:rsid w:val="007D151B"/>
    <w:rsid w:val="007D1F85"/>
    <w:rsid w:val="007D28DD"/>
    <w:rsid w:val="007D2979"/>
    <w:rsid w:val="007D2CDA"/>
    <w:rsid w:val="007D33DC"/>
    <w:rsid w:val="007D3F8D"/>
    <w:rsid w:val="007D421A"/>
    <w:rsid w:val="007D4BBD"/>
    <w:rsid w:val="007D4CAE"/>
    <w:rsid w:val="007D502A"/>
    <w:rsid w:val="007D5105"/>
    <w:rsid w:val="007D52D1"/>
    <w:rsid w:val="007D56AD"/>
    <w:rsid w:val="007D581B"/>
    <w:rsid w:val="007D620B"/>
    <w:rsid w:val="007D71CB"/>
    <w:rsid w:val="007D77A0"/>
    <w:rsid w:val="007D7978"/>
    <w:rsid w:val="007D7D3E"/>
    <w:rsid w:val="007E0B83"/>
    <w:rsid w:val="007E0B95"/>
    <w:rsid w:val="007E11C6"/>
    <w:rsid w:val="007E16EB"/>
    <w:rsid w:val="007E1C68"/>
    <w:rsid w:val="007E1F57"/>
    <w:rsid w:val="007E20AB"/>
    <w:rsid w:val="007E2B1E"/>
    <w:rsid w:val="007E30A1"/>
    <w:rsid w:val="007E39B4"/>
    <w:rsid w:val="007E3C3B"/>
    <w:rsid w:val="007E44AA"/>
    <w:rsid w:val="007E4637"/>
    <w:rsid w:val="007E4E00"/>
    <w:rsid w:val="007E51E7"/>
    <w:rsid w:val="007E56D4"/>
    <w:rsid w:val="007E5B9D"/>
    <w:rsid w:val="007E5E37"/>
    <w:rsid w:val="007E60F8"/>
    <w:rsid w:val="007E62FD"/>
    <w:rsid w:val="007E690B"/>
    <w:rsid w:val="007E741A"/>
    <w:rsid w:val="007E748F"/>
    <w:rsid w:val="007E7A60"/>
    <w:rsid w:val="007E7A88"/>
    <w:rsid w:val="007E7ECF"/>
    <w:rsid w:val="007F0052"/>
    <w:rsid w:val="007F07E0"/>
    <w:rsid w:val="007F0811"/>
    <w:rsid w:val="007F144A"/>
    <w:rsid w:val="007F1812"/>
    <w:rsid w:val="007F1A8D"/>
    <w:rsid w:val="007F268F"/>
    <w:rsid w:val="007F30AF"/>
    <w:rsid w:val="007F3C5B"/>
    <w:rsid w:val="007F3E1B"/>
    <w:rsid w:val="007F4231"/>
    <w:rsid w:val="007F48C3"/>
    <w:rsid w:val="007F4DC6"/>
    <w:rsid w:val="007F4FD2"/>
    <w:rsid w:val="007F554F"/>
    <w:rsid w:val="007F596E"/>
    <w:rsid w:val="007F5D72"/>
    <w:rsid w:val="007F69E5"/>
    <w:rsid w:val="007F6E99"/>
    <w:rsid w:val="007F6F0F"/>
    <w:rsid w:val="007F7194"/>
    <w:rsid w:val="007F7D2D"/>
    <w:rsid w:val="007F7DF6"/>
    <w:rsid w:val="00800DD2"/>
    <w:rsid w:val="00800FD3"/>
    <w:rsid w:val="0080134D"/>
    <w:rsid w:val="00801848"/>
    <w:rsid w:val="00801FC4"/>
    <w:rsid w:val="008029B6"/>
    <w:rsid w:val="008029F8"/>
    <w:rsid w:val="00802FB4"/>
    <w:rsid w:val="00803060"/>
    <w:rsid w:val="00803F18"/>
    <w:rsid w:val="008043DB"/>
    <w:rsid w:val="00804411"/>
    <w:rsid w:val="00804DEE"/>
    <w:rsid w:val="00804EEE"/>
    <w:rsid w:val="00805224"/>
    <w:rsid w:val="00806565"/>
    <w:rsid w:val="0080694A"/>
    <w:rsid w:val="00806CF4"/>
    <w:rsid w:val="00807141"/>
    <w:rsid w:val="0080718C"/>
    <w:rsid w:val="00807279"/>
    <w:rsid w:val="0080737F"/>
    <w:rsid w:val="00807440"/>
    <w:rsid w:val="0080796D"/>
    <w:rsid w:val="008101AC"/>
    <w:rsid w:val="008102D8"/>
    <w:rsid w:val="008111B0"/>
    <w:rsid w:val="0081186B"/>
    <w:rsid w:val="00811A54"/>
    <w:rsid w:val="00811B17"/>
    <w:rsid w:val="008121A8"/>
    <w:rsid w:val="00812DA8"/>
    <w:rsid w:val="0081438F"/>
    <w:rsid w:val="0081464B"/>
    <w:rsid w:val="0081485C"/>
    <w:rsid w:val="00814C77"/>
    <w:rsid w:val="00814C93"/>
    <w:rsid w:val="0081530C"/>
    <w:rsid w:val="00815690"/>
    <w:rsid w:val="008159E4"/>
    <w:rsid w:val="00816704"/>
    <w:rsid w:val="008169FC"/>
    <w:rsid w:val="00817040"/>
    <w:rsid w:val="0081791B"/>
    <w:rsid w:val="00817B49"/>
    <w:rsid w:val="008202BB"/>
    <w:rsid w:val="00820B7C"/>
    <w:rsid w:val="00821B2F"/>
    <w:rsid w:val="00821FD8"/>
    <w:rsid w:val="008224FB"/>
    <w:rsid w:val="00822706"/>
    <w:rsid w:val="00822B69"/>
    <w:rsid w:val="00822CD2"/>
    <w:rsid w:val="00822EA0"/>
    <w:rsid w:val="00822F78"/>
    <w:rsid w:val="00823398"/>
    <w:rsid w:val="00823AA4"/>
    <w:rsid w:val="00824421"/>
    <w:rsid w:val="008248EC"/>
    <w:rsid w:val="00824FA9"/>
    <w:rsid w:val="00825DC7"/>
    <w:rsid w:val="00825FDD"/>
    <w:rsid w:val="008263A4"/>
    <w:rsid w:val="00826E75"/>
    <w:rsid w:val="00826E79"/>
    <w:rsid w:val="00826EA8"/>
    <w:rsid w:val="008272A6"/>
    <w:rsid w:val="00827399"/>
    <w:rsid w:val="00827E5F"/>
    <w:rsid w:val="0083077A"/>
    <w:rsid w:val="008318DE"/>
    <w:rsid w:val="008319C9"/>
    <w:rsid w:val="0083221E"/>
    <w:rsid w:val="00832512"/>
    <w:rsid w:val="008327CD"/>
    <w:rsid w:val="00832A30"/>
    <w:rsid w:val="00832F81"/>
    <w:rsid w:val="00833145"/>
    <w:rsid w:val="008331BC"/>
    <w:rsid w:val="00833341"/>
    <w:rsid w:val="00833571"/>
    <w:rsid w:val="00833583"/>
    <w:rsid w:val="0083359B"/>
    <w:rsid w:val="00833C1A"/>
    <w:rsid w:val="00833C40"/>
    <w:rsid w:val="008347B3"/>
    <w:rsid w:val="00834E57"/>
    <w:rsid w:val="00835D10"/>
    <w:rsid w:val="008364E7"/>
    <w:rsid w:val="008365CB"/>
    <w:rsid w:val="00836CEA"/>
    <w:rsid w:val="00836E85"/>
    <w:rsid w:val="008378FA"/>
    <w:rsid w:val="00840BD0"/>
    <w:rsid w:val="00841309"/>
    <w:rsid w:val="008424CB"/>
    <w:rsid w:val="008428F4"/>
    <w:rsid w:val="00842D1A"/>
    <w:rsid w:val="00842F7F"/>
    <w:rsid w:val="008432B2"/>
    <w:rsid w:val="008444F2"/>
    <w:rsid w:val="0084474E"/>
    <w:rsid w:val="0084477A"/>
    <w:rsid w:val="0084481F"/>
    <w:rsid w:val="008453A4"/>
    <w:rsid w:val="00845504"/>
    <w:rsid w:val="0084673D"/>
    <w:rsid w:val="008472D2"/>
    <w:rsid w:val="0084750A"/>
    <w:rsid w:val="00847630"/>
    <w:rsid w:val="00847671"/>
    <w:rsid w:val="00847694"/>
    <w:rsid w:val="008479A8"/>
    <w:rsid w:val="00847B08"/>
    <w:rsid w:val="00847D44"/>
    <w:rsid w:val="00847F59"/>
    <w:rsid w:val="00851145"/>
    <w:rsid w:val="008512A8"/>
    <w:rsid w:val="00851522"/>
    <w:rsid w:val="0085168D"/>
    <w:rsid w:val="00851C01"/>
    <w:rsid w:val="00852118"/>
    <w:rsid w:val="00852149"/>
    <w:rsid w:val="0085215A"/>
    <w:rsid w:val="008525B9"/>
    <w:rsid w:val="00852D14"/>
    <w:rsid w:val="00852D5F"/>
    <w:rsid w:val="00852DA2"/>
    <w:rsid w:val="008531B7"/>
    <w:rsid w:val="008535C4"/>
    <w:rsid w:val="00853837"/>
    <w:rsid w:val="0085394C"/>
    <w:rsid w:val="00853B12"/>
    <w:rsid w:val="00853D84"/>
    <w:rsid w:val="008547ED"/>
    <w:rsid w:val="00854CF6"/>
    <w:rsid w:val="00855220"/>
    <w:rsid w:val="0085542C"/>
    <w:rsid w:val="008555E6"/>
    <w:rsid w:val="0085574E"/>
    <w:rsid w:val="0085592C"/>
    <w:rsid w:val="00855A2B"/>
    <w:rsid w:val="00855C81"/>
    <w:rsid w:val="00855DC4"/>
    <w:rsid w:val="008568DB"/>
    <w:rsid w:val="008576D0"/>
    <w:rsid w:val="00857B59"/>
    <w:rsid w:val="008602AD"/>
    <w:rsid w:val="0086030A"/>
    <w:rsid w:val="008604AD"/>
    <w:rsid w:val="00860813"/>
    <w:rsid w:val="00860AF6"/>
    <w:rsid w:val="00860B9C"/>
    <w:rsid w:val="008618A2"/>
    <w:rsid w:val="00862149"/>
    <w:rsid w:val="00862964"/>
    <w:rsid w:val="0086324F"/>
    <w:rsid w:val="00863696"/>
    <w:rsid w:val="00863900"/>
    <w:rsid w:val="00863B7A"/>
    <w:rsid w:val="00864204"/>
    <w:rsid w:val="00864517"/>
    <w:rsid w:val="0086467A"/>
    <w:rsid w:val="00864A94"/>
    <w:rsid w:val="008652B5"/>
    <w:rsid w:val="00865B12"/>
    <w:rsid w:val="00865EB2"/>
    <w:rsid w:val="00865FDA"/>
    <w:rsid w:val="008663A2"/>
    <w:rsid w:val="00867383"/>
    <w:rsid w:val="008673CB"/>
    <w:rsid w:val="00867549"/>
    <w:rsid w:val="008677F9"/>
    <w:rsid w:val="008679CE"/>
    <w:rsid w:val="00867E2D"/>
    <w:rsid w:val="008702F7"/>
    <w:rsid w:val="008704BA"/>
    <w:rsid w:val="00870648"/>
    <w:rsid w:val="008707D7"/>
    <w:rsid w:val="008707E1"/>
    <w:rsid w:val="008709F0"/>
    <w:rsid w:val="00870C78"/>
    <w:rsid w:val="00870DFA"/>
    <w:rsid w:val="00870E16"/>
    <w:rsid w:val="00871570"/>
    <w:rsid w:val="008719AD"/>
    <w:rsid w:val="00871A19"/>
    <w:rsid w:val="0087283C"/>
    <w:rsid w:val="00872DD0"/>
    <w:rsid w:val="00872EC9"/>
    <w:rsid w:val="00872FB6"/>
    <w:rsid w:val="00873670"/>
    <w:rsid w:val="00873AE9"/>
    <w:rsid w:val="00873C2F"/>
    <w:rsid w:val="00874483"/>
    <w:rsid w:val="00874B2C"/>
    <w:rsid w:val="00874B75"/>
    <w:rsid w:val="00875C5A"/>
    <w:rsid w:val="00875EF3"/>
    <w:rsid w:val="0087636A"/>
    <w:rsid w:val="00876505"/>
    <w:rsid w:val="00876E33"/>
    <w:rsid w:val="00876EF7"/>
    <w:rsid w:val="0087769F"/>
    <w:rsid w:val="008800BE"/>
    <w:rsid w:val="00880964"/>
    <w:rsid w:val="008810E0"/>
    <w:rsid w:val="0088139B"/>
    <w:rsid w:val="0088154F"/>
    <w:rsid w:val="00881FEF"/>
    <w:rsid w:val="008820B3"/>
    <w:rsid w:val="00882920"/>
    <w:rsid w:val="00883106"/>
    <w:rsid w:val="0088326C"/>
    <w:rsid w:val="008839C7"/>
    <w:rsid w:val="00883CD7"/>
    <w:rsid w:val="00883EF6"/>
    <w:rsid w:val="008843C9"/>
    <w:rsid w:val="008845F9"/>
    <w:rsid w:val="0088463C"/>
    <w:rsid w:val="00884CBE"/>
    <w:rsid w:val="00884F5D"/>
    <w:rsid w:val="00885249"/>
    <w:rsid w:val="008858B9"/>
    <w:rsid w:val="00885C3D"/>
    <w:rsid w:val="00886C48"/>
    <w:rsid w:val="008870DF"/>
    <w:rsid w:val="00887278"/>
    <w:rsid w:val="008875A1"/>
    <w:rsid w:val="00887BF8"/>
    <w:rsid w:val="00887D06"/>
    <w:rsid w:val="00887EDC"/>
    <w:rsid w:val="00887EF9"/>
    <w:rsid w:val="0089032B"/>
    <w:rsid w:val="008903D5"/>
    <w:rsid w:val="0089047B"/>
    <w:rsid w:val="00890541"/>
    <w:rsid w:val="00890DB4"/>
    <w:rsid w:val="00891D6A"/>
    <w:rsid w:val="00891F1C"/>
    <w:rsid w:val="0089284E"/>
    <w:rsid w:val="008928D0"/>
    <w:rsid w:val="00892B7F"/>
    <w:rsid w:val="00893AE8"/>
    <w:rsid w:val="00893BB1"/>
    <w:rsid w:val="00893CF1"/>
    <w:rsid w:val="008946E0"/>
    <w:rsid w:val="008949B9"/>
    <w:rsid w:val="008955FD"/>
    <w:rsid w:val="00895929"/>
    <w:rsid w:val="008959CA"/>
    <w:rsid w:val="00896304"/>
    <w:rsid w:val="0089660A"/>
    <w:rsid w:val="008967AA"/>
    <w:rsid w:val="0089728A"/>
    <w:rsid w:val="00897F1B"/>
    <w:rsid w:val="008A05F1"/>
    <w:rsid w:val="008A0C1A"/>
    <w:rsid w:val="008A0D9F"/>
    <w:rsid w:val="008A124B"/>
    <w:rsid w:val="008A128C"/>
    <w:rsid w:val="008A15B6"/>
    <w:rsid w:val="008A17C2"/>
    <w:rsid w:val="008A1C56"/>
    <w:rsid w:val="008A1C9E"/>
    <w:rsid w:val="008A1F10"/>
    <w:rsid w:val="008A2550"/>
    <w:rsid w:val="008A33F0"/>
    <w:rsid w:val="008A3520"/>
    <w:rsid w:val="008A4368"/>
    <w:rsid w:val="008A4895"/>
    <w:rsid w:val="008A4998"/>
    <w:rsid w:val="008A4D21"/>
    <w:rsid w:val="008A5189"/>
    <w:rsid w:val="008A53C7"/>
    <w:rsid w:val="008A6215"/>
    <w:rsid w:val="008A68B4"/>
    <w:rsid w:val="008B0646"/>
    <w:rsid w:val="008B0ED6"/>
    <w:rsid w:val="008B132C"/>
    <w:rsid w:val="008B183F"/>
    <w:rsid w:val="008B199E"/>
    <w:rsid w:val="008B1E8E"/>
    <w:rsid w:val="008B1FD3"/>
    <w:rsid w:val="008B223F"/>
    <w:rsid w:val="008B24EC"/>
    <w:rsid w:val="008B2A6B"/>
    <w:rsid w:val="008B2A89"/>
    <w:rsid w:val="008B313A"/>
    <w:rsid w:val="008B3380"/>
    <w:rsid w:val="008B35E5"/>
    <w:rsid w:val="008B3844"/>
    <w:rsid w:val="008B3A41"/>
    <w:rsid w:val="008B3D66"/>
    <w:rsid w:val="008B3E34"/>
    <w:rsid w:val="008B3E3D"/>
    <w:rsid w:val="008B4126"/>
    <w:rsid w:val="008B4188"/>
    <w:rsid w:val="008B449E"/>
    <w:rsid w:val="008B46A3"/>
    <w:rsid w:val="008B4FF9"/>
    <w:rsid w:val="008B5CB4"/>
    <w:rsid w:val="008B7556"/>
    <w:rsid w:val="008B7D5F"/>
    <w:rsid w:val="008B7EB4"/>
    <w:rsid w:val="008C02A0"/>
    <w:rsid w:val="008C043F"/>
    <w:rsid w:val="008C06CC"/>
    <w:rsid w:val="008C0859"/>
    <w:rsid w:val="008C0AD7"/>
    <w:rsid w:val="008C1183"/>
    <w:rsid w:val="008C17A4"/>
    <w:rsid w:val="008C257C"/>
    <w:rsid w:val="008C297B"/>
    <w:rsid w:val="008C2C5C"/>
    <w:rsid w:val="008C2E05"/>
    <w:rsid w:val="008C34EB"/>
    <w:rsid w:val="008C364B"/>
    <w:rsid w:val="008C3BA4"/>
    <w:rsid w:val="008C3D07"/>
    <w:rsid w:val="008C3F07"/>
    <w:rsid w:val="008C4343"/>
    <w:rsid w:val="008C5CD9"/>
    <w:rsid w:val="008C6280"/>
    <w:rsid w:val="008C648F"/>
    <w:rsid w:val="008C6573"/>
    <w:rsid w:val="008C6CCA"/>
    <w:rsid w:val="008C723E"/>
    <w:rsid w:val="008C7D57"/>
    <w:rsid w:val="008C7F8D"/>
    <w:rsid w:val="008D0509"/>
    <w:rsid w:val="008D0CD5"/>
    <w:rsid w:val="008D163E"/>
    <w:rsid w:val="008D1B08"/>
    <w:rsid w:val="008D1E49"/>
    <w:rsid w:val="008D2943"/>
    <w:rsid w:val="008D2AEF"/>
    <w:rsid w:val="008D2E16"/>
    <w:rsid w:val="008D3446"/>
    <w:rsid w:val="008D34D7"/>
    <w:rsid w:val="008D3750"/>
    <w:rsid w:val="008D3B59"/>
    <w:rsid w:val="008D4017"/>
    <w:rsid w:val="008D4205"/>
    <w:rsid w:val="008D48F8"/>
    <w:rsid w:val="008D4C75"/>
    <w:rsid w:val="008D55B6"/>
    <w:rsid w:val="008D5B6F"/>
    <w:rsid w:val="008D65E4"/>
    <w:rsid w:val="008D673F"/>
    <w:rsid w:val="008D68FC"/>
    <w:rsid w:val="008D6A7C"/>
    <w:rsid w:val="008E014B"/>
    <w:rsid w:val="008E0B69"/>
    <w:rsid w:val="008E0FB9"/>
    <w:rsid w:val="008E135E"/>
    <w:rsid w:val="008E16CE"/>
    <w:rsid w:val="008E1731"/>
    <w:rsid w:val="008E17D2"/>
    <w:rsid w:val="008E1C9F"/>
    <w:rsid w:val="008E20E7"/>
    <w:rsid w:val="008E21E6"/>
    <w:rsid w:val="008E2794"/>
    <w:rsid w:val="008E2AF6"/>
    <w:rsid w:val="008E32A7"/>
    <w:rsid w:val="008E38AD"/>
    <w:rsid w:val="008E3ACF"/>
    <w:rsid w:val="008E3B85"/>
    <w:rsid w:val="008E3C11"/>
    <w:rsid w:val="008E42A5"/>
    <w:rsid w:val="008E486A"/>
    <w:rsid w:val="008E5094"/>
    <w:rsid w:val="008E534D"/>
    <w:rsid w:val="008E5B2A"/>
    <w:rsid w:val="008E5F1F"/>
    <w:rsid w:val="008E6768"/>
    <w:rsid w:val="008E693B"/>
    <w:rsid w:val="008E6EC1"/>
    <w:rsid w:val="008E6F62"/>
    <w:rsid w:val="008E77F7"/>
    <w:rsid w:val="008E79A2"/>
    <w:rsid w:val="008E7FA9"/>
    <w:rsid w:val="008E7FB2"/>
    <w:rsid w:val="008F007D"/>
    <w:rsid w:val="008F0711"/>
    <w:rsid w:val="008F091B"/>
    <w:rsid w:val="008F1567"/>
    <w:rsid w:val="008F162E"/>
    <w:rsid w:val="008F1D61"/>
    <w:rsid w:val="008F2A0A"/>
    <w:rsid w:val="008F2BFF"/>
    <w:rsid w:val="008F3225"/>
    <w:rsid w:val="008F35EE"/>
    <w:rsid w:val="008F3699"/>
    <w:rsid w:val="008F3A60"/>
    <w:rsid w:val="008F3EF7"/>
    <w:rsid w:val="008F3F82"/>
    <w:rsid w:val="008F41F5"/>
    <w:rsid w:val="008F478E"/>
    <w:rsid w:val="008F5B56"/>
    <w:rsid w:val="008F5F69"/>
    <w:rsid w:val="008F65EB"/>
    <w:rsid w:val="008F680E"/>
    <w:rsid w:val="008F6C12"/>
    <w:rsid w:val="008F6DEA"/>
    <w:rsid w:val="008F736D"/>
    <w:rsid w:val="008F73EC"/>
    <w:rsid w:val="008F7FC3"/>
    <w:rsid w:val="00900118"/>
    <w:rsid w:val="00900125"/>
    <w:rsid w:val="009007B8"/>
    <w:rsid w:val="009014B7"/>
    <w:rsid w:val="00901967"/>
    <w:rsid w:val="00901CAF"/>
    <w:rsid w:val="00901EAC"/>
    <w:rsid w:val="00901FDA"/>
    <w:rsid w:val="00902386"/>
    <w:rsid w:val="0090248B"/>
    <w:rsid w:val="00902825"/>
    <w:rsid w:val="0090292B"/>
    <w:rsid w:val="00902CFA"/>
    <w:rsid w:val="00902FB2"/>
    <w:rsid w:val="0090319E"/>
    <w:rsid w:val="00903547"/>
    <w:rsid w:val="00903775"/>
    <w:rsid w:val="00903B09"/>
    <w:rsid w:val="00903B9B"/>
    <w:rsid w:val="00903D60"/>
    <w:rsid w:val="00903DA3"/>
    <w:rsid w:val="00903F4D"/>
    <w:rsid w:val="009046AA"/>
    <w:rsid w:val="00904C84"/>
    <w:rsid w:val="00904E43"/>
    <w:rsid w:val="00904EC0"/>
    <w:rsid w:val="00905C2C"/>
    <w:rsid w:val="00905CED"/>
    <w:rsid w:val="0090667C"/>
    <w:rsid w:val="009066EF"/>
    <w:rsid w:val="009067B1"/>
    <w:rsid w:val="009072DC"/>
    <w:rsid w:val="0090738F"/>
    <w:rsid w:val="009073FD"/>
    <w:rsid w:val="009076DB"/>
    <w:rsid w:val="00907CCB"/>
    <w:rsid w:val="00907DD7"/>
    <w:rsid w:val="00907E1C"/>
    <w:rsid w:val="00907F92"/>
    <w:rsid w:val="0091046B"/>
    <w:rsid w:val="00910984"/>
    <w:rsid w:val="00910D94"/>
    <w:rsid w:val="009115D5"/>
    <w:rsid w:val="00911D1F"/>
    <w:rsid w:val="00911D68"/>
    <w:rsid w:val="00912092"/>
    <w:rsid w:val="009125E0"/>
    <w:rsid w:val="00912B4D"/>
    <w:rsid w:val="00912C6B"/>
    <w:rsid w:val="00912CF4"/>
    <w:rsid w:val="00912FCA"/>
    <w:rsid w:val="00913526"/>
    <w:rsid w:val="00913F14"/>
    <w:rsid w:val="00914278"/>
    <w:rsid w:val="00914423"/>
    <w:rsid w:val="00914A16"/>
    <w:rsid w:val="00915691"/>
    <w:rsid w:val="0091570C"/>
    <w:rsid w:val="00915C71"/>
    <w:rsid w:val="00915D7B"/>
    <w:rsid w:val="00915F6C"/>
    <w:rsid w:val="00916372"/>
    <w:rsid w:val="009163C5"/>
    <w:rsid w:val="00916425"/>
    <w:rsid w:val="00916552"/>
    <w:rsid w:val="0091687C"/>
    <w:rsid w:val="00916F41"/>
    <w:rsid w:val="00917C91"/>
    <w:rsid w:val="00920237"/>
    <w:rsid w:val="00920520"/>
    <w:rsid w:val="00920B73"/>
    <w:rsid w:val="0092142F"/>
    <w:rsid w:val="00921682"/>
    <w:rsid w:val="009216C6"/>
    <w:rsid w:val="00921C60"/>
    <w:rsid w:val="009225E9"/>
    <w:rsid w:val="00922963"/>
    <w:rsid w:val="00922996"/>
    <w:rsid w:val="00922A55"/>
    <w:rsid w:val="0092383B"/>
    <w:rsid w:val="00923D4D"/>
    <w:rsid w:val="00924108"/>
    <w:rsid w:val="00924ECD"/>
    <w:rsid w:val="00924EF6"/>
    <w:rsid w:val="009254CC"/>
    <w:rsid w:val="009254FB"/>
    <w:rsid w:val="00925AB8"/>
    <w:rsid w:val="009266CB"/>
    <w:rsid w:val="00926CBD"/>
    <w:rsid w:val="009270DF"/>
    <w:rsid w:val="00927944"/>
    <w:rsid w:val="00930416"/>
    <w:rsid w:val="009308CA"/>
    <w:rsid w:val="00930EAB"/>
    <w:rsid w:val="009313CA"/>
    <w:rsid w:val="00931C23"/>
    <w:rsid w:val="00932509"/>
    <w:rsid w:val="00932DA1"/>
    <w:rsid w:val="0093345D"/>
    <w:rsid w:val="009337B1"/>
    <w:rsid w:val="00933ADE"/>
    <w:rsid w:val="00933B4F"/>
    <w:rsid w:val="00934A4C"/>
    <w:rsid w:val="00934D0F"/>
    <w:rsid w:val="009353DA"/>
    <w:rsid w:val="00936201"/>
    <w:rsid w:val="00937349"/>
    <w:rsid w:val="009373FF"/>
    <w:rsid w:val="009374C8"/>
    <w:rsid w:val="0093792E"/>
    <w:rsid w:val="00937B56"/>
    <w:rsid w:val="00937D95"/>
    <w:rsid w:val="00940BAD"/>
    <w:rsid w:val="00940BC4"/>
    <w:rsid w:val="00940E59"/>
    <w:rsid w:val="00940E64"/>
    <w:rsid w:val="00941185"/>
    <w:rsid w:val="00941E02"/>
    <w:rsid w:val="0094227C"/>
    <w:rsid w:val="0094239C"/>
    <w:rsid w:val="00943121"/>
    <w:rsid w:val="0094316C"/>
    <w:rsid w:val="00943415"/>
    <w:rsid w:val="009436BB"/>
    <w:rsid w:val="00944413"/>
    <w:rsid w:val="00944640"/>
    <w:rsid w:val="00944C1E"/>
    <w:rsid w:val="009452B8"/>
    <w:rsid w:val="0094589A"/>
    <w:rsid w:val="009458FF"/>
    <w:rsid w:val="00946120"/>
    <w:rsid w:val="009461EB"/>
    <w:rsid w:val="00946512"/>
    <w:rsid w:val="009469D4"/>
    <w:rsid w:val="00946C0C"/>
    <w:rsid w:val="0094794D"/>
    <w:rsid w:val="00947AF5"/>
    <w:rsid w:val="00947B8E"/>
    <w:rsid w:val="0095061A"/>
    <w:rsid w:val="009509FB"/>
    <w:rsid w:val="00950A5E"/>
    <w:rsid w:val="0095135B"/>
    <w:rsid w:val="00952C6C"/>
    <w:rsid w:val="00952CBF"/>
    <w:rsid w:val="009531C7"/>
    <w:rsid w:val="00953467"/>
    <w:rsid w:val="0095362A"/>
    <w:rsid w:val="0095436B"/>
    <w:rsid w:val="0095449D"/>
    <w:rsid w:val="009555CA"/>
    <w:rsid w:val="0095563F"/>
    <w:rsid w:val="00955DC9"/>
    <w:rsid w:val="00956D72"/>
    <w:rsid w:val="00957512"/>
    <w:rsid w:val="00957842"/>
    <w:rsid w:val="00957D1A"/>
    <w:rsid w:val="0096012C"/>
    <w:rsid w:val="00960143"/>
    <w:rsid w:val="009609D4"/>
    <w:rsid w:val="00961991"/>
    <w:rsid w:val="00961E94"/>
    <w:rsid w:val="009628E6"/>
    <w:rsid w:val="00962BAC"/>
    <w:rsid w:val="00962FA3"/>
    <w:rsid w:val="00963003"/>
    <w:rsid w:val="009638E6"/>
    <w:rsid w:val="00963E2C"/>
    <w:rsid w:val="00964277"/>
    <w:rsid w:val="00964A35"/>
    <w:rsid w:val="009652AF"/>
    <w:rsid w:val="00965583"/>
    <w:rsid w:val="00965878"/>
    <w:rsid w:val="0096597D"/>
    <w:rsid w:val="00965AE1"/>
    <w:rsid w:val="00966C40"/>
    <w:rsid w:val="00966EE8"/>
    <w:rsid w:val="0096725B"/>
    <w:rsid w:val="00967893"/>
    <w:rsid w:val="00967CBB"/>
    <w:rsid w:val="00967D5E"/>
    <w:rsid w:val="009708FE"/>
    <w:rsid w:val="00971B3E"/>
    <w:rsid w:val="00971F46"/>
    <w:rsid w:val="0097213F"/>
    <w:rsid w:val="00972DE3"/>
    <w:rsid w:val="00973807"/>
    <w:rsid w:val="00973B6C"/>
    <w:rsid w:val="00973BAA"/>
    <w:rsid w:val="00973F2A"/>
    <w:rsid w:val="009746EE"/>
    <w:rsid w:val="0097542A"/>
    <w:rsid w:val="00975EF6"/>
    <w:rsid w:val="00976468"/>
    <w:rsid w:val="00976498"/>
    <w:rsid w:val="00976D7D"/>
    <w:rsid w:val="00976DE5"/>
    <w:rsid w:val="00977239"/>
    <w:rsid w:val="009772C2"/>
    <w:rsid w:val="009774DB"/>
    <w:rsid w:val="009779E3"/>
    <w:rsid w:val="00977A27"/>
    <w:rsid w:val="00977D91"/>
    <w:rsid w:val="00977FFA"/>
    <w:rsid w:val="00980239"/>
    <w:rsid w:val="00981C0D"/>
    <w:rsid w:val="00981F28"/>
    <w:rsid w:val="009822CF"/>
    <w:rsid w:val="009825B7"/>
    <w:rsid w:val="00982896"/>
    <w:rsid w:val="00982900"/>
    <w:rsid w:val="00983289"/>
    <w:rsid w:val="0098381D"/>
    <w:rsid w:val="00985204"/>
    <w:rsid w:val="00985260"/>
    <w:rsid w:val="009854FC"/>
    <w:rsid w:val="00985B5E"/>
    <w:rsid w:val="00985FC5"/>
    <w:rsid w:val="0098612C"/>
    <w:rsid w:val="00986276"/>
    <w:rsid w:val="00986B56"/>
    <w:rsid w:val="00986BFD"/>
    <w:rsid w:val="00986EA6"/>
    <w:rsid w:val="00987216"/>
    <w:rsid w:val="00987616"/>
    <w:rsid w:val="00987935"/>
    <w:rsid w:val="00987BB4"/>
    <w:rsid w:val="00987C34"/>
    <w:rsid w:val="00987C6F"/>
    <w:rsid w:val="00987F7D"/>
    <w:rsid w:val="009919B3"/>
    <w:rsid w:val="00991E09"/>
    <w:rsid w:val="009920E1"/>
    <w:rsid w:val="009928E0"/>
    <w:rsid w:val="00993039"/>
    <w:rsid w:val="009930D5"/>
    <w:rsid w:val="009934B1"/>
    <w:rsid w:val="00993C8D"/>
    <w:rsid w:val="009941C5"/>
    <w:rsid w:val="00994611"/>
    <w:rsid w:val="00994A2E"/>
    <w:rsid w:val="00994E5A"/>
    <w:rsid w:val="009961A0"/>
    <w:rsid w:val="009965F7"/>
    <w:rsid w:val="0099690D"/>
    <w:rsid w:val="0099692A"/>
    <w:rsid w:val="00996A4B"/>
    <w:rsid w:val="00996F1E"/>
    <w:rsid w:val="00997271"/>
    <w:rsid w:val="009972D3"/>
    <w:rsid w:val="0099732D"/>
    <w:rsid w:val="0099742F"/>
    <w:rsid w:val="00997F66"/>
    <w:rsid w:val="009A0011"/>
    <w:rsid w:val="009A050B"/>
    <w:rsid w:val="009A099F"/>
    <w:rsid w:val="009A0FAB"/>
    <w:rsid w:val="009A1442"/>
    <w:rsid w:val="009A17CD"/>
    <w:rsid w:val="009A2143"/>
    <w:rsid w:val="009A2528"/>
    <w:rsid w:val="009A265F"/>
    <w:rsid w:val="009A26CC"/>
    <w:rsid w:val="009A2D10"/>
    <w:rsid w:val="009A33E1"/>
    <w:rsid w:val="009A3631"/>
    <w:rsid w:val="009A3794"/>
    <w:rsid w:val="009A3893"/>
    <w:rsid w:val="009A38FC"/>
    <w:rsid w:val="009A3D94"/>
    <w:rsid w:val="009A3E5B"/>
    <w:rsid w:val="009A4043"/>
    <w:rsid w:val="009A40CB"/>
    <w:rsid w:val="009A4627"/>
    <w:rsid w:val="009A4906"/>
    <w:rsid w:val="009A5761"/>
    <w:rsid w:val="009A6C61"/>
    <w:rsid w:val="009A6F3F"/>
    <w:rsid w:val="009A771C"/>
    <w:rsid w:val="009A7844"/>
    <w:rsid w:val="009A7DBE"/>
    <w:rsid w:val="009B03EB"/>
    <w:rsid w:val="009B0461"/>
    <w:rsid w:val="009B0964"/>
    <w:rsid w:val="009B0E0B"/>
    <w:rsid w:val="009B1492"/>
    <w:rsid w:val="009B15F7"/>
    <w:rsid w:val="009B1676"/>
    <w:rsid w:val="009B1A39"/>
    <w:rsid w:val="009B20BC"/>
    <w:rsid w:val="009B2378"/>
    <w:rsid w:val="009B279C"/>
    <w:rsid w:val="009B2B51"/>
    <w:rsid w:val="009B39A3"/>
    <w:rsid w:val="009B3B7E"/>
    <w:rsid w:val="009B3EFB"/>
    <w:rsid w:val="009B4327"/>
    <w:rsid w:val="009B4339"/>
    <w:rsid w:val="009B5166"/>
    <w:rsid w:val="009B53DD"/>
    <w:rsid w:val="009B56CF"/>
    <w:rsid w:val="009B58AD"/>
    <w:rsid w:val="009B5DC0"/>
    <w:rsid w:val="009B6550"/>
    <w:rsid w:val="009B6589"/>
    <w:rsid w:val="009B69E1"/>
    <w:rsid w:val="009B6FA7"/>
    <w:rsid w:val="009B7035"/>
    <w:rsid w:val="009B72CC"/>
    <w:rsid w:val="009B7415"/>
    <w:rsid w:val="009B75C1"/>
    <w:rsid w:val="009C0041"/>
    <w:rsid w:val="009C03DE"/>
    <w:rsid w:val="009C05F2"/>
    <w:rsid w:val="009C12FC"/>
    <w:rsid w:val="009C13F8"/>
    <w:rsid w:val="009C1B60"/>
    <w:rsid w:val="009C1C20"/>
    <w:rsid w:val="009C1E15"/>
    <w:rsid w:val="009C20D4"/>
    <w:rsid w:val="009C2793"/>
    <w:rsid w:val="009C2BFD"/>
    <w:rsid w:val="009C2DC7"/>
    <w:rsid w:val="009C326A"/>
    <w:rsid w:val="009C3343"/>
    <w:rsid w:val="009C33C1"/>
    <w:rsid w:val="009C3B8B"/>
    <w:rsid w:val="009C3BD9"/>
    <w:rsid w:val="009C3F03"/>
    <w:rsid w:val="009C42DA"/>
    <w:rsid w:val="009C4389"/>
    <w:rsid w:val="009C45A5"/>
    <w:rsid w:val="009C59B9"/>
    <w:rsid w:val="009C5E6B"/>
    <w:rsid w:val="009C6463"/>
    <w:rsid w:val="009C6508"/>
    <w:rsid w:val="009C6587"/>
    <w:rsid w:val="009C707C"/>
    <w:rsid w:val="009C712A"/>
    <w:rsid w:val="009C7EAB"/>
    <w:rsid w:val="009D0EC5"/>
    <w:rsid w:val="009D0FA0"/>
    <w:rsid w:val="009D110B"/>
    <w:rsid w:val="009D1166"/>
    <w:rsid w:val="009D1323"/>
    <w:rsid w:val="009D13B3"/>
    <w:rsid w:val="009D19FD"/>
    <w:rsid w:val="009D1A26"/>
    <w:rsid w:val="009D23E0"/>
    <w:rsid w:val="009D24E9"/>
    <w:rsid w:val="009D2BA6"/>
    <w:rsid w:val="009D2D40"/>
    <w:rsid w:val="009D2D87"/>
    <w:rsid w:val="009D2DC0"/>
    <w:rsid w:val="009D3394"/>
    <w:rsid w:val="009D359E"/>
    <w:rsid w:val="009D3631"/>
    <w:rsid w:val="009D3BBC"/>
    <w:rsid w:val="009D41D4"/>
    <w:rsid w:val="009D4AB3"/>
    <w:rsid w:val="009D4AE1"/>
    <w:rsid w:val="009D4B56"/>
    <w:rsid w:val="009D4F15"/>
    <w:rsid w:val="009D5820"/>
    <w:rsid w:val="009D5881"/>
    <w:rsid w:val="009D625F"/>
    <w:rsid w:val="009D64D0"/>
    <w:rsid w:val="009D6B1C"/>
    <w:rsid w:val="009D7BEB"/>
    <w:rsid w:val="009D7DD4"/>
    <w:rsid w:val="009E0448"/>
    <w:rsid w:val="009E07F7"/>
    <w:rsid w:val="009E09A1"/>
    <w:rsid w:val="009E148E"/>
    <w:rsid w:val="009E1DCF"/>
    <w:rsid w:val="009E1F81"/>
    <w:rsid w:val="009E1F9C"/>
    <w:rsid w:val="009E2298"/>
    <w:rsid w:val="009E23AC"/>
    <w:rsid w:val="009E28A1"/>
    <w:rsid w:val="009E2D50"/>
    <w:rsid w:val="009E362C"/>
    <w:rsid w:val="009E3713"/>
    <w:rsid w:val="009E441C"/>
    <w:rsid w:val="009E559E"/>
    <w:rsid w:val="009E5B2B"/>
    <w:rsid w:val="009E5F1A"/>
    <w:rsid w:val="009E60D3"/>
    <w:rsid w:val="009E7083"/>
    <w:rsid w:val="009E7275"/>
    <w:rsid w:val="009E7732"/>
    <w:rsid w:val="009F033F"/>
    <w:rsid w:val="009F0D99"/>
    <w:rsid w:val="009F10AF"/>
    <w:rsid w:val="009F1633"/>
    <w:rsid w:val="009F1765"/>
    <w:rsid w:val="009F1995"/>
    <w:rsid w:val="009F1CE0"/>
    <w:rsid w:val="009F1DB0"/>
    <w:rsid w:val="009F2405"/>
    <w:rsid w:val="009F27B5"/>
    <w:rsid w:val="009F28A8"/>
    <w:rsid w:val="009F3220"/>
    <w:rsid w:val="009F3AF4"/>
    <w:rsid w:val="009F48A5"/>
    <w:rsid w:val="009F4CD8"/>
    <w:rsid w:val="009F57B3"/>
    <w:rsid w:val="009F5F09"/>
    <w:rsid w:val="009F5F95"/>
    <w:rsid w:val="009F682E"/>
    <w:rsid w:val="009F69FF"/>
    <w:rsid w:val="009F6CEE"/>
    <w:rsid w:val="009F779C"/>
    <w:rsid w:val="009F79FD"/>
    <w:rsid w:val="009F7C5C"/>
    <w:rsid w:val="009F7CA0"/>
    <w:rsid w:val="00A000B6"/>
    <w:rsid w:val="00A00B16"/>
    <w:rsid w:val="00A00F43"/>
    <w:rsid w:val="00A010A1"/>
    <w:rsid w:val="00A017EA"/>
    <w:rsid w:val="00A018EC"/>
    <w:rsid w:val="00A01944"/>
    <w:rsid w:val="00A01A1B"/>
    <w:rsid w:val="00A01A5A"/>
    <w:rsid w:val="00A01A6B"/>
    <w:rsid w:val="00A020AB"/>
    <w:rsid w:val="00A023EB"/>
    <w:rsid w:val="00A02CF0"/>
    <w:rsid w:val="00A03017"/>
    <w:rsid w:val="00A0321F"/>
    <w:rsid w:val="00A0331B"/>
    <w:rsid w:val="00A037EE"/>
    <w:rsid w:val="00A03B59"/>
    <w:rsid w:val="00A04403"/>
    <w:rsid w:val="00A04637"/>
    <w:rsid w:val="00A04A4D"/>
    <w:rsid w:val="00A0506D"/>
    <w:rsid w:val="00A0578C"/>
    <w:rsid w:val="00A057CE"/>
    <w:rsid w:val="00A05AF5"/>
    <w:rsid w:val="00A05D05"/>
    <w:rsid w:val="00A0600D"/>
    <w:rsid w:val="00A0632E"/>
    <w:rsid w:val="00A063CB"/>
    <w:rsid w:val="00A06862"/>
    <w:rsid w:val="00A069F2"/>
    <w:rsid w:val="00A06B14"/>
    <w:rsid w:val="00A0718C"/>
    <w:rsid w:val="00A077F5"/>
    <w:rsid w:val="00A07BC5"/>
    <w:rsid w:val="00A07ED3"/>
    <w:rsid w:val="00A07EE1"/>
    <w:rsid w:val="00A103C3"/>
    <w:rsid w:val="00A1065E"/>
    <w:rsid w:val="00A113AF"/>
    <w:rsid w:val="00A11934"/>
    <w:rsid w:val="00A11EFA"/>
    <w:rsid w:val="00A1276F"/>
    <w:rsid w:val="00A12934"/>
    <w:rsid w:val="00A12FB6"/>
    <w:rsid w:val="00A138E8"/>
    <w:rsid w:val="00A13E82"/>
    <w:rsid w:val="00A140C7"/>
    <w:rsid w:val="00A14510"/>
    <w:rsid w:val="00A1478E"/>
    <w:rsid w:val="00A148C5"/>
    <w:rsid w:val="00A15556"/>
    <w:rsid w:val="00A1565C"/>
    <w:rsid w:val="00A163F6"/>
    <w:rsid w:val="00A1649A"/>
    <w:rsid w:val="00A16871"/>
    <w:rsid w:val="00A168AE"/>
    <w:rsid w:val="00A16F4F"/>
    <w:rsid w:val="00A16F54"/>
    <w:rsid w:val="00A16FF8"/>
    <w:rsid w:val="00A170FE"/>
    <w:rsid w:val="00A17114"/>
    <w:rsid w:val="00A2019E"/>
    <w:rsid w:val="00A202F0"/>
    <w:rsid w:val="00A20D23"/>
    <w:rsid w:val="00A21143"/>
    <w:rsid w:val="00A215EF"/>
    <w:rsid w:val="00A217AE"/>
    <w:rsid w:val="00A219B9"/>
    <w:rsid w:val="00A21CC0"/>
    <w:rsid w:val="00A2218E"/>
    <w:rsid w:val="00A222E1"/>
    <w:rsid w:val="00A2266A"/>
    <w:rsid w:val="00A2349E"/>
    <w:rsid w:val="00A2504D"/>
    <w:rsid w:val="00A25B42"/>
    <w:rsid w:val="00A2671A"/>
    <w:rsid w:val="00A26AF8"/>
    <w:rsid w:val="00A26D3C"/>
    <w:rsid w:val="00A26F25"/>
    <w:rsid w:val="00A26FF2"/>
    <w:rsid w:val="00A2790D"/>
    <w:rsid w:val="00A3025E"/>
    <w:rsid w:val="00A306B6"/>
    <w:rsid w:val="00A314A6"/>
    <w:rsid w:val="00A316C4"/>
    <w:rsid w:val="00A31707"/>
    <w:rsid w:val="00A3180D"/>
    <w:rsid w:val="00A31E40"/>
    <w:rsid w:val="00A3202C"/>
    <w:rsid w:val="00A323E7"/>
    <w:rsid w:val="00A323EC"/>
    <w:rsid w:val="00A325A0"/>
    <w:rsid w:val="00A32837"/>
    <w:rsid w:val="00A329DB"/>
    <w:rsid w:val="00A32A84"/>
    <w:rsid w:val="00A32C9A"/>
    <w:rsid w:val="00A32F6B"/>
    <w:rsid w:val="00A34192"/>
    <w:rsid w:val="00A34463"/>
    <w:rsid w:val="00A34539"/>
    <w:rsid w:val="00A34A14"/>
    <w:rsid w:val="00A35055"/>
    <w:rsid w:val="00A3566B"/>
    <w:rsid w:val="00A35714"/>
    <w:rsid w:val="00A357C3"/>
    <w:rsid w:val="00A35C3F"/>
    <w:rsid w:val="00A36286"/>
    <w:rsid w:val="00A36397"/>
    <w:rsid w:val="00A36758"/>
    <w:rsid w:val="00A36E5E"/>
    <w:rsid w:val="00A3708F"/>
    <w:rsid w:val="00A371C8"/>
    <w:rsid w:val="00A40168"/>
    <w:rsid w:val="00A40371"/>
    <w:rsid w:val="00A40BD8"/>
    <w:rsid w:val="00A40FA8"/>
    <w:rsid w:val="00A41318"/>
    <w:rsid w:val="00A4185D"/>
    <w:rsid w:val="00A421F3"/>
    <w:rsid w:val="00A4279A"/>
    <w:rsid w:val="00A42ACE"/>
    <w:rsid w:val="00A4339C"/>
    <w:rsid w:val="00A4389F"/>
    <w:rsid w:val="00A439CA"/>
    <w:rsid w:val="00A43B29"/>
    <w:rsid w:val="00A44087"/>
    <w:rsid w:val="00A44569"/>
    <w:rsid w:val="00A4489E"/>
    <w:rsid w:val="00A4512E"/>
    <w:rsid w:val="00A45AA5"/>
    <w:rsid w:val="00A465BF"/>
    <w:rsid w:val="00A46932"/>
    <w:rsid w:val="00A47ACB"/>
    <w:rsid w:val="00A47C07"/>
    <w:rsid w:val="00A47CDE"/>
    <w:rsid w:val="00A47E57"/>
    <w:rsid w:val="00A47F5B"/>
    <w:rsid w:val="00A5081D"/>
    <w:rsid w:val="00A512A5"/>
    <w:rsid w:val="00A521DF"/>
    <w:rsid w:val="00A52239"/>
    <w:rsid w:val="00A52382"/>
    <w:rsid w:val="00A5239D"/>
    <w:rsid w:val="00A52548"/>
    <w:rsid w:val="00A52A8F"/>
    <w:rsid w:val="00A52BAA"/>
    <w:rsid w:val="00A52C3C"/>
    <w:rsid w:val="00A52EC4"/>
    <w:rsid w:val="00A5369F"/>
    <w:rsid w:val="00A537C2"/>
    <w:rsid w:val="00A5381C"/>
    <w:rsid w:val="00A53EEC"/>
    <w:rsid w:val="00A540DA"/>
    <w:rsid w:val="00A54DF0"/>
    <w:rsid w:val="00A54FD0"/>
    <w:rsid w:val="00A54FE7"/>
    <w:rsid w:val="00A555BC"/>
    <w:rsid w:val="00A55E56"/>
    <w:rsid w:val="00A55F34"/>
    <w:rsid w:val="00A55F58"/>
    <w:rsid w:val="00A55FD7"/>
    <w:rsid w:val="00A561B9"/>
    <w:rsid w:val="00A5652F"/>
    <w:rsid w:val="00A5708B"/>
    <w:rsid w:val="00A570FD"/>
    <w:rsid w:val="00A579F5"/>
    <w:rsid w:val="00A60035"/>
    <w:rsid w:val="00A602CB"/>
    <w:rsid w:val="00A6056D"/>
    <w:rsid w:val="00A60B85"/>
    <w:rsid w:val="00A60BA9"/>
    <w:rsid w:val="00A60C09"/>
    <w:rsid w:val="00A60F18"/>
    <w:rsid w:val="00A60F4F"/>
    <w:rsid w:val="00A61549"/>
    <w:rsid w:val="00A61FE4"/>
    <w:rsid w:val="00A62003"/>
    <w:rsid w:val="00A62105"/>
    <w:rsid w:val="00A6249F"/>
    <w:rsid w:val="00A625EA"/>
    <w:rsid w:val="00A627BC"/>
    <w:rsid w:val="00A627F6"/>
    <w:rsid w:val="00A62CC7"/>
    <w:rsid w:val="00A635B1"/>
    <w:rsid w:val="00A63694"/>
    <w:rsid w:val="00A63E6E"/>
    <w:rsid w:val="00A641DB"/>
    <w:rsid w:val="00A64A65"/>
    <w:rsid w:val="00A65D7E"/>
    <w:rsid w:val="00A65F84"/>
    <w:rsid w:val="00A665B6"/>
    <w:rsid w:val="00A66917"/>
    <w:rsid w:val="00A669F4"/>
    <w:rsid w:val="00A67175"/>
    <w:rsid w:val="00A676FA"/>
    <w:rsid w:val="00A7001A"/>
    <w:rsid w:val="00A70113"/>
    <w:rsid w:val="00A70F16"/>
    <w:rsid w:val="00A71B5C"/>
    <w:rsid w:val="00A71CE5"/>
    <w:rsid w:val="00A71D57"/>
    <w:rsid w:val="00A723FA"/>
    <w:rsid w:val="00A7258B"/>
    <w:rsid w:val="00A7288C"/>
    <w:rsid w:val="00A72A1A"/>
    <w:rsid w:val="00A734F9"/>
    <w:rsid w:val="00A73586"/>
    <w:rsid w:val="00A735B8"/>
    <w:rsid w:val="00A73F12"/>
    <w:rsid w:val="00A742AD"/>
    <w:rsid w:val="00A74395"/>
    <w:rsid w:val="00A745CA"/>
    <w:rsid w:val="00A7489C"/>
    <w:rsid w:val="00A74DFF"/>
    <w:rsid w:val="00A751CB"/>
    <w:rsid w:val="00A75D75"/>
    <w:rsid w:val="00A75D80"/>
    <w:rsid w:val="00A77818"/>
    <w:rsid w:val="00A778CD"/>
    <w:rsid w:val="00A77A59"/>
    <w:rsid w:val="00A77C2D"/>
    <w:rsid w:val="00A801CF"/>
    <w:rsid w:val="00A801F9"/>
    <w:rsid w:val="00A80407"/>
    <w:rsid w:val="00A80450"/>
    <w:rsid w:val="00A8076C"/>
    <w:rsid w:val="00A8089C"/>
    <w:rsid w:val="00A80AE1"/>
    <w:rsid w:val="00A80E60"/>
    <w:rsid w:val="00A8173F"/>
    <w:rsid w:val="00A81CA4"/>
    <w:rsid w:val="00A81CBB"/>
    <w:rsid w:val="00A81CD2"/>
    <w:rsid w:val="00A81D53"/>
    <w:rsid w:val="00A81DF2"/>
    <w:rsid w:val="00A81F62"/>
    <w:rsid w:val="00A824E2"/>
    <w:rsid w:val="00A8287A"/>
    <w:rsid w:val="00A82981"/>
    <w:rsid w:val="00A82A5F"/>
    <w:rsid w:val="00A82B6E"/>
    <w:rsid w:val="00A82D9C"/>
    <w:rsid w:val="00A8361C"/>
    <w:rsid w:val="00A837F8"/>
    <w:rsid w:val="00A84014"/>
    <w:rsid w:val="00A84627"/>
    <w:rsid w:val="00A8467E"/>
    <w:rsid w:val="00A8489B"/>
    <w:rsid w:val="00A84914"/>
    <w:rsid w:val="00A851BC"/>
    <w:rsid w:val="00A851D1"/>
    <w:rsid w:val="00A85A84"/>
    <w:rsid w:val="00A86699"/>
    <w:rsid w:val="00A86C9B"/>
    <w:rsid w:val="00A86E57"/>
    <w:rsid w:val="00A870C6"/>
    <w:rsid w:val="00A8736C"/>
    <w:rsid w:val="00A87677"/>
    <w:rsid w:val="00A87AE5"/>
    <w:rsid w:val="00A902F8"/>
    <w:rsid w:val="00A90A8F"/>
    <w:rsid w:val="00A912BB"/>
    <w:rsid w:val="00A91663"/>
    <w:rsid w:val="00A919CA"/>
    <w:rsid w:val="00A91DDF"/>
    <w:rsid w:val="00A920BF"/>
    <w:rsid w:val="00A921CF"/>
    <w:rsid w:val="00A92955"/>
    <w:rsid w:val="00A92DDB"/>
    <w:rsid w:val="00A9380E"/>
    <w:rsid w:val="00A93F09"/>
    <w:rsid w:val="00A943B3"/>
    <w:rsid w:val="00A94555"/>
    <w:rsid w:val="00A945E0"/>
    <w:rsid w:val="00A94A05"/>
    <w:rsid w:val="00A94E41"/>
    <w:rsid w:val="00A94EC2"/>
    <w:rsid w:val="00A9520D"/>
    <w:rsid w:val="00A952EA"/>
    <w:rsid w:val="00A95875"/>
    <w:rsid w:val="00A95AC2"/>
    <w:rsid w:val="00A96253"/>
    <w:rsid w:val="00A96616"/>
    <w:rsid w:val="00A968EB"/>
    <w:rsid w:val="00A96BFD"/>
    <w:rsid w:val="00A96CCA"/>
    <w:rsid w:val="00A9726B"/>
    <w:rsid w:val="00A974D8"/>
    <w:rsid w:val="00AA0116"/>
    <w:rsid w:val="00AA0F62"/>
    <w:rsid w:val="00AA10FA"/>
    <w:rsid w:val="00AA157A"/>
    <w:rsid w:val="00AA1A58"/>
    <w:rsid w:val="00AA1AD0"/>
    <w:rsid w:val="00AA1DF0"/>
    <w:rsid w:val="00AA1E6C"/>
    <w:rsid w:val="00AA2B6A"/>
    <w:rsid w:val="00AA2BE8"/>
    <w:rsid w:val="00AA30E2"/>
    <w:rsid w:val="00AA31D7"/>
    <w:rsid w:val="00AA32B3"/>
    <w:rsid w:val="00AA3F92"/>
    <w:rsid w:val="00AA4338"/>
    <w:rsid w:val="00AA44DD"/>
    <w:rsid w:val="00AA45B7"/>
    <w:rsid w:val="00AA585A"/>
    <w:rsid w:val="00AA5A9F"/>
    <w:rsid w:val="00AA5B79"/>
    <w:rsid w:val="00AA612D"/>
    <w:rsid w:val="00AA66F4"/>
    <w:rsid w:val="00AA6A06"/>
    <w:rsid w:val="00AA6BAF"/>
    <w:rsid w:val="00AA7D78"/>
    <w:rsid w:val="00AB035D"/>
    <w:rsid w:val="00AB060D"/>
    <w:rsid w:val="00AB0846"/>
    <w:rsid w:val="00AB0B2E"/>
    <w:rsid w:val="00AB0ED7"/>
    <w:rsid w:val="00AB1A01"/>
    <w:rsid w:val="00AB27DA"/>
    <w:rsid w:val="00AB2B5B"/>
    <w:rsid w:val="00AB2C1B"/>
    <w:rsid w:val="00AB2DF8"/>
    <w:rsid w:val="00AB3440"/>
    <w:rsid w:val="00AB3602"/>
    <w:rsid w:val="00AB3B84"/>
    <w:rsid w:val="00AB3CBF"/>
    <w:rsid w:val="00AB3D74"/>
    <w:rsid w:val="00AB44B9"/>
    <w:rsid w:val="00AB45AA"/>
    <w:rsid w:val="00AB494B"/>
    <w:rsid w:val="00AB4A7C"/>
    <w:rsid w:val="00AB4B8A"/>
    <w:rsid w:val="00AB4BC3"/>
    <w:rsid w:val="00AB504C"/>
    <w:rsid w:val="00AB5430"/>
    <w:rsid w:val="00AB5648"/>
    <w:rsid w:val="00AB5815"/>
    <w:rsid w:val="00AB6DD7"/>
    <w:rsid w:val="00AB7312"/>
    <w:rsid w:val="00AB7CDC"/>
    <w:rsid w:val="00AC018A"/>
    <w:rsid w:val="00AC0A13"/>
    <w:rsid w:val="00AC0CC1"/>
    <w:rsid w:val="00AC0D09"/>
    <w:rsid w:val="00AC0F6C"/>
    <w:rsid w:val="00AC14A9"/>
    <w:rsid w:val="00AC15C0"/>
    <w:rsid w:val="00AC2439"/>
    <w:rsid w:val="00AC2D4A"/>
    <w:rsid w:val="00AC330B"/>
    <w:rsid w:val="00AC4CF3"/>
    <w:rsid w:val="00AC4D0F"/>
    <w:rsid w:val="00AC4D4F"/>
    <w:rsid w:val="00AC5C2D"/>
    <w:rsid w:val="00AC61FE"/>
    <w:rsid w:val="00AC6C05"/>
    <w:rsid w:val="00AC704D"/>
    <w:rsid w:val="00AC70B1"/>
    <w:rsid w:val="00AC729B"/>
    <w:rsid w:val="00AC7428"/>
    <w:rsid w:val="00AC76BD"/>
    <w:rsid w:val="00AD048E"/>
    <w:rsid w:val="00AD0600"/>
    <w:rsid w:val="00AD08D3"/>
    <w:rsid w:val="00AD0BBC"/>
    <w:rsid w:val="00AD20FA"/>
    <w:rsid w:val="00AD22CD"/>
    <w:rsid w:val="00AD2799"/>
    <w:rsid w:val="00AD2885"/>
    <w:rsid w:val="00AD4202"/>
    <w:rsid w:val="00AD4381"/>
    <w:rsid w:val="00AD4864"/>
    <w:rsid w:val="00AD5110"/>
    <w:rsid w:val="00AD56AE"/>
    <w:rsid w:val="00AD5D08"/>
    <w:rsid w:val="00AD6468"/>
    <w:rsid w:val="00AD655A"/>
    <w:rsid w:val="00AD7624"/>
    <w:rsid w:val="00AD7CA1"/>
    <w:rsid w:val="00AE0088"/>
    <w:rsid w:val="00AE0A47"/>
    <w:rsid w:val="00AE0BA4"/>
    <w:rsid w:val="00AE0E7E"/>
    <w:rsid w:val="00AE16FB"/>
    <w:rsid w:val="00AE188B"/>
    <w:rsid w:val="00AE1A07"/>
    <w:rsid w:val="00AE1A0E"/>
    <w:rsid w:val="00AE1A78"/>
    <w:rsid w:val="00AE1B16"/>
    <w:rsid w:val="00AE1BA8"/>
    <w:rsid w:val="00AE1F6C"/>
    <w:rsid w:val="00AE2DF8"/>
    <w:rsid w:val="00AE2FB4"/>
    <w:rsid w:val="00AE30BE"/>
    <w:rsid w:val="00AE39FD"/>
    <w:rsid w:val="00AE3F83"/>
    <w:rsid w:val="00AE474E"/>
    <w:rsid w:val="00AE4C8E"/>
    <w:rsid w:val="00AE4E2F"/>
    <w:rsid w:val="00AE568D"/>
    <w:rsid w:val="00AE626A"/>
    <w:rsid w:val="00AE6A07"/>
    <w:rsid w:val="00AE6C4C"/>
    <w:rsid w:val="00AE6D64"/>
    <w:rsid w:val="00AE720A"/>
    <w:rsid w:val="00AE76AD"/>
    <w:rsid w:val="00AE7C46"/>
    <w:rsid w:val="00AF02A8"/>
    <w:rsid w:val="00AF060C"/>
    <w:rsid w:val="00AF13E6"/>
    <w:rsid w:val="00AF1724"/>
    <w:rsid w:val="00AF196E"/>
    <w:rsid w:val="00AF1E0F"/>
    <w:rsid w:val="00AF2A1D"/>
    <w:rsid w:val="00AF2E19"/>
    <w:rsid w:val="00AF305D"/>
    <w:rsid w:val="00AF3BF2"/>
    <w:rsid w:val="00AF3F9E"/>
    <w:rsid w:val="00AF465A"/>
    <w:rsid w:val="00AF47CC"/>
    <w:rsid w:val="00AF4CAB"/>
    <w:rsid w:val="00AF4E69"/>
    <w:rsid w:val="00AF5732"/>
    <w:rsid w:val="00AF5C46"/>
    <w:rsid w:val="00AF5D10"/>
    <w:rsid w:val="00AF5F28"/>
    <w:rsid w:val="00AF6479"/>
    <w:rsid w:val="00AF6A59"/>
    <w:rsid w:val="00AF7102"/>
    <w:rsid w:val="00AF7843"/>
    <w:rsid w:val="00AF78F1"/>
    <w:rsid w:val="00AF7ABD"/>
    <w:rsid w:val="00B004BA"/>
    <w:rsid w:val="00B025A8"/>
    <w:rsid w:val="00B02690"/>
    <w:rsid w:val="00B02D5A"/>
    <w:rsid w:val="00B02E7B"/>
    <w:rsid w:val="00B02F00"/>
    <w:rsid w:val="00B03170"/>
    <w:rsid w:val="00B03B99"/>
    <w:rsid w:val="00B03BD1"/>
    <w:rsid w:val="00B03EE8"/>
    <w:rsid w:val="00B03F10"/>
    <w:rsid w:val="00B04235"/>
    <w:rsid w:val="00B04713"/>
    <w:rsid w:val="00B04C48"/>
    <w:rsid w:val="00B04D3D"/>
    <w:rsid w:val="00B04F23"/>
    <w:rsid w:val="00B05088"/>
    <w:rsid w:val="00B0553E"/>
    <w:rsid w:val="00B05C5A"/>
    <w:rsid w:val="00B05ED0"/>
    <w:rsid w:val="00B06185"/>
    <w:rsid w:val="00B061F9"/>
    <w:rsid w:val="00B07148"/>
    <w:rsid w:val="00B0744F"/>
    <w:rsid w:val="00B07696"/>
    <w:rsid w:val="00B07A51"/>
    <w:rsid w:val="00B07D0A"/>
    <w:rsid w:val="00B1033E"/>
    <w:rsid w:val="00B10ABB"/>
    <w:rsid w:val="00B10B54"/>
    <w:rsid w:val="00B12008"/>
    <w:rsid w:val="00B12556"/>
    <w:rsid w:val="00B12606"/>
    <w:rsid w:val="00B12695"/>
    <w:rsid w:val="00B12CC9"/>
    <w:rsid w:val="00B12CCB"/>
    <w:rsid w:val="00B130AE"/>
    <w:rsid w:val="00B13444"/>
    <w:rsid w:val="00B13960"/>
    <w:rsid w:val="00B14DE9"/>
    <w:rsid w:val="00B14F59"/>
    <w:rsid w:val="00B1516E"/>
    <w:rsid w:val="00B1573D"/>
    <w:rsid w:val="00B15D98"/>
    <w:rsid w:val="00B1659F"/>
    <w:rsid w:val="00B166D6"/>
    <w:rsid w:val="00B17083"/>
    <w:rsid w:val="00B175BC"/>
    <w:rsid w:val="00B2015F"/>
    <w:rsid w:val="00B209D0"/>
    <w:rsid w:val="00B20D77"/>
    <w:rsid w:val="00B21225"/>
    <w:rsid w:val="00B21277"/>
    <w:rsid w:val="00B219DF"/>
    <w:rsid w:val="00B21B86"/>
    <w:rsid w:val="00B2210A"/>
    <w:rsid w:val="00B2261B"/>
    <w:rsid w:val="00B22660"/>
    <w:rsid w:val="00B22A3F"/>
    <w:rsid w:val="00B22B1D"/>
    <w:rsid w:val="00B2320B"/>
    <w:rsid w:val="00B2320E"/>
    <w:rsid w:val="00B2389B"/>
    <w:rsid w:val="00B24161"/>
    <w:rsid w:val="00B24426"/>
    <w:rsid w:val="00B24465"/>
    <w:rsid w:val="00B2488B"/>
    <w:rsid w:val="00B24B90"/>
    <w:rsid w:val="00B24EF6"/>
    <w:rsid w:val="00B25347"/>
    <w:rsid w:val="00B257FA"/>
    <w:rsid w:val="00B25957"/>
    <w:rsid w:val="00B25B75"/>
    <w:rsid w:val="00B2735A"/>
    <w:rsid w:val="00B274FD"/>
    <w:rsid w:val="00B27922"/>
    <w:rsid w:val="00B27C60"/>
    <w:rsid w:val="00B3025A"/>
    <w:rsid w:val="00B304CC"/>
    <w:rsid w:val="00B3091E"/>
    <w:rsid w:val="00B30EBB"/>
    <w:rsid w:val="00B30FFF"/>
    <w:rsid w:val="00B31069"/>
    <w:rsid w:val="00B3139B"/>
    <w:rsid w:val="00B315A8"/>
    <w:rsid w:val="00B31B81"/>
    <w:rsid w:val="00B31DD4"/>
    <w:rsid w:val="00B31E4D"/>
    <w:rsid w:val="00B3240F"/>
    <w:rsid w:val="00B3248B"/>
    <w:rsid w:val="00B32EBD"/>
    <w:rsid w:val="00B32F6A"/>
    <w:rsid w:val="00B33289"/>
    <w:rsid w:val="00B333E8"/>
    <w:rsid w:val="00B33E16"/>
    <w:rsid w:val="00B346B5"/>
    <w:rsid w:val="00B34C2D"/>
    <w:rsid w:val="00B34D6B"/>
    <w:rsid w:val="00B35032"/>
    <w:rsid w:val="00B353D1"/>
    <w:rsid w:val="00B35414"/>
    <w:rsid w:val="00B3561F"/>
    <w:rsid w:val="00B35828"/>
    <w:rsid w:val="00B36096"/>
    <w:rsid w:val="00B364A0"/>
    <w:rsid w:val="00B36563"/>
    <w:rsid w:val="00B370C2"/>
    <w:rsid w:val="00B3719B"/>
    <w:rsid w:val="00B371BD"/>
    <w:rsid w:val="00B37766"/>
    <w:rsid w:val="00B3789B"/>
    <w:rsid w:val="00B37B3B"/>
    <w:rsid w:val="00B37ED5"/>
    <w:rsid w:val="00B40266"/>
    <w:rsid w:val="00B4056B"/>
    <w:rsid w:val="00B40F91"/>
    <w:rsid w:val="00B41059"/>
    <w:rsid w:val="00B412B3"/>
    <w:rsid w:val="00B4152A"/>
    <w:rsid w:val="00B419EA"/>
    <w:rsid w:val="00B42B39"/>
    <w:rsid w:val="00B42E1F"/>
    <w:rsid w:val="00B42FB1"/>
    <w:rsid w:val="00B43D54"/>
    <w:rsid w:val="00B43F2C"/>
    <w:rsid w:val="00B4457D"/>
    <w:rsid w:val="00B44B6E"/>
    <w:rsid w:val="00B44E98"/>
    <w:rsid w:val="00B44F7F"/>
    <w:rsid w:val="00B454CF"/>
    <w:rsid w:val="00B45BA1"/>
    <w:rsid w:val="00B46385"/>
    <w:rsid w:val="00B470CA"/>
    <w:rsid w:val="00B474CD"/>
    <w:rsid w:val="00B478F4"/>
    <w:rsid w:val="00B47B97"/>
    <w:rsid w:val="00B47CD4"/>
    <w:rsid w:val="00B47CD9"/>
    <w:rsid w:val="00B5048E"/>
    <w:rsid w:val="00B50FFC"/>
    <w:rsid w:val="00B512D8"/>
    <w:rsid w:val="00B51FEA"/>
    <w:rsid w:val="00B52388"/>
    <w:rsid w:val="00B52A6D"/>
    <w:rsid w:val="00B52DB4"/>
    <w:rsid w:val="00B53459"/>
    <w:rsid w:val="00B5350F"/>
    <w:rsid w:val="00B53DDE"/>
    <w:rsid w:val="00B5448D"/>
    <w:rsid w:val="00B54ABB"/>
    <w:rsid w:val="00B550EB"/>
    <w:rsid w:val="00B557D7"/>
    <w:rsid w:val="00B55F2C"/>
    <w:rsid w:val="00B55F86"/>
    <w:rsid w:val="00B5678C"/>
    <w:rsid w:val="00B56FB1"/>
    <w:rsid w:val="00B57068"/>
    <w:rsid w:val="00B57E9A"/>
    <w:rsid w:val="00B57EA2"/>
    <w:rsid w:val="00B6054A"/>
    <w:rsid w:val="00B60A91"/>
    <w:rsid w:val="00B60AB8"/>
    <w:rsid w:val="00B60D76"/>
    <w:rsid w:val="00B61612"/>
    <w:rsid w:val="00B622C3"/>
    <w:rsid w:val="00B6260C"/>
    <w:rsid w:val="00B62DE8"/>
    <w:rsid w:val="00B631D7"/>
    <w:rsid w:val="00B634E1"/>
    <w:rsid w:val="00B63559"/>
    <w:rsid w:val="00B6367A"/>
    <w:rsid w:val="00B636AE"/>
    <w:rsid w:val="00B63918"/>
    <w:rsid w:val="00B639D8"/>
    <w:rsid w:val="00B6404E"/>
    <w:rsid w:val="00B643CC"/>
    <w:rsid w:val="00B646DD"/>
    <w:rsid w:val="00B64A7C"/>
    <w:rsid w:val="00B650E9"/>
    <w:rsid w:val="00B65327"/>
    <w:rsid w:val="00B6580B"/>
    <w:rsid w:val="00B65EB6"/>
    <w:rsid w:val="00B660F0"/>
    <w:rsid w:val="00B66A52"/>
    <w:rsid w:val="00B66E22"/>
    <w:rsid w:val="00B67426"/>
    <w:rsid w:val="00B6753A"/>
    <w:rsid w:val="00B678E5"/>
    <w:rsid w:val="00B67A34"/>
    <w:rsid w:val="00B7084E"/>
    <w:rsid w:val="00B712DD"/>
    <w:rsid w:val="00B7167D"/>
    <w:rsid w:val="00B71B45"/>
    <w:rsid w:val="00B721EB"/>
    <w:rsid w:val="00B729AA"/>
    <w:rsid w:val="00B72B1C"/>
    <w:rsid w:val="00B730B8"/>
    <w:rsid w:val="00B743A2"/>
    <w:rsid w:val="00B74419"/>
    <w:rsid w:val="00B747CB"/>
    <w:rsid w:val="00B749F9"/>
    <w:rsid w:val="00B74DCA"/>
    <w:rsid w:val="00B7514D"/>
    <w:rsid w:val="00B75187"/>
    <w:rsid w:val="00B755FA"/>
    <w:rsid w:val="00B757D1"/>
    <w:rsid w:val="00B757DB"/>
    <w:rsid w:val="00B762EC"/>
    <w:rsid w:val="00B7724A"/>
    <w:rsid w:val="00B77469"/>
    <w:rsid w:val="00B776A9"/>
    <w:rsid w:val="00B8022B"/>
    <w:rsid w:val="00B804E7"/>
    <w:rsid w:val="00B80787"/>
    <w:rsid w:val="00B80CC7"/>
    <w:rsid w:val="00B80E98"/>
    <w:rsid w:val="00B81809"/>
    <w:rsid w:val="00B81BA5"/>
    <w:rsid w:val="00B8359D"/>
    <w:rsid w:val="00B8505E"/>
    <w:rsid w:val="00B85192"/>
    <w:rsid w:val="00B85203"/>
    <w:rsid w:val="00B853B4"/>
    <w:rsid w:val="00B856E1"/>
    <w:rsid w:val="00B85A58"/>
    <w:rsid w:val="00B85F2F"/>
    <w:rsid w:val="00B861F0"/>
    <w:rsid w:val="00B8692A"/>
    <w:rsid w:val="00B86BCE"/>
    <w:rsid w:val="00B86D87"/>
    <w:rsid w:val="00B86D99"/>
    <w:rsid w:val="00B872DA"/>
    <w:rsid w:val="00B8774F"/>
    <w:rsid w:val="00B879E4"/>
    <w:rsid w:val="00B879F6"/>
    <w:rsid w:val="00B87A60"/>
    <w:rsid w:val="00B87BA1"/>
    <w:rsid w:val="00B90740"/>
    <w:rsid w:val="00B90A0D"/>
    <w:rsid w:val="00B90B63"/>
    <w:rsid w:val="00B91653"/>
    <w:rsid w:val="00B91AFC"/>
    <w:rsid w:val="00B92110"/>
    <w:rsid w:val="00B92628"/>
    <w:rsid w:val="00B92981"/>
    <w:rsid w:val="00B92D63"/>
    <w:rsid w:val="00B92DFD"/>
    <w:rsid w:val="00B938A2"/>
    <w:rsid w:val="00B93A06"/>
    <w:rsid w:val="00B94127"/>
    <w:rsid w:val="00B947B9"/>
    <w:rsid w:val="00B94C96"/>
    <w:rsid w:val="00B951C9"/>
    <w:rsid w:val="00B95535"/>
    <w:rsid w:val="00B959BC"/>
    <w:rsid w:val="00B959E2"/>
    <w:rsid w:val="00B95D3D"/>
    <w:rsid w:val="00B97D5C"/>
    <w:rsid w:val="00BA02A8"/>
    <w:rsid w:val="00BA06C7"/>
    <w:rsid w:val="00BA06E8"/>
    <w:rsid w:val="00BA08E1"/>
    <w:rsid w:val="00BA11DE"/>
    <w:rsid w:val="00BA1D49"/>
    <w:rsid w:val="00BA1F61"/>
    <w:rsid w:val="00BA1F7D"/>
    <w:rsid w:val="00BA2521"/>
    <w:rsid w:val="00BA2745"/>
    <w:rsid w:val="00BA2B91"/>
    <w:rsid w:val="00BA31FC"/>
    <w:rsid w:val="00BA3D65"/>
    <w:rsid w:val="00BA4D9A"/>
    <w:rsid w:val="00BA54C0"/>
    <w:rsid w:val="00BA59F3"/>
    <w:rsid w:val="00BA5D8D"/>
    <w:rsid w:val="00BA6710"/>
    <w:rsid w:val="00BA6A11"/>
    <w:rsid w:val="00BA6C43"/>
    <w:rsid w:val="00BA7588"/>
    <w:rsid w:val="00BA7834"/>
    <w:rsid w:val="00BA7BBB"/>
    <w:rsid w:val="00BA7BFC"/>
    <w:rsid w:val="00BB03FB"/>
    <w:rsid w:val="00BB0549"/>
    <w:rsid w:val="00BB0573"/>
    <w:rsid w:val="00BB07EE"/>
    <w:rsid w:val="00BB0E69"/>
    <w:rsid w:val="00BB163C"/>
    <w:rsid w:val="00BB208A"/>
    <w:rsid w:val="00BB2147"/>
    <w:rsid w:val="00BB2252"/>
    <w:rsid w:val="00BB24D7"/>
    <w:rsid w:val="00BB24F8"/>
    <w:rsid w:val="00BB296B"/>
    <w:rsid w:val="00BB30B5"/>
    <w:rsid w:val="00BB3757"/>
    <w:rsid w:val="00BB3B3D"/>
    <w:rsid w:val="00BB4B9D"/>
    <w:rsid w:val="00BB50A1"/>
    <w:rsid w:val="00BB5256"/>
    <w:rsid w:val="00BB542A"/>
    <w:rsid w:val="00BB5F5B"/>
    <w:rsid w:val="00BB67EE"/>
    <w:rsid w:val="00BB68A8"/>
    <w:rsid w:val="00BB6A39"/>
    <w:rsid w:val="00BB7AA1"/>
    <w:rsid w:val="00BB7CC8"/>
    <w:rsid w:val="00BB7F87"/>
    <w:rsid w:val="00BC0247"/>
    <w:rsid w:val="00BC075F"/>
    <w:rsid w:val="00BC0C42"/>
    <w:rsid w:val="00BC0CAE"/>
    <w:rsid w:val="00BC11B4"/>
    <w:rsid w:val="00BC1423"/>
    <w:rsid w:val="00BC175D"/>
    <w:rsid w:val="00BC2800"/>
    <w:rsid w:val="00BC2BB1"/>
    <w:rsid w:val="00BC2E5C"/>
    <w:rsid w:val="00BC30FB"/>
    <w:rsid w:val="00BC3339"/>
    <w:rsid w:val="00BC348F"/>
    <w:rsid w:val="00BC36D7"/>
    <w:rsid w:val="00BC37B2"/>
    <w:rsid w:val="00BC37CF"/>
    <w:rsid w:val="00BC4AC0"/>
    <w:rsid w:val="00BC55A5"/>
    <w:rsid w:val="00BC57D8"/>
    <w:rsid w:val="00BC6F9E"/>
    <w:rsid w:val="00BC775E"/>
    <w:rsid w:val="00BC7930"/>
    <w:rsid w:val="00BC7A9A"/>
    <w:rsid w:val="00BD01A5"/>
    <w:rsid w:val="00BD0202"/>
    <w:rsid w:val="00BD0238"/>
    <w:rsid w:val="00BD0725"/>
    <w:rsid w:val="00BD0850"/>
    <w:rsid w:val="00BD086E"/>
    <w:rsid w:val="00BD0AE8"/>
    <w:rsid w:val="00BD0D53"/>
    <w:rsid w:val="00BD0DA1"/>
    <w:rsid w:val="00BD0F23"/>
    <w:rsid w:val="00BD1172"/>
    <w:rsid w:val="00BD1D0C"/>
    <w:rsid w:val="00BD2427"/>
    <w:rsid w:val="00BD29E4"/>
    <w:rsid w:val="00BD2C78"/>
    <w:rsid w:val="00BD332B"/>
    <w:rsid w:val="00BD3F43"/>
    <w:rsid w:val="00BD4170"/>
    <w:rsid w:val="00BD4DC2"/>
    <w:rsid w:val="00BD51FE"/>
    <w:rsid w:val="00BD5299"/>
    <w:rsid w:val="00BD5735"/>
    <w:rsid w:val="00BD6074"/>
    <w:rsid w:val="00BD6083"/>
    <w:rsid w:val="00BD6337"/>
    <w:rsid w:val="00BD6BCF"/>
    <w:rsid w:val="00BD6E71"/>
    <w:rsid w:val="00BD6F31"/>
    <w:rsid w:val="00BD7030"/>
    <w:rsid w:val="00BD715B"/>
    <w:rsid w:val="00BD7335"/>
    <w:rsid w:val="00BD780A"/>
    <w:rsid w:val="00BD784B"/>
    <w:rsid w:val="00BD7D04"/>
    <w:rsid w:val="00BE05BD"/>
    <w:rsid w:val="00BE09B0"/>
    <w:rsid w:val="00BE117E"/>
    <w:rsid w:val="00BE127D"/>
    <w:rsid w:val="00BE1659"/>
    <w:rsid w:val="00BE1949"/>
    <w:rsid w:val="00BE1BDF"/>
    <w:rsid w:val="00BE2376"/>
    <w:rsid w:val="00BE252B"/>
    <w:rsid w:val="00BE2826"/>
    <w:rsid w:val="00BE2F95"/>
    <w:rsid w:val="00BE3114"/>
    <w:rsid w:val="00BE34C8"/>
    <w:rsid w:val="00BE398B"/>
    <w:rsid w:val="00BE4890"/>
    <w:rsid w:val="00BE49DF"/>
    <w:rsid w:val="00BE4BF6"/>
    <w:rsid w:val="00BE523C"/>
    <w:rsid w:val="00BE58FF"/>
    <w:rsid w:val="00BE5937"/>
    <w:rsid w:val="00BE5BAB"/>
    <w:rsid w:val="00BE5CBF"/>
    <w:rsid w:val="00BE6462"/>
    <w:rsid w:val="00BE67D9"/>
    <w:rsid w:val="00BE75FF"/>
    <w:rsid w:val="00BE79C6"/>
    <w:rsid w:val="00BE7B52"/>
    <w:rsid w:val="00BE7B70"/>
    <w:rsid w:val="00BE7ECD"/>
    <w:rsid w:val="00BF0661"/>
    <w:rsid w:val="00BF0897"/>
    <w:rsid w:val="00BF0DBA"/>
    <w:rsid w:val="00BF1467"/>
    <w:rsid w:val="00BF180B"/>
    <w:rsid w:val="00BF1823"/>
    <w:rsid w:val="00BF2967"/>
    <w:rsid w:val="00BF2C47"/>
    <w:rsid w:val="00BF2D2B"/>
    <w:rsid w:val="00BF3839"/>
    <w:rsid w:val="00BF3E03"/>
    <w:rsid w:val="00BF3F3F"/>
    <w:rsid w:val="00BF4575"/>
    <w:rsid w:val="00BF4DC7"/>
    <w:rsid w:val="00BF4E7C"/>
    <w:rsid w:val="00BF6530"/>
    <w:rsid w:val="00BF68A1"/>
    <w:rsid w:val="00BF6C0D"/>
    <w:rsid w:val="00BF7311"/>
    <w:rsid w:val="00BF7A59"/>
    <w:rsid w:val="00BF7EAE"/>
    <w:rsid w:val="00C00126"/>
    <w:rsid w:val="00C0025F"/>
    <w:rsid w:val="00C002FA"/>
    <w:rsid w:val="00C0036D"/>
    <w:rsid w:val="00C007AB"/>
    <w:rsid w:val="00C007B2"/>
    <w:rsid w:val="00C00C92"/>
    <w:rsid w:val="00C01200"/>
    <w:rsid w:val="00C01325"/>
    <w:rsid w:val="00C0144B"/>
    <w:rsid w:val="00C02282"/>
    <w:rsid w:val="00C031C2"/>
    <w:rsid w:val="00C039CD"/>
    <w:rsid w:val="00C03BE8"/>
    <w:rsid w:val="00C03C00"/>
    <w:rsid w:val="00C03E04"/>
    <w:rsid w:val="00C0404C"/>
    <w:rsid w:val="00C040F8"/>
    <w:rsid w:val="00C0436A"/>
    <w:rsid w:val="00C044DD"/>
    <w:rsid w:val="00C04C43"/>
    <w:rsid w:val="00C04CAB"/>
    <w:rsid w:val="00C05475"/>
    <w:rsid w:val="00C05DFE"/>
    <w:rsid w:val="00C066E3"/>
    <w:rsid w:val="00C06914"/>
    <w:rsid w:val="00C06A59"/>
    <w:rsid w:val="00C06C9B"/>
    <w:rsid w:val="00C06F77"/>
    <w:rsid w:val="00C07A7C"/>
    <w:rsid w:val="00C07A87"/>
    <w:rsid w:val="00C07E8A"/>
    <w:rsid w:val="00C105CF"/>
    <w:rsid w:val="00C10756"/>
    <w:rsid w:val="00C11ACB"/>
    <w:rsid w:val="00C11AFE"/>
    <w:rsid w:val="00C124EC"/>
    <w:rsid w:val="00C12541"/>
    <w:rsid w:val="00C126B1"/>
    <w:rsid w:val="00C126E7"/>
    <w:rsid w:val="00C12EBD"/>
    <w:rsid w:val="00C132B2"/>
    <w:rsid w:val="00C13399"/>
    <w:rsid w:val="00C13588"/>
    <w:rsid w:val="00C13B24"/>
    <w:rsid w:val="00C13C70"/>
    <w:rsid w:val="00C13EBA"/>
    <w:rsid w:val="00C14448"/>
    <w:rsid w:val="00C14900"/>
    <w:rsid w:val="00C14A30"/>
    <w:rsid w:val="00C1619C"/>
    <w:rsid w:val="00C16750"/>
    <w:rsid w:val="00C16AC7"/>
    <w:rsid w:val="00C17244"/>
    <w:rsid w:val="00C17BF8"/>
    <w:rsid w:val="00C17ED6"/>
    <w:rsid w:val="00C17FF7"/>
    <w:rsid w:val="00C20148"/>
    <w:rsid w:val="00C20645"/>
    <w:rsid w:val="00C209D9"/>
    <w:rsid w:val="00C21114"/>
    <w:rsid w:val="00C214C2"/>
    <w:rsid w:val="00C21579"/>
    <w:rsid w:val="00C21F9B"/>
    <w:rsid w:val="00C221DA"/>
    <w:rsid w:val="00C221DE"/>
    <w:rsid w:val="00C2226D"/>
    <w:rsid w:val="00C22C59"/>
    <w:rsid w:val="00C2349C"/>
    <w:rsid w:val="00C23ED9"/>
    <w:rsid w:val="00C242CC"/>
    <w:rsid w:val="00C243F6"/>
    <w:rsid w:val="00C244DB"/>
    <w:rsid w:val="00C246BC"/>
    <w:rsid w:val="00C24C3E"/>
    <w:rsid w:val="00C25026"/>
    <w:rsid w:val="00C25329"/>
    <w:rsid w:val="00C25680"/>
    <w:rsid w:val="00C257CD"/>
    <w:rsid w:val="00C25984"/>
    <w:rsid w:val="00C25CB5"/>
    <w:rsid w:val="00C26117"/>
    <w:rsid w:val="00C26372"/>
    <w:rsid w:val="00C265E2"/>
    <w:rsid w:val="00C26FE8"/>
    <w:rsid w:val="00C270BC"/>
    <w:rsid w:val="00C272B7"/>
    <w:rsid w:val="00C2745B"/>
    <w:rsid w:val="00C2790F"/>
    <w:rsid w:val="00C27B7B"/>
    <w:rsid w:val="00C3005C"/>
    <w:rsid w:val="00C3011E"/>
    <w:rsid w:val="00C301F9"/>
    <w:rsid w:val="00C3027E"/>
    <w:rsid w:val="00C30385"/>
    <w:rsid w:val="00C303D0"/>
    <w:rsid w:val="00C308F2"/>
    <w:rsid w:val="00C310EC"/>
    <w:rsid w:val="00C310FA"/>
    <w:rsid w:val="00C31D54"/>
    <w:rsid w:val="00C32245"/>
    <w:rsid w:val="00C325A0"/>
    <w:rsid w:val="00C32F91"/>
    <w:rsid w:val="00C339B8"/>
    <w:rsid w:val="00C34034"/>
    <w:rsid w:val="00C34662"/>
    <w:rsid w:val="00C34B74"/>
    <w:rsid w:val="00C3665E"/>
    <w:rsid w:val="00C375F5"/>
    <w:rsid w:val="00C37894"/>
    <w:rsid w:val="00C37B47"/>
    <w:rsid w:val="00C37BF7"/>
    <w:rsid w:val="00C40222"/>
    <w:rsid w:val="00C40D97"/>
    <w:rsid w:val="00C40FE8"/>
    <w:rsid w:val="00C41726"/>
    <w:rsid w:val="00C42D3F"/>
    <w:rsid w:val="00C43472"/>
    <w:rsid w:val="00C43F8D"/>
    <w:rsid w:val="00C447E8"/>
    <w:rsid w:val="00C4486E"/>
    <w:rsid w:val="00C4538C"/>
    <w:rsid w:val="00C45437"/>
    <w:rsid w:val="00C4630E"/>
    <w:rsid w:val="00C46831"/>
    <w:rsid w:val="00C4771F"/>
    <w:rsid w:val="00C478AE"/>
    <w:rsid w:val="00C511CD"/>
    <w:rsid w:val="00C51520"/>
    <w:rsid w:val="00C5172E"/>
    <w:rsid w:val="00C5174D"/>
    <w:rsid w:val="00C51C0C"/>
    <w:rsid w:val="00C51CB2"/>
    <w:rsid w:val="00C52149"/>
    <w:rsid w:val="00C523AA"/>
    <w:rsid w:val="00C524CE"/>
    <w:rsid w:val="00C52798"/>
    <w:rsid w:val="00C527F1"/>
    <w:rsid w:val="00C52A5F"/>
    <w:rsid w:val="00C52C47"/>
    <w:rsid w:val="00C530F5"/>
    <w:rsid w:val="00C537A8"/>
    <w:rsid w:val="00C53DD4"/>
    <w:rsid w:val="00C54077"/>
    <w:rsid w:val="00C54545"/>
    <w:rsid w:val="00C5457C"/>
    <w:rsid w:val="00C54B1D"/>
    <w:rsid w:val="00C5525C"/>
    <w:rsid w:val="00C5527B"/>
    <w:rsid w:val="00C55289"/>
    <w:rsid w:val="00C55510"/>
    <w:rsid w:val="00C55B66"/>
    <w:rsid w:val="00C56647"/>
    <w:rsid w:val="00C57FA5"/>
    <w:rsid w:val="00C6005A"/>
    <w:rsid w:val="00C6010A"/>
    <w:rsid w:val="00C60EA7"/>
    <w:rsid w:val="00C61124"/>
    <w:rsid w:val="00C61B7C"/>
    <w:rsid w:val="00C61BB7"/>
    <w:rsid w:val="00C61EA2"/>
    <w:rsid w:val="00C62711"/>
    <w:rsid w:val="00C6271D"/>
    <w:rsid w:val="00C62B09"/>
    <w:rsid w:val="00C63292"/>
    <w:rsid w:val="00C634EF"/>
    <w:rsid w:val="00C64082"/>
    <w:rsid w:val="00C64E18"/>
    <w:rsid w:val="00C650A6"/>
    <w:rsid w:val="00C6510E"/>
    <w:rsid w:val="00C651F6"/>
    <w:rsid w:val="00C65496"/>
    <w:rsid w:val="00C6593C"/>
    <w:rsid w:val="00C659EF"/>
    <w:rsid w:val="00C66170"/>
    <w:rsid w:val="00C661B1"/>
    <w:rsid w:val="00C66472"/>
    <w:rsid w:val="00C66905"/>
    <w:rsid w:val="00C67115"/>
    <w:rsid w:val="00C6711B"/>
    <w:rsid w:val="00C672EC"/>
    <w:rsid w:val="00C679DF"/>
    <w:rsid w:val="00C67CF7"/>
    <w:rsid w:val="00C7007C"/>
    <w:rsid w:val="00C702CE"/>
    <w:rsid w:val="00C7052A"/>
    <w:rsid w:val="00C70608"/>
    <w:rsid w:val="00C70A79"/>
    <w:rsid w:val="00C71234"/>
    <w:rsid w:val="00C71CF7"/>
    <w:rsid w:val="00C71D50"/>
    <w:rsid w:val="00C72E04"/>
    <w:rsid w:val="00C732A5"/>
    <w:rsid w:val="00C73528"/>
    <w:rsid w:val="00C73A90"/>
    <w:rsid w:val="00C73C68"/>
    <w:rsid w:val="00C7498A"/>
    <w:rsid w:val="00C74D1E"/>
    <w:rsid w:val="00C74F4C"/>
    <w:rsid w:val="00C755A4"/>
    <w:rsid w:val="00C75AE7"/>
    <w:rsid w:val="00C766DA"/>
    <w:rsid w:val="00C7676B"/>
    <w:rsid w:val="00C7694D"/>
    <w:rsid w:val="00C76A99"/>
    <w:rsid w:val="00C76ADA"/>
    <w:rsid w:val="00C76FD4"/>
    <w:rsid w:val="00C777A4"/>
    <w:rsid w:val="00C808B3"/>
    <w:rsid w:val="00C810BD"/>
    <w:rsid w:val="00C81B13"/>
    <w:rsid w:val="00C82321"/>
    <w:rsid w:val="00C82991"/>
    <w:rsid w:val="00C82C5C"/>
    <w:rsid w:val="00C82CAB"/>
    <w:rsid w:val="00C82F1E"/>
    <w:rsid w:val="00C82F25"/>
    <w:rsid w:val="00C830C8"/>
    <w:rsid w:val="00C842BA"/>
    <w:rsid w:val="00C8437A"/>
    <w:rsid w:val="00C8515E"/>
    <w:rsid w:val="00C854E1"/>
    <w:rsid w:val="00C85612"/>
    <w:rsid w:val="00C8569A"/>
    <w:rsid w:val="00C85A6C"/>
    <w:rsid w:val="00C85C73"/>
    <w:rsid w:val="00C85D0D"/>
    <w:rsid w:val="00C85E16"/>
    <w:rsid w:val="00C85FAE"/>
    <w:rsid w:val="00C862F0"/>
    <w:rsid w:val="00C8662F"/>
    <w:rsid w:val="00C86E1B"/>
    <w:rsid w:val="00C87EE8"/>
    <w:rsid w:val="00C90D5C"/>
    <w:rsid w:val="00C90DD9"/>
    <w:rsid w:val="00C910F2"/>
    <w:rsid w:val="00C91615"/>
    <w:rsid w:val="00C9170E"/>
    <w:rsid w:val="00C91720"/>
    <w:rsid w:val="00C9196D"/>
    <w:rsid w:val="00C91DB7"/>
    <w:rsid w:val="00C91F9E"/>
    <w:rsid w:val="00C92053"/>
    <w:rsid w:val="00C9332B"/>
    <w:rsid w:val="00C93725"/>
    <w:rsid w:val="00C93915"/>
    <w:rsid w:val="00C93957"/>
    <w:rsid w:val="00C93A30"/>
    <w:rsid w:val="00C93B69"/>
    <w:rsid w:val="00C93DFC"/>
    <w:rsid w:val="00C93E9E"/>
    <w:rsid w:val="00C93FA6"/>
    <w:rsid w:val="00C94763"/>
    <w:rsid w:val="00C949C4"/>
    <w:rsid w:val="00C94D1F"/>
    <w:rsid w:val="00C959C9"/>
    <w:rsid w:val="00C95A7B"/>
    <w:rsid w:val="00C95E11"/>
    <w:rsid w:val="00C95FBE"/>
    <w:rsid w:val="00C960BC"/>
    <w:rsid w:val="00C9699C"/>
    <w:rsid w:val="00C970BA"/>
    <w:rsid w:val="00C975A0"/>
    <w:rsid w:val="00C97663"/>
    <w:rsid w:val="00C97D88"/>
    <w:rsid w:val="00CA0550"/>
    <w:rsid w:val="00CA0700"/>
    <w:rsid w:val="00CA0DBF"/>
    <w:rsid w:val="00CA1D75"/>
    <w:rsid w:val="00CA2215"/>
    <w:rsid w:val="00CA2352"/>
    <w:rsid w:val="00CA27E6"/>
    <w:rsid w:val="00CA3FC5"/>
    <w:rsid w:val="00CA420D"/>
    <w:rsid w:val="00CA4297"/>
    <w:rsid w:val="00CA4622"/>
    <w:rsid w:val="00CA462D"/>
    <w:rsid w:val="00CA48EB"/>
    <w:rsid w:val="00CA4A27"/>
    <w:rsid w:val="00CA4D74"/>
    <w:rsid w:val="00CA4DDF"/>
    <w:rsid w:val="00CA50E1"/>
    <w:rsid w:val="00CA5157"/>
    <w:rsid w:val="00CA530B"/>
    <w:rsid w:val="00CA54C5"/>
    <w:rsid w:val="00CA58B3"/>
    <w:rsid w:val="00CA5C96"/>
    <w:rsid w:val="00CA5E44"/>
    <w:rsid w:val="00CA6548"/>
    <w:rsid w:val="00CA656E"/>
    <w:rsid w:val="00CA6744"/>
    <w:rsid w:val="00CA6902"/>
    <w:rsid w:val="00CA7126"/>
    <w:rsid w:val="00CA7A39"/>
    <w:rsid w:val="00CA7F4F"/>
    <w:rsid w:val="00CB0404"/>
    <w:rsid w:val="00CB067B"/>
    <w:rsid w:val="00CB0A85"/>
    <w:rsid w:val="00CB0C7B"/>
    <w:rsid w:val="00CB1214"/>
    <w:rsid w:val="00CB1817"/>
    <w:rsid w:val="00CB1D46"/>
    <w:rsid w:val="00CB1D96"/>
    <w:rsid w:val="00CB2142"/>
    <w:rsid w:val="00CB26A1"/>
    <w:rsid w:val="00CB26D2"/>
    <w:rsid w:val="00CB2A54"/>
    <w:rsid w:val="00CB2CCC"/>
    <w:rsid w:val="00CB3106"/>
    <w:rsid w:val="00CB3317"/>
    <w:rsid w:val="00CB3465"/>
    <w:rsid w:val="00CB352F"/>
    <w:rsid w:val="00CB3B91"/>
    <w:rsid w:val="00CB3C24"/>
    <w:rsid w:val="00CB3E77"/>
    <w:rsid w:val="00CB4513"/>
    <w:rsid w:val="00CB5005"/>
    <w:rsid w:val="00CB51D2"/>
    <w:rsid w:val="00CB660F"/>
    <w:rsid w:val="00CB6643"/>
    <w:rsid w:val="00CB6BB2"/>
    <w:rsid w:val="00CB6FAA"/>
    <w:rsid w:val="00CC0A8B"/>
    <w:rsid w:val="00CC0E3E"/>
    <w:rsid w:val="00CC1690"/>
    <w:rsid w:val="00CC1F96"/>
    <w:rsid w:val="00CC2227"/>
    <w:rsid w:val="00CC264E"/>
    <w:rsid w:val="00CC2EBA"/>
    <w:rsid w:val="00CC2EE7"/>
    <w:rsid w:val="00CC43E8"/>
    <w:rsid w:val="00CC44FF"/>
    <w:rsid w:val="00CC4A08"/>
    <w:rsid w:val="00CC4F6C"/>
    <w:rsid w:val="00CC56A9"/>
    <w:rsid w:val="00CC5EA7"/>
    <w:rsid w:val="00CC5F05"/>
    <w:rsid w:val="00CC7297"/>
    <w:rsid w:val="00CC772F"/>
    <w:rsid w:val="00CC7CBD"/>
    <w:rsid w:val="00CD0C96"/>
    <w:rsid w:val="00CD0E03"/>
    <w:rsid w:val="00CD1501"/>
    <w:rsid w:val="00CD17B8"/>
    <w:rsid w:val="00CD184D"/>
    <w:rsid w:val="00CD19DA"/>
    <w:rsid w:val="00CD19F8"/>
    <w:rsid w:val="00CD1B50"/>
    <w:rsid w:val="00CD1E18"/>
    <w:rsid w:val="00CD20A4"/>
    <w:rsid w:val="00CD257F"/>
    <w:rsid w:val="00CD302B"/>
    <w:rsid w:val="00CD31DB"/>
    <w:rsid w:val="00CD3321"/>
    <w:rsid w:val="00CD36F0"/>
    <w:rsid w:val="00CD41B8"/>
    <w:rsid w:val="00CD4289"/>
    <w:rsid w:val="00CD45A9"/>
    <w:rsid w:val="00CD4702"/>
    <w:rsid w:val="00CD4B06"/>
    <w:rsid w:val="00CD507C"/>
    <w:rsid w:val="00CD55D9"/>
    <w:rsid w:val="00CD5BDE"/>
    <w:rsid w:val="00CD6314"/>
    <w:rsid w:val="00CD6410"/>
    <w:rsid w:val="00CD6A9A"/>
    <w:rsid w:val="00CD6CA1"/>
    <w:rsid w:val="00CD78F7"/>
    <w:rsid w:val="00CD7BA0"/>
    <w:rsid w:val="00CD7C95"/>
    <w:rsid w:val="00CE04C5"/>
    <w:rsid w:val="00CE09DA"/>
    <w:rsid w:val="00CE0A8B"/>
    <w:rsid w:val="00CE0AF4"/>
    <w:rsid w:val="00CE0FCB"/>
    <w:rsid w:val="00CE1347"/>
    <w:rsid w:val="00CE13DA"/>
    <w:rsid w:val="00CE1632"/>
    <w:rsid w:val="00CE1A2B"/>
    <w:rsid w:val="00CE1BF4"/>
    <w:rsid w:val="00CE221F"/>
    <w:rsid w:val="00CE24E5"/>
    <w:rsid w:val="00CE2D0E"/>
    <w:rsid w:val="00CE32A8"/>
    <w:rsid w:val="00CE382B"/>
    <w:rsid w:val="00CE3CF8"/>
    <w:rsid w:val="00CE4ADB"/>
    <w:rsid w:val="00CE4FB0"/>
    <w:rsid w:val="00CE5244"/>
    <w:rsid w:val="00CE524E"/>
    <w:rsid w:val="00CE5888"/>
    <w:rsid w:val="00CE58BC"/>
    <w:rsid w:val="00CE5A35"/>
    <w:rsid w:val="00CE6155"/>
    <w:rsid w:val="00CE6581"/>
    <w:rsid w:val="00CE684D"/>
    <w:rsid w:val="00CE68C9"/>
    <w:rsid w:val="00CE6AC6"/>
    <w:rsid w:val="00CE6BCD"/>
    <w:rsid w:val="00CE6FA3"/>
    <w:rsid w:val="00CE71A9"/>
    <w:rsid w:val="00CE79DE"/>
    <w:rsid w:val="00CE7B49"/>
    <w:rsid w:val="00CE7EBC"/>
    <w:rsid w:val="00CF052D"/>
    <w:rsid w:val="00CF0E27"/>
    <w:rsid w:val="00CF1446"/>
    <w:rsid w:val="00CF2019"/>
    <w:rsid w:val="00CF2658"/>
    <w:rsid w:val="00CF2F40"/>
    <w:rsid w:val="00CF3488"/>
    <w:rsid w:val="00CF37BD"/>
    <w:rsid w:val="00CF3D4E"/>
    <w:rsid w:val="00CF3EA2"/>
    <w:rsid w:val="00CF490C"/>
    <w:rsid w:val="00CF56BA"/>
    <w:rsid w:val="00CF5804"/>
    <w:rsid w:val="00CF6388"/>
    <w:rsid w:val="00CF65D6"/>
    <w:rsid w:val="00CF660D"/>
    <w:rsid w:val="00CF7023"/>
    <w:rsid w:val="00CF7265"/>
    <w:rsid w:val="00D00837"/>
    <w:rsid w:val="00D00846"/>
    <w:rsid w:val="00D01062"/>
    <w:rsid w:val="00D01100"/>
    <w:rsid w:val="00D0164B"/>
    <w:rsid w:val="00D01E2D"/>
    <w:rsid w:val="00D020FC"/>
    <w:rsid w:val="00D021FA"/>
    <w:rsid w:val="00D03656"/>
    <w:rsid w:val="00D036C9"/>
    <w:rsid w:val="00D04EB4"/>
    <w:rsid w:val="00D04FDA"/>
    <w:rsid w:val="00D05211"/>
    <w:rsid w:val="00D058EE"/>
    <w:rsid w:val="00D0608F"/>
    <w:rsid w:val="00D066E8"/>
    <w:rsid w:val="00D07131"/>
    <w:rsid w:val="00D077A5"/>
    <w:rsid w:val="00D07DEF"/>
    <w:rsid w:val="00D07EC8"/>
    <w:rsid w:val="00D10822"/>
    <w:rsid w:val="00D108AF"/>
    <w:rsid w:val="00D10DCD"/>
    <w:rsid w:val="00D11010"/>
    <w:rsid w:val="00D115A8"/>
    <w:rsid w:val="00D119BD"/>
    <w:rsid w:val="00D11C3A"/>
    <w:rsid w:val="00D11EA5"/>
    <w:rsid w:val="00D1288F"/>
    <w:rsid w:val="00D133BF"/>
    <w:rsid w:val="00D13696"/>
    <w:rsid w:val="00D13983"/>
    <w:rsid w:val="00D13C6D"/>
    <w:rsid w:val="00D13D0D"/>
    <w:rsid w:val="00D13D3B"/>
    <w:rsid w:val="00D13F3A"/>
    <w:rsid w:val="00D14800"/>
    <w:rsid w:val="00D15A02"/>
    <w:rsid w:val="00D16A49"/>
    <w:rsid w:val="00D16BC2"/>
    <w:rsid w:val="00D1706D"/>
    <w:rsid w:val="00D17D69"/>
    <w:rsid w:val="00D17E19"/>
    <w:rsid w:val="00D20039"/>
    <w:rsid w:val="00D203B5"/>
    <w:rsid w:val="00D2048F"/>
    <w:rsid w:val="00D2068F"/>
    <w:rsid w:val="00D20A0A"/>
    <w:rsid w:val="00D20AF8"/>
    <w:rsid w:val="00D20D2D"/>
    <w:rsid w:val="00D20E15"/>
    <w:rsid w:val="00D20F51"/>
    <w:rsid w:val="00D2145E"/>
    <w:rsid w:val="00D2162F"/>
    <w:rsid w:val="00D21717"/>
    <w:rsid w:val="00D22AD8"/>
    <w:rsid w:val="00D22B54"/>
    <w:rsid w:val="00D22CD8"/>
    <w:rsid w:val="00D230AE"/>
    <w:rsid w:val="00D23F61"/>
    <w:rsid w:val="00D244DF"/>
    <w:rsid w:val="00D2472C"/>
    <w:rsid w:val="00D2487E"/>
    <w:rsid w:val="00D24AF3"/>
    <w:rsid w:val="00D256B2"/>
    <w:rsid w:val="00D258C2"/>
    <w:rsid w:val="00D258FC"/>
    <w:rsid w:val="00D25936"/>
    <w:rsid w:val="00D26226"/>
    <w:rsid w:val="00D264FC"/>
    <w:rsid w:val="00D26B77"/>
    <w:rsid w:val="00D26B90"/>
    <w:rsid w:val="00D2711C"/>
    <w:rsid w:val="00D272A2"/>
    <w:rsid w:val="00D27412"/>
    <w:rsid w:val="00D27985"/>
    <w:rsid w:val="00D27FA3"/>
    <w:rsid w:val="00D30236"/>
    <w:rsid w:val="00D30C97"/>
    <w:rsid w:val="00D31AA6"/>
    <w:rsid w:val="00D328B7"/>
    <w:rsid w:val="00D329DD"/>
    <w:rsid w:val="00D32CF6"/>
    <w:rsid w:val="00D33319"/>
    <w:rsid w:val="00D336DD"/>
    <w:rsid w:val="00D33CA0"/>
    <w:rsid w:val="00D34883"/>
    <w:rsid w:val="00D34CA6"/>
    <w:rsid w:val="00D35174"/>
    <w:rsid w:val="00D357B7"/>
    <w:rsid w:val="00D35B47"/>
    <w:rsid w:val="00D36C43"/>
    <w:rsid w:val="00D36C9C"/>
    <w:rsid w:val="00D370A7"/>
    <w:rsid w:val="00D3753B"/>
    <w:rsid w:val="00D37668"/>
    <w:rsid w:val="00D408CA"/>
    <w:rsid w:val="00D41342"/>
    <w:rsid w:val="00D4144F"/>
    <w:rsid w:val="00D41849"/>
    <w:rsid w:val="00D42019"/>
    <w:rsid w:val="00D42242"/>
    <w:rsid w:val="00D42F4C"/>
    <w:rsid w:val="00D43092"/>
    <w:rsid w:val="00D438CC"/>
    <w:rsid w:val="00D43C98"/>
    <w:rsid w:val="00D43FB4"/>
    <w:rsid w:val="00D44AF3"/>
    <w:rsid w:val="00D44BF4"/>
    <w:rsid w:val="00D44C2A"/>
    <w:rsid w:val="00D4515C"/>
    <w:rsid w:val="00D45565"/>
    <w:rsid w:val="00D4583C"/>
    <w:rsid w:val="00D462BC"/>
    <w:rsid w:val="00D4642D"/>
    <w:rsid w:val="00D466A9"/>
    <w:rsid w:val="00D466B8"/>
    <w:rsid w:val="00D46DC8"/>
    <w:rsid w:val="00D471AE"/>
    <w:rsid w:val="00D503D9"/>
    <w:rsid w:val="00D50473"/>
    <w:rsid w:val="00D50B5B"/>
    <w:rsid w:val="00D50B8A"/>
    <w:rsid w:val="00D50DEA"/>
    <w:rsid w:val="00D51291"/>
    <w:rsid w:val="00D514AB"/>
    <w:rsid w:val="00D51AEB"/>
    <w:rsid w:val="00D51F65"/>
    <w:rsid w:val="00D525FE"/>
    <w:rsid w:val="00D52730"/>
    <w:rsid w:val="00D53387"/>
    <w:rsid w:val="00D533A3"/>
    <w:rsid w:val="00D53ADA"/>
    <w:rsid w:val="00D53B32"/>
    <w:rsid w:val="00D54BDF"/>
    <w:rsid w:val="00D54BFF"/>
    <w:rsid w:val="00D5501A"/>
    <w:rsid w:val="00D553D2"/>
    <w:rsid w:val="00D55775"/>
    <w:rsid w:val="00D55B77"/>
    <w:rsid w:val="00D55CFF"/>
    <w:rsid w:val="00D55D55"/>
    <w:rsid w:val="00D56331"/>
    <w:rsid w:val="00D56577"/>
    <w:rsid w:val="00D566C0"/>
    <w:rsid w:val="00D568BC"/>
    <w:rsid w:val="00D56DD0"/>
    <w:rsid w:val="00D56FCF"/>
    <w:rsid w:val="00D57488"/>
    <w:rsid w:val="00D57789"/>
    <w:rsid w:val="00D57906"/>
    <w:rsid w:val="00D579E9"/>
    <w:rsid w:val="00D57A97"/>
    <w:rsid w:val="00D57C4D"/>
    <w:rsid w:val="00D57C66"/>
    <w:rsid w:val="00D601B4"/>
    <w:rsid w:val="00D6059E"/>
    <w:rsid w:val="00D60BCB"/>
    <w:rsid w:val="00D60F53"/>
    <w:rsid w:val="00D6162F"/>
    <w:rsid w:val="00D61895"/>
    <w:rsid w:val="00D6204E"/>
    <w:rsid w:val="00D62669"/>
    <w:rsid w:val="00D629BF"/>
    <w:rsid w:val="00D63AA8"/>
    <w:rsid w:val="00D63AD3"/>
    <w:rsid w:val="00D63E1E"/>
    <w:rsid w:val="00D64744"/>
    <w:rsid w:val="00D64D53"/>
    <w:rsid w:val="00D64FC4"/>
    <w:rsid w:val="00D656C5"/>
    <w:rsid w:val="00D65D6E"/>
    <w:rsid w:val="00D65D94"/>
    <w:rsid w:val="00D663B7"/>
    <w:rsid w:val="00D6644A"/>
    <w:rsid w:val="00D66900"/>
    <w:rsid w:val="00D67755"/>
    <w:rsid w:val="00D67826"/>
    <w:rsid w:val="00D67A50"/>
    <w:rsid w:val="00D70344"/>
    <w:rsid w:val="00D70DFA"/>
    <w:rsid w:val="00D70EBE"/>
    <w:rsid w:val="00D7142C"/>
    <w:rsid w:val="00D71C6E"/>
    <w:rsid w:val="00D71C7C"/>
    <w:rsid w:val="00D71DA9"/>
    <w:rsid w:val="00D71E75"/>
    <w:rsid w:val="00D723C2"/>
    <w:rsid w:val="00D727D8"/>
    <w:rsid w:val="00D729DF"/>
    <w:rsid w:val="00D7322D"/>
    <w:rsid w:val="00D73288"/>
    <w:rsid w:val="00D73D89"/>
    <w:rsid w:val="00D74079"/>
    <w:rsid w:val="00D74A30"/>
    <w:rsid w:val="00D7523E"/>
    <w:rsid w:val="00D7609E"/>
    <w:rsid w:val="00D76186"/>
    <w:rsid w:val="00D762A2"/>
    <w:rsid w:val="00D762AC"/>
    <w:rsid w:val="00D76B4C"/>
    <w:rsid w:val="00D76DC8"/>
    <w:rsid w:val="00D77CD9"/>
    <w:rsid w:val="00D8023A"/>
    <w:rsid w:val="00D80412"/>
    <w:rsid w:val="00D80955"/>
    <w:rsid w:val="00D80FB0"/>
    <w:rsid w:val="00D810C2"/>
    <w:rsid w:val="00D81898"/>
    <w:rsid w:val="00D81D22"/>
    <w:rsid w:val="00D81DD3"/>
    <w:rsid w:val="00D82B3F"/>
    <w:rsid w:val="00D835BB"/>
    <w:rsid w:val="00D84356"/>
    <w:rsid w:val="00D84C1B"/>
    <w:rsid w:val="00D8509E"/>
    <w:rsid w:val="00D85C35"/>
    <w:rsid w:val="00D85DD7"/>
    <w:rsid w:val="00D85F3E"/>
    <w:rsid w:val="00D861C9"/>
    <w:rsid w:val="00D86227"/>
    <w:rsid w:val="00D86315"/>
    <w:rsid w:val="00D864D6"/>
    <w:rsid w:val="00D86668"/>
    <w:rsid w:val="00D87171"/>
    <w:rsid w:val="00D903B3"/>
    <w:rsid w:val="00D90401"/>
    <w:rsid w:val="00D906FA"/>
    <w:rsid w:val="00D913E2"/>
    <w:rsid w:val="00D9146A"/>
    <w:rsid w:val="00D91477"/>
    <w:rsid w:val="00D91C57"/>
    <w:rsid w:val="00D91E55"/>
    <w:rsid w:val="00D92A2D"/>
    <w:rsid w:val="00D92C30"/>
    <w:rsid w:val="00D9300F"/>
    <w:rsid w:val="00D93ECE"/>
    <w:rsid w:val="00D94013"/>
    <w:rsid w:val="00D951B5"/>
    <w:rsid w:val="00D95221"/>
    <w:rsid w:val="00D95265"/>
    <w:rsid w:val="00D95493"/>
    <w:rsid w:val="00D959DE"/>
    <w:rsid w:val="00D95CCF"/>
    <w:rsid w:val="00D95E7E"/>
    <w:rsid w:val="00D9679C"/>
    <w:rsid w:val="00D96868"/>
    <w:rsid w:val="00D96A3C"/>
    <w:rsid w:val="00D97417"/>
    <w:rsid w:val="00D97D17"/>
    <w:rsid w:val="00DA020B"/>
    <w:rsid w:val="00DA0822"/>
    <w:rsid w:val="00DA1223"/>
    <w:rsid w:val="00DA1511"/>
    <w:rsid w:val="00DA1A79"/>
    <w:rsid w:val="00DA21A4"/>
    <w:rsid w:val="00DA275E"/>
    <w:rsid w:val="00DA2D51"/>
    <w:rsid w:val="00DA320D"/>
    <w:rsid w:val="00DA3803"/>
    <w:rsid w:val="00DA38FA"/>
    <w:rsid w:val="00DA4526"/>
    <w:rsid w:val="00DA473A"/>
    <w:rsid w:val="00DA47F4"/>
    <w:rsid w:val="00DA544A"/>
    <w:rsid w:val="00DA5EDA"/>
    <w:rsid w:val="00DA6298"/>
    <w:rsid w:val="00DA7238"/>
    <w:rsid w:val="00DA7332"/>
    <w:rsid w:val="00DA74DE"/>
    <w:rsid w:val="00DB088F"/>
    <w:rsid w:val="00DB0BAB"/>
    <w:rsid w:val="00DB0C62"/>
    <w:rsid w:val="00DB0DBD"/>
    <w:rsid w:val="00DB0E59"/>
    <w:rsid w:val="00DB118E"/>
    <w:rsid w:val="00DB15F5"/>
    <w:rsid w:val="00DB1CFD"/>
    <w:rsid w:val="00DB1DBE"/>
    <w:rsid w:val="00DB2E78"/>
    <w:rsid w:val="00DB303B"/>
    <w:rsid w:val="00DB4527"/>
    <w:rsid w:val="00DB4A01"/>
    <w:rsid w:val="00DB4DB1"/>
    <w:rsid w:val="00DB5028"/>
    <w:rsid w:val="00DB52B2"/>
    <w:rsid w:val="00DB5416"/>
    <w:rsid w:val="00DB54F2"/>
    <w:rsid w:val="00DB5BB7"/>
    <w:rsid w:val="00DB67C2"/>
    <w:rsid w:val="00DB6D52"/>
    <w:rsid w:val="00DB7310"/>
    <w:rsid w:val="00DB7D0E"/>
    <w:rsid w:val="00DB7D13"/>
    <w:rsid w:val="00DB7FB5"/>
    <w:rsid w:val="00DC0055"/>
    <w:rsid w:val="00DC009C"/>
    <w:rsid w:val="00DC03AA"/>
    <w:rsid w:val="00DC04C5"/>
    <w:rsid w:val="00DC08C1"/>
    <w:rsid w:val="00DC12E5"/>
    <w:rsid w:val="00DC15DF"/>
    <w:rsid w:val="00DC16DB"/>
    <w:rsid w:val="00DC1959"/>
    <w:rsid w:val="00DC1EB5"/>
    <w:rsid w:val="00DC2601"/>
    <w:rsid w:val="00DC26BF"/>
    <w:rsid w:val="00DC2A06"/>
    <w:rsid w:val="00DC2BAE"/>
    <w:rsid w:val="00DC3407"/>
    <w:rsid w:val="00DC3456"/>
    <w:rsid w:val="00DC3A8C"/>
    <w:rsid w:val="00DC4070"/>
    <w:rsid w:val="00DC4168"/>
    <w:rsid w:val="00DC467F"/>
    <w:rsid w:val="00DC48F2"/>
    <w:rsid w:val="00DC4A4C"/>
    <w:rsid w:val="00DC4C38"/>
    <w:rsid w:val="00DC512A"/>
    <w:rsid w:val="00DC5A5D"/>
    <w:rsid w:val="00DC692C"/>
    <w:rsid w:val="00DC6DAE"/>
    <w:rsid w:val="00DC6EFF"/>
    <w:rsid w:val="00DC70B3"/>
    <w:rsid w:val="00DD0A55"/>
    <w:rsid w:val="00DD0BD2"/>
    <w:rsid w:val="00DD0E80"/>
    <w:rsid w:val="00DD1119"/>
    <w:rsid w:val="00DD1829"/>
    <w:rsid w:val="00DD1863"/>
    <w:rsid w:val="00DD2241"/>
    <w:rsid w:val="00DD25A6"/>
    <w:rsid w:val="00DD2B9E"/>
    <w:rsid w:val="00DD313D"/>
    <w:rsid w:val="00DD33C1"/>
    <w:rsid w:val="00DD340F"/>
    <w:rsid w:val="00DD3EF2"/>
    <w:rsid w:val="00DD4367"/>
    <w:rsid w:val="00DD4410"/>
    <w:rsid w:val="00DD4704"/>
    <w:rsid w:val="00DD4B2B"/>
    <w:rsid w:val="00DD4C96"/>
    <w:rsid w:val="00DD55F0"/>
    <w:rsid w:val="00DD5946"/>
    <w:rsid w:val="00DD6226"/>
    <w:rsid w:val="00DD63A8"/>
    <w:rsid w:val="00DD6483"/>
    <w:rsid w:val="00DD6543"/>
    <w:rsid w:val="00DD70E1"/>
    <w:rsid w:val="00DD7553"/>
    <w:rsid w:val="00DE04B4"/>
    <w:rsid w:val="00DE114F"/>
    <w:rsid w:val="00DE1B5F"/>
    <w:rsid w:val="00DE2240"/>
    <w:rsid w:val="00DE2361"/>
    <w:rsid w:val="00DE2542"/>
    <w:rsid w:val="00DE2557"/>
    <w:rsid w:val="00DE2B9F"/>
    <w:rsid w:val="00DE2C30"/>
    <w:rsid w:val="00DE2F6A"/>
    <w:rsid w:val="00DE3C6D"/>
    <w:rsid w:val="00DE4317"/>
    <w:rsid w:val="00DE4B58"/>
    <w:rsid w:val="00DE51CB"/>
    <w:rsid w:val="00DE51E5"/>
    <w:rsid w:val="00DE5535"/>
    <w:rsid w:val="00DE603D"/>
    <w:rsid w:val="00DE62A6"/>
    <w:rsid w:val="00DE658B"/>
    <w:rsid w:val="00DE6E7D"/>
    <w:rsid w:val="00DE6F59"/>
    <w:rsid w:val="00DE7146"/>
    <w:rsid w:val="00DE72B5"/>
    <w:rsid w:val="00DE7CFF"/>
    <w:rsid w:val="00DF05CD"/>
    <w:rsid w:val="00DF07DD"/>
    <w:rsid w:val="00DF0C56"/>
    <w:rsid w:val="00DF1102"/>
    <w:rsid w:val="00DF1219"/>
    <w:rsid w:val="00DF1962"/>
    <w:rsid w:val="00DF1CBD"/>
    <w:rsid w:val="00DF1EA3"/>
    <w:rsid w:val="00DF21C2"/>
    <w:rsid w:val="00DF21FD"/>
    <w:rsid w:val="00DF2531"/>
    <w:rsid w:val="00DF272F"/>
    <w:rsid w:val="00DF3129"/>
    <w:rsid w:val="00DF3625"/>
    <w:rsid w:val="00DF38E9"/>
    <w:rsid w:val="00DF4AE4"/>
    <w:rsid w:val="00DF4BA9"/>
    <w:rsid w:val="00DF5523"/>
    <w:rsid w:val="00DF6476"/>
    <w:rsid w:val="00DF66C5"/>
    <w:rsid w:val="00DF6BFC"/>
    <w:rsid w:val="00DF765F"/>
    <w:rsid w:val="00DF76E1"/>
    <w:rsid w:val="00DF7803"/>
    <w:rsid w:val="00DF78FB"/>
    <w:rsid w:val="00DF7DBB"/>
    <w:rsid w:val="00DF7EAA"/>
    <w:rsid w:val="00E00093"/>
    <w:rsid w:val="00E00108"/>
    <w:rsid w:val="00E006D6"/>
    <w:rsid w:val="00E0095E"/>
    <w:rsid w:val="00E00D58"/>
    <w:rsid w:val="00E01398"/>
    <w:rsid w:val="00E01408"/>
    <w:rsid w:val="00E015C4"/>
    <w:rsid w:val="00E016E3"/>
    <w:rsid w:val="00E01C41"/>
    <w:rsid w:val="00E01D75"/>
    <w:rsid w:val="00E021CA"/>
    <w:rsid w:val="00E02511"/>
    <w:rsid w:val="00E0282B"/>
    <w:rsid w:val="00E028BF"/>
    <w:rsid w:val="00E02948"/>
    <w:rsid w:val="00E03135"/>
    <w:rsid w:val="00E034A0"/>
    <w:rsid w:val="00E039F8"/>
    <w:rsid w:val="00E03E0A"/>
    <w:rsid w:val="00E041AB"/>
    <w:rsid w:val="00E04A74"/>
    <w:rsid w:val="00E04DD9"/>
    <w:rsid w:val="00E05BBF"/>
    <w:rsid w:val="00E061C8"/>
    <w:rsid w:val="00E062DE"/>
    <w:rsid w:val="00E064FE"/>
    <w:rsid w:val="00E06727"/>
    <w:rsid w:val="00E0692B"/>
    <w:rsid w:val="00E07BA1"/>
    <w:rsid w:val="00E07D2F"/>
    <w:rsid w:val="00E10901"/>
    <w:rsid w:val="00E11269"/>
    <w:rsid w:val="00E1167A"/>
    <w:rsid w:val="00E1196A"/>
    <w:rsid w:val="00E11E64"/>
    <w:rsid w:val="00E127C1"/>
    <w:rsid w:val="00E12F02"/>
    <w:rsid w:val="00E131FA"/>
    <w:rsid w:val="00E13A48"/>
    <w:rsid w:val="00E1472B"/>
    <w:rsid w:val="00E14821"/>
    <w:rsid w:val="00E14CAF"/>
    <w:rsid w:val="00E14E29"/>
    <w:rsid w:val="00E153CB"/>
    <w:rsid w:val="00E15867"/>
    <w:rsid w:val="00E15AEB"/>
    <w:rsid w:val="00E15CC2"/>
    <w:rsid w:val="00E165CB"/>
    <w:rsid w:val="00E16E38"/>
    <w:rsid w:val="00E173DA"/>
    <w:rsid w:val="00E17AF4"/>
    <w:rsid w:val="00E17C96"/>
    <w:rsid w:val="00E20A99"/>
    <w:rsid w:val="00E20C3B"/>
    <w:rsid w:val="00E2165C"/>
    <w:rsid w:val="00E21AE1"/>
    <w:rsid w:val="00E22921"/>
    <w:rsid w:val="00E2322B"/>
    <w:rsid w:val="00E23D6A"/>
    <w:rsid w:val="00E24291"/>
    <w:rsid w:val="00E2432E"/>
    <w:rsid w:val="00E24862"/>
    <w:rsid w:val="00E24B5A"/>
    <w:rsid w:val="00E25164"/>
    <w:rsid w:val="00E25526"/>
    <w:rsid w:val="00E257E2"/>
    <w:rsid w:val="00E25CF7"/>
    <w:rsid w:val="00E260B7"/>
    <w:rsid w:val="00E261A6"/>
    <w:rsid w:val="00E268DB"/>
    <w:rsid w:val="00E26A6C"/>
    <w:rsid w:val="00E26E7E"/>
    <w:rsid w:val="00E2714B"/>
    <w:rsid w:val="00E30191"/>
    <w:rsid w:val="00E30301"/>
    <w:rsid w:val="00E305F3"/>
    <w:rsid w:val="00E3131C"/>
    <w:rsid w:val="00E31A46"/>
    <w:rsid w:val="00E31A82"/>
    <w:rsid w:val="00E31AF4"/>
    <w:rsid w:val="00E31B85"/>
    <w:rsid w:val="00E31D06"/>
    <w:rsid w:val="00E322FD"/>
    <w:rsid w:val="00E325E1"/>
    <w:rsid w:val="00E32FBB"/>
    <w:rsid w:val="00E33884"/>
    <w:rsid w:val="00E34201"/>
    <w:rsid w:val="00E3486C"/>
    <w:rsid w:val="00E349D1"/>
    <w:rsid w:val="00E34D75"/>
    <w:rsid w:val="00E351D2"/>
    <w:rsid w:val="00E35244"/>
    <w:rsid w:val="00E3579E"/>
    <w:rsid w:val="00E35C79"/>
    <w:rsid w:val="00E37235"/>
    <w:rsid w:val="00E3757B"/>
    <w:rsid w:val="00E37E6A"/>
    <w:rsid w:val="00E40230"/>
    <w:rsid w:val="00E40900"/>
    <w:rsid w:val="00E40A6E"/>
    <w:rsid w:val="00E4148A"/>
    <w:rsid w:val="00E41536"/>
    <w:rsid w:val="00E419AE"/>
    <w:rsid w:val="00E4221C"/>
    <w:rsid w:val="00E4250D"/>
    <w:rsid w:val="00E42DC2"/>
    <w:rsid w:val="00E4347F"/>
    <w:rsid w:val="00E442AA"/>
    <w:rsid w:val="00E4435E"/>
    <w:rsid w:val="00E444C1"/>
    <w:rsid w:val="00E44A29"/>
    <w:rsid w:val="00E44DCF"/>
    <w:rsid w:val="00E45EC3"/>
    <w:rsid w:val="00E46111"/>
    <w:rsid w:val="00E4660C"/>
    <w:rsid w:val="00E46E3C"/>
    <w:rsid w:val="00E5052B"/>
    <w:rsid w:val="00E51B27"/>
    <w:rsid w:val="00E51C4F"/>
    <w:rsid w:val="00E52369"/>
    <w:rsid w:val="00E52639"/>
    <w:rsid w:val="00E5292C"/>
    <w:rsid w:val="00E52BDA"/>
    <w:rsid w:val="00E52C07"/>
    <w:rsid w:val="00E52E7D"/>
    <w:rsid w:val="00E5348B"/>
    <w:rsid w:val="00E534C8"/>
    <w:rsid w:val="00E53C52"/>
    <w:rsid w:val="00E54692"/>
    <w:rsid w:val="00E54CCD"/>
    <w:rsid w:val="00E5557A"/>
    <w:rsid w:val="00E555DC"/>
    <w:rsid w:val="00E55924"/>
    <w:rsid w:val="00E55C68"/>
    <w:rsid w:val="00E5617F"/>
    <w:rsid w:val="00E567C0"/>
    <w:rsid w:val="00E56BA9"/>
    <w:rsid w:val="00E56FA6"/>
    <w:rsid w:val="00E57004"/>
    <w:rsid w:val="00E57314"/>
    <w:rsid w:val="00E6036E"/>
    <w:rsid w:val="00E61001"/>
    <w:rsid w:val="00E610DD"/>
    <w:rsid w:val="00E616B9"/>
    <w:rsid w:val="00E616F9"/>
    <w:rsid w:val="00E61816"/>
    <w:rsid w:val="00E61B36"/>
    <w:rsid w:val="00E61D60"/>
    <w:rsid w:val="00E6219B"/>
    <w:rsid w:val="00E638A6"/>
    <w:rsid w:val="00E6399B"/>
    <w:rsid w:val="00E63D8F"/>
    <w:rsid w:val="00E63FE4"/>
    <w:rsid w:val="00E6409B"/>
    <w:rsid w:val="00E64457"/>
    <w:rsid w:val="00E65125"/>
    <w:rsid w:val="00E65154"/>
    <w:rsid w:val="00E65492"/>
    <w:rsid w:val="00E663C8"/>
    <w:rsid w:val="00E6685C"/>
    <w:rsid w:val="00E70A08"/>
    <w:rsid w:val="00E70D42"/>
    <w:rsid w:val="00E7128A"/>
    <w:rsid w:val="00E713BF"/>
    <w:rsid w:val="00E71429"/>
    <w:rsid w:val="00E71CCF"/>
    <w:rsid w:val="00E72028"/>
    <w:rsid w:val="00E72AD2"/>
    <w:rsid w:val="00E72E6C"/>
    <w:rsid w:val="00E73156"/>
    <w:rsid w:val="00E731DE"/>
    <w:rsid w:val="00E73338"/>
    <w:rsid w:val="00E7448A"/>
    <w:rsid w:val="00E744EE"/>
    <w:rsid w:val="00E748D2"/>
    <w:rsid w:val="00E74C13"/>
    <w:rsid w:val="00E751EB"/>
    <w:rsid w:val="00E75C1F"/>
    <w:rsid w:val="00E76C88"/>
    <w:rsid w:val="00E76DEA"/>
    <w:rsid w:val="00E771E7"/>
    <w:rsid w:val="00E775CF"/>
    <w:rsid w:val="00E77851"/>
    <w:rsid w:val="00E77F70"/>
    <w:rsid w:val="00E80014"/>
    <w:rsid w:val="00E802C6"/>
    <w:rsid w:val="00E8070C"/>
    <w:rsid w:val="00E80C2E"/>
    <w:rsid w:val="00E81328"/>
    <w:rsid w:val="00E82669"/>
    <w:rsid w:val="00E8298F"/>
    <w:rsid w:val="00E82D60"/>
    <w:rsid w:val="00E83437"/>
    <w:rsid w:val="00E83AE1"/>
    <w:rsid w:val="00E83D5A"/>
    <w:rsid w:val="00E84308"/>
    <w:rsid w:val="00E8482D"/>
    <w:rsid w:val="00E848F7"/>
    <w:rsid w:val="00E84B2E"/>
    <w:rsid w:val="00E84BAF"/>
    <w:rsid w:val="00E85C83"/>
    <w:rsid w:val="00E86CA6"/>
    <w:rsid w:val="00E86EFC"/>
    <w:rsid w:val="00E8746C"/>
    <w:rsid w:val="00E879F8"/>
    <w:rsid w:val="00E87D72"/>
    <w:rsid w:val="00E90248"/>
    <w:rsid w:val="00E90947"/>
    <w:rsid w:val="00E90987"/>
    <w:rsid w:val="00E90DEF"/>
    <w:rsid w:val="00E90E41"/>
    <w:rsid w:val="00E910A1"/>
    <w:rsid w:val="00E91BDB"/>
    <w:rsid w:val="00E93032"/>
    <w:rsid w:val="00E93587"/>
    <w:rsid w:val="00E939AC"/>
    <w:rsid w:val="00E93E3B"/>
    <w:rsid w:val="00E94F44"/>
    <w:rsid w:val="00E95099"/>
    <w:rsid w:val="00E954DD"/>
    <w:rsid w:val="00E95A86"/>
    <w:rsid w:val="00E95AF0"/>
    <w:rsid w:val="00E96268"/>
    <w:rsid w:val="00E966B7"/>
    <w:rsid w:val="00E96A06"/>
    <w:rsid w:val="00E96AE5"/>
    <w:rsid w:val="00E9702B"/>
    <w:rsid w:val="00E977F4"/>
    <w:rsid w:val="00E97BBF"/>
    <w:rsid w:val="00E97F7C"/>
    <w:rsid w:val="00EA02DC"/>
    <w:rsid w:val="00EA0737"/>
    <w:rsid w:val="00EA07FA"/>
    <w:rsid w:val="00EA0BC3"/>
    <w:rsid w:val="00EA10DA"/>
    <w:rsid w:val="00EA11CA"/>
    <w:rsid w:val="00EA1653"/>
    <w:rsid w:val="00EA1F5A"/>
    <w:rsid w:val="00EA22F9"/>
    <w:rsid w:val="00EA25EB"/>
    <w:rsid w:val="00EA2EBB"/>
    <w:rsid w:val="00EA3194"/>
    <w:rsid w:val="00EA3316"/>
    <w:rsid w:val="00EA3920"/>
    <w:rsid w:val="00EA3B3D"/>
    <w:rsid w:val="00EA3B5A"/>
    <w:rsid w:val="00EA3DFB"/>
    <w:rsid w:val="00EA3EF3"/>
    <w:rsid w:val="00EA3FDA"/>
    <w:rsid w:val="00EA4026"/>
    <w:rsid w:val="00EA4338"/>
    <w:rsid w:val="00EA49AF"/>
    <w:rsid w:val="00EA4B49"/>
    <w:rsid w:val="00EA56C1"/>
    <w:rsid w:val="00EA595F"/>
    <w:rsid w:val="00EA59AA"/>
    <w:rsid w:val="00EA5C1D"/>
    <w:rsid w:val="00EA6253"/>
    <w:rsid w:val="00EA6333"/>
    <w:rsid w:val="00EA6510"/>
    <w:rsid w:val="00EA67BC"/>
    <w:rsid w:val="00EA698F"/>
    <w:rsid w:val="00EA6E4F"/>
    <w:rsid w:val="00EA71FD"/>
    <w:rsid w:val="00EA7C9F"/>
    <w:rsid w:val="00EB0310"/>
    <w:rsid w:val="00EB16F2"/>
    <w:rsid w:val="00EB1773"/>
    <w:rsid w:val="00EB1AC4"/>
    <w:rsid w:val="00EB1C9D"/>
    <w:rsid w:val="00EB20AA"/>
    <w:rsid w:val="00EB278D"/>
    <w:rsid w:val="00EB2A45"/>
    <w:rsid w:val="00EB30C8"/>
    <w:rsid w:val="00EB31AF"/>
    <w:rsid w:val="00EB370E"/>
    <w:rsid w:val="00EB4089"/>
    <w:rsid w:val="00EB4622"/>
    <w:rsid w:val="00EB497B"/>
    <w:rsid w:val="00EB65E2"/>
    <w:rsid w:val="00EB6815"/>
    <w:rsid w:val="00EB681B"/>
    <w:rsid w:val="00EB6D47"/>
    <w:rsid w:val="00EC08C7"/>
    <w:rsid w:val="00EC0DAC"/>
    <w:rsid w:val="00EC19E8"/>
    <w:rsid w:val="00EC2D20"/>
    <w:rsid w:val="00EC31BF"/>
    <w:rsid w:val="00EC32CA"/>
    <w:rsid w:val="00EC4125"/>
    <w:rsid w:val="00EC440E"/>
    <w:rsid w:val="00EC50B6"/>
    <w:rsid w:val="00EC538C"/>
    <w:rsid w:val="00EC5477"/>
    <w:rsid w:val="00EC549D"/>
    <w:rsid w:val="00EC5B22"/>
    <w:rsid w:val="00EC62EC"/>
    <w:rsid w:val="00EC67EF"/>
    <w:rsid w:val="00EC6D80"/>
    <w:rsid w:val="00EC6DB8"/>
    <w:rsid w:val="00EC713B"/>
    <w:rsid w:val="00EC7A07"/>
    <w:rsid w:val="00EC7DC6"/>
    <w:rsid w:val="00EC7F5C"/>
    <w:rsid w:val="00ED0057"/>
    <w:rsid w:val="00ED03F3"/>
    <w:rsid w:val="00ED059E"/>
    <w:rsid w:val="00ED07F4"/>
    <w:rsid w:val="00ED0824"/>
    <w:rsid w:val="00ED0BF8"/>
    <w:rsid w:val="00ED0CFC"/>
    <w:rsid w:val="00ED183D"/>
    <w:rsid w:val="00ED2193"/>
    <w:rsid w:val="00ED2224"/>
    <w:rsid w:val="00ED2694"/>
    <w:rsid w:val="00ED27A5"/>
    <w:rsid w:val="00ED2BA7"/>
    <w:rsid w:val="00ED3292"/>
    <w:rsid w:val="00ED38C3"/>
    <w:rsid w:val="00ED3E90"/>
    <w:rsid w:val="00ED434E"/>
    <w:rsid w:val="00ED54F8"/>
    <w:rsid w:val="00ED5548"/>
    <w:rsid w:val="00ED5AE1"/>
    <w:rsid w:val="00ED5F71"/>
    <w:rsid w:val="00ED6B13"/>
    <w:rsid w:val="00ED6C21"/>
    <w:rsid w:val="00ED7028"/>
    <w:rsid w:val="00ED787B"/>
    <w:rsid w:val="00ED7BA0"/>
    <w:rsid w:val="00ED7FE4"/>
    <w:rsid w:val="00EE0DBC"/>
    <w:rsid w:val="00EE0FFB"/>
    <w:rsid w:val="00EE1106"/>
    <w:rsid w:val="00EE185B"/>
    <w:rsid w:val="00EE1F8C"/>
    <w:rsid w:val="00EE2755"/>
    <w:rsid w:val="00EE2AA0"/>
    <w:rsid w:val="00EE2D6F"/>
    <w:rsid w:val="00EE2D99"/>
    <w:rsid w:val="00EE31DC"/>
    <w:rsid w:val="00EE32ED"/>
    <w:rsid w:val="00EE3708"/>
    <w:rsid w:val="00EE3C90"/>
    <w:rsid w:val="00EE43B7"/>
    <w:rsid w:val="00EE4586"/>
    <w:rsid w:val="00EE46A7"/>
    <w:rsid w:val="00EE481B"/>
    <w:rsid w:val="00EE4912"/>
    <w:rsid w:val="00EE4D97"/>
    <w:rsid w:val="00EE53B6"/>
    <w:rsid w:val="00EE5A0F"/>
    <w:rsid w:val="00EE5A54"/>
    <w:rsid w:val="00EE5E17"/>
    <w:rsid w:val="00EE643B"/>
    <w:rsid w:val="00EE6569"/>
    <w:rsid w:val="00EE6DB7"/>
    <w:rsid w:val="00EE738C"/>
    <w:rsid w:val="00EE7843"/>
    <w:rsid w:val="00EE78EA"/>
    <w:rsid w:val="00EE7D8A"/>
    <w:rsid w:val="00EF0812"/>
    <w:rsid w:val="00EF1747"/>
    <w:rsid w:val="00EF1B1C"/>
    <w:rsid w:val="00EF24D5"/>
    <w:rsid w:val="00EF2A6D"/>
    <w:rsid w:val="00EF3663"/>
    <w:rsid w:val="00EF4343"/>
    <w:rsid w:val="00EF442E"/>
    <w:rsid w:val="00EF4662"/>
    <w:rsid w:val="00EF49DA"/>
    <w:rsid w:val="00EF4CA1"/>
    <w:rsid w:val="00EF4F02"/>
    <w:rsid w:val="00EF4F76"/>
    <w:rsid w:val="00EF5671"/>
    <w:rsid w:val="00EF57B8"/>
    <w:rsid w:val="00EF698D"/>
    <w:rsid w:val="00EF6C76"/>
    <w:rsid w:val="00EF6F79"/>
    <w:rsid w:val="00EF77D5"/>
    <w:rsid w:val="00EF7EB1"/>
    <w:rsid w:val="00F00031"/>
    <w:rsid w:val="00F00543"/>
    <w:rsid w:val="00F00904"/>
    <w:rsid w:val="00F00AB3"/>
    <w:rsid w:val="00F012E5"/>
    <w:rsid w:val="00F0152E"/>
    <w:rsid w:val="00F0153C"/>
    <w:rsid w:val="00F0188C"/>
    <w:rsid w:val="00F01D4A"/>
    <w:rsid w:val="00F020BA"/>
    <w:rsid w:val="00F02309"/>
    <w:rsid w:val="00F02AC0"/>
    <w:rsid w:val="00F02D14"/>
    <w:rsid w:val="00F0378C"/>
    <w:rsid w:val="00F0389B"/>
    <w:rsid w:val="00F03A0A"/>
    <w:rsid w:val="00F0421F"/>
    <w:rsid w:val="00F0452B"/>
    <w:rsid w:val="00F04830"/>
    <w:rsid w:val="00F0514E"/>
    <w:rsid w:val="00F051EE"/>
    <w:rsid w:val="00F0534A"/>
    <w:rsid w:val="00F05427"/>
    <w:rsid w:val="00F05F86"/>
    <w:rsid w:val="00F0627C"/>
    <w:rsid w:val="00F0635E"/>
    <w:rsid w:val="00F066E3"/>
    <w:rsid w:val="00F069C2"/>
    <w:rsid w:val="00F06A72"/>
    <w:rsid w:val="00F077DA"/>
    <w:rsid w:val="00F07A81"/>
    <w:rsid w:val="00F102ED"/>
    <w:rsid w:val="00F1034E"/>
    <w:rsid w:val="00F105C2"/>
    <w:rsid w:val="00F108C0"/>
    <w:rsid w:val="00F10A9F"/>
    <w:rsid w:val="00F10B08"/>
    <w:rsid w:val="00F11617"/>
    <w:rsid w:val="00F116A4"/>
    <w:rsid w:val="00F116AB"/>
    <w:rsid w:val="00F11853"/>
    <w:rsid w:val="00F11C12"/>
    <w:rsid w:val="00F128C3"/>
    <w:rsid w:val="00F12DA2"/>
    <w:rsid w:val="00F1320A"/>
    <w:rsid w:val="00F138DC"/>
    <w:rsid w:val="00F1393E"/>
    <w:rsid w:val="00F14F61"/>
    <w:rsid w:val="00F1525E"/>
    <w:rsid w:val="00F1539C"/>
    <w:rsid w:val="00F15EED"/>
    <w:rsid w:val="00F15F5F"/>
    <w:rsid w:val="00F16CE5"/>
    <w:rsid w:val="00F170D9"/>
    <w:rsid w:val="00F205D4"/>
    <w:rsid w:val="00F207D9"/>
    <w:rsid w:val="00F20E48"/>
    <w:rsid w:val="00F21F6F"/>
    <w:rsid w:val="00F221F0"/>
    <w:rsid w:val="00F226CC"/>
    <w:rsid w:val="00F23C0C"/>
    <w:rsid w:val="00F2413F"/>
    <w:rsid w:val="00F24268"/>
    <w:rsid w:val="00F24F15"/>
    <w:rsid w:val="00F25791"/>
    <w:rsid w:val="00F2596D"/>
    <w:rsid w:val="00F25E99"/>
    <w:rsid w:val="00F260FE"/>
    <w:rsid w:val="00F26146"/>
    <w:rsid w:val="00F266A3"/>
    <w:rsid w:val="00F27039"/>
    <w:rsid w:val="00F27252"/>
    <w:rsid w:val="00F274F2"/>
    <w:rsid w:val="00F27DCE"/>
    <w:rsid w:val="00F30108"/>
    <w:rsid w:val="00F305A7"/>
    <w:rsid w:val="00F3112E"/>
    <w:rsid w:val="00F31204"/>
    <w:rsid w:val="00F312E4"/>
    <w:rsid w:val="00F3137B"/>
    <w:rsid w:val="00F313B4"/>
    <w:rsid w:val="00F31CAB"/>
    <w:rsid w:val="00F31FAA"/>
    <w:rsid w:val="00F3206A"/>
    <w:rsid w:val="00F32763"/>
    <w:rsid w:val="00F3295D"/>
    <w:rsid w:val="00F336EE"/>
    <w:rsid w:val="00F3380F"/>
    <w:rsid w:val="00F33A90"/>
    <w:rsid w:val="00F34695"/>
    <w:rsid w:val="00F3476B"/>
    <w:rsid w:val="00F34B09"/>
    <w:rsid w:val="00F351C0"/>
    <w:rsid w:val="00F35683"/>
    <w:rsid w:val="00F358A7"/>
    <w:rsid w:val="00F359A5"/>
    <w:rsid w:val="00F35CD0"/>
    <w:rsid w:val="00F36354"/>
    <w:rsid w:val="00F36452"/>
    <w:rsid w:val="00F367A4"/>
    <w:rsid w:val="00F36EBE"/>
    <w:rsid w:val="00F36FF3"/>
    <w:rsid w:val="00F3711D"/>
    <w:rsid w:val="00F3748C"/>
    <w:rsid w:val="00F374C5"/>
    <w:rsid w:val="00F37D92"/>
    <w:rsid w:val="00F37DAD"/>
    <w:rsid w:val="00F40CAD"/>
    <w:rsid w:val="00F41C0D"/>
    <w:rsid w:val="00F426CB"/>
    <w:rsid w:val="00F4299A"/>
    <w:rsid w:val="00F42D89"/>
    <w:rsid w:val="00F42EAA"/>
    <w:rsid w:val="00F431F4"/>
    <w:rsid w:val="00F4463C"/>
    <w:rsid w:val="00F44725"/>
    <w:rsid w:val="00F44F6E"/>
    <w:rsid w:val="00F465D8"/>
    <w:rsid w:val="00F46FE9"/>
    <w:rsid w:val="00F470AD"/>
    <w:rsid w:val="00F47755"/>
    <w:rsid w:val="00F47984"/>
    <w:rsid w:val="00F47C09"/>
    <w:rsid w:val="00F50301"/>
    <w:rsid w:val="00F50928"/>
    <w:rsid w:val="00F50C67"/>
    <w:rsid w:val="00F52712"/>
    <w:rsid w:val="00F5284A"/>
    <w:rsid w:val="00F52A5C"/>
    <w:rsid w:val="00F530E3"/>
    <w:rsid w:val="00F533F5"/>
    <w:rsid w:val="00F5412C"/>
    <w:rsid w:val="00F54234"/>
    <w:rsid w:val="00F543E0"/>
    <w:rsid w:val="00F54491"/>
    <w:rsid w:val="00F54585"/>
    <w:rsid w:val="00F5482F"/>
    <w:rsid w:val="00F54CBF"/>
    <w:rsid w:val="00F550A3"/>
    <w:rsid w:val="00F55F70"/>
    <w:rsid w:val="00F56146"/>
    <w:rsid w:val="00F57472"/>
    <w:rsid w:val="00F57B54"/>
    <w:rsid w:val="00F57E3D"/>
    <w:rsid w:val="00F57FBB"/>
    <w:rsid w:val="00F57FD9"/>
    <w:rsid w:val="00F6040B"/>
    <w:rsid w:val="00F6067F"/>
    <w:rsid w:val="00F60E96"/>
    <w:rsid w:val="00F61729"/>
    <w:rsid w:val="00F622B9"/>
    <w:rsid w:val="00F6230F"/>
    <w:rsid w:val="00F62498"/>
    <w:rsid w:val="00F62814"/>
    <w:rsid w:val="00F629B4"/>
    <w:rsid w:val="00F62AB2"/>
    <w:rsid w:val="00F62C56"/>
    <w:rsid w:val="00F6394D"/>
    <w:rsid w:val="00F63D2D"/>
    <w:rsid w:val="00F6447D"/>
    <w:rsid w:val="00F64E39"/>
    <w:rsid w:val="00F653BA"/>
    <w:rsid w:val="00F6555E"/>
    <w:rsid w:val="00F655E6"/>
    <w:rsid w:val="00F66BAE"/>
    <w:rsid w:val="00F67170"/>
    <w:rsid w:val="00F674CF"/>
    <w:rsid w:val="00F70BB3"/>
    <w:rsid w:val="00F712A1"/>
    <w:rsid w:val="00F714E4"/>
    <w:rsid w:val="00F7176F"/>
    <w:rsid w:val="00F71A55"/>
    <w:rsid w:val="00F71E78"/>
    <w:rsid w:val="00F71F70"/>
    <w:rsid w:val="00F71F7B"/>
    <w:rsid w:val="00F7208A"/>
    <w:rsid w:val="00F721C9"/>
    <w:rsid w:val="00F721EE"/>
    <w:rsid w:val="00F73149"/>
    <w:rsid w:val="00F748ED"/>
    <w:rsid w:val="00F74908"/>
    <w:rsid w:val="00F74C1F"/>
    <w:rsid w:val="00F74C7F"/>
    <w:rsid w:val="00F753A2"/>
    <w:rsid w:val="00F75708"/>
    <w:rsid w:val="00F76230"/>
    <w:rsid w:val="00F766AF"/>
    <w:rsid w:val="00F76908"/>
    <w:rsid w:val="00F76947"/>
    <w:rsid w:val="00F76C32"/>
    <w:rsid w:val="00F7711A"/>
    <w:rsid w:val="00F77242"/>
    <w:rsid w:val="00F77901"/>
    <w:rsid w:val="00F77EDE"/>
    <w:rsid w:val="00F800EB"/>
    <w:rsid w:val="00F805AB"/>
    <w:rsid w:val="00F806FD"/>
    <w:rsid w:val="00F808CC"/>
    <w:rsid w:val="00F80C21"/>
    <w:rsid w:val="00F80E8C"/>
    <w:rsid w:val="00F812BA"/>
    <w:rsid w:val="00F819DC"/>
    <w:rsid w:val="00F82222"/>
    <w:rsid w:val="00F8245B"/>
    <w:rsid w:val="00F825A6"/>
    <w:rsid w:val="00F8277C"/>
    <w:rsid w:val="00F835D0"/>
    <w:rsid w:val="00F83712"/>
    <w:rsid w:val="00F839DB"/>
    <w:rsid w:val="00F83B20"/>
    <w:rsid w:val="00F840A4"/>
    <w:rsid w:val="00F84116"/>
    <w:rsid w:val="00F84176"/>
    <w:rsid w:val="00F8441B"/>
    <w:rsid w:val="00F8459F"/>
    <w:rsid w:val="00F84CDF"/>
    <w:rsid w:val="00F8544E"/>
    <w:rsid w:val="00F85EC1"/>
    <w:rsid w:val="00F86BC0"/>
    <w:rsid w:val="00F87193"/>
    <w:rsid w:val="00F8725B"/>
    <w:rsid w:val="00F87F50"/>
    <w:rsid w:val="00F87F9F"/>
    <w:rsid w:val="00F900A4"/>
    <w:rsid w:val="00F90562"/>
    <w:rsid w:val="00F90574"/>
    <w:rsid w:val="00F9154F"/>
    <w:rsid w:val="00F918D4"/>
    <w:rsid w:val="00F91AF1"/>
    <w:rsid w:val="00F91DD5"/>
    <w:rsid w:val="00F92690"/>
    <w:rsid w:val="00F92A5C"/>
    <w:rsid w:val="00F92B17"/>
    <w:rsid w:val="00F92B1F"/>
    <w:rsid w:val="00F93BE5"/>
    <w:rsid w:val="00F93D43"/>
    <w:rsid w:val="00F93D76"/>
    <w:rsid w:val="00F94706"/>
    <w:rsid w:val="00F94B93"/>
    <w:rsid w:val="00F94D48"/>
    <w:rsid w:val="00F95370"/>
    <w:rsid w:val="00F95695"/>
    <w:rsid w:val="00F9573D"/>
    <w:rsid w:val="00F95C27"/>
    <w:rsid w:val="00F96475"/>
    <w:rsid w:val="00F9663B"/>
    <w:rsid w:val="00F96775"/>
    <w:rsid w:val="00F96FCE"/>
    <w:rsid w:val="00F97AC6"/>
    <w:rsid w:val="00F97B38"/>
    <w:rsid w:val="00F97D0F"/>
    <w:rsid w:val="00FA0ABF"/>
    <w:rsid w:val="00FA0D49"/>
    <w:rsid w:val="00FA0FA2"/>
    <w:rsid w:val="00FA1826"/>
    <w:rsid w:val="00FA1CE6"/>
    <w:rsid w:val="00FA20F4"/>
    <w:rsid w:val="00FA217A"/>
    <w:rsid w:val="00FA2510"/>
    <w:rsid w:val="00FA29CB"/>
    <w:rsid w:val="00FA2B3D"/>
    <w:rsid w:val="00FA2E37"/>
    <w:rsid w:val="00FA2F34"/>
    <w:rsid w:val="00FA41DE"/>
    <w:rsid w:val="00FA47B8"/>
    <w:rsid w:val="00FA48B8"/>
    <w:rsid w:val="00FA4B1A"/>
    <w:rsid w:val="00FA4EDA"/>
    <w:rsid w:val="00FA52F7"/>
    <w:rsid w:val="00FA5311"/>
    <w:rsid w:val="00FA5758"/>
    <w:rsid w:val="00FA577A"/>
    <w:rsid w:val="00FA629D"/>
    <w:rsid w:val="00FA673A"/>
    <w:rsid w:val="00FA6794"/>
    <w:rsid w:val="00FA683E"/>
    <w:rsid w:val="00FA68FB"/>
    <w:rsid w:val="00FA767D"/>
    <w:rsid w:val="00FA76F2"/>
    <w:rsid w:val="00FA790B"/>
    <w:rsid w:val="00FA793D"/>
    <w:rsid w:val="00FA7BB1"/>
    <w:rsid w:val="00FB0CCA"/>
    <w:rsid w:val="00FB0D55"/>
    <w:rsid w:val="00FB17C5"/>
    <w:rsid w:val="00FB1A8F"/>
    <w:rsid w:val="00FB2230"/>
    <w:rsid w:val="00FB2705"/>
    <w:rsid w:val="00FB29C9"/>
    <w:rsid w:val="00FB2E62"/>
    <w:rsid w:val="00FB303C"/>
    <w:rsid w:val="00FB3127"/>
    <w:rsid w:val="00FB33F6"/>
    <w:rsid w:val="00FB3651"/>
    <w:rsid w:val="00FB4424"/>
    <w:rsid w:val="00FB444F"/>
    <w:rsid w:val="00FB4A74"/>
    <w:rsid w:val="00FB52E9"/>
    <w:rsid w:val="00FB563B"/>
    <w:rsid w:val="00FB5AAB"/>
    <w:rsid w:val="00FB5DC2"/>
    <w:rsid w:val="00FB5EFD"/>
    <w:rsid w:val="00FB6479"/>
    <w:rsid w:val="00FB6714"/>
    <w:rsid w:val="00FB69B6"/>
    <w:rsid w:val="00FB6D4F"/>
    <w:rsid w:val="00FB73A9"/>
    <w:rsid w:val="00FB788C"/>
    <w:rsid w:val="00FB7F63"/>
    <w:rsid w:val="00FB7F97"/>
    <w:rsid w:val="00FC07C2"/>
    <w:rsid w:val="00FC09E4"/>
    <w:rsid w:val="00FC0D36"/>
    <w:rsid w:val="00FC171C"/>
    <w:rsid w:val="00FC1BD7"/>
    <w:rsid w:val="00FC1C45"/>
    <w:rsid w:val="00FC1F39"/>
    <w:rsid w:val="00FC270D"/>
    <w:rsid w:val="00FC30BD"/>
    <w:rsid w:val="00FC315E"/>
    <w:rsid w:val="00FC34A4"/>
    <w:rsid w:val="00FC3A9A"/>
    <w:rsid w:val="00FC3B2B"/>
    <w:rsid w:val="00FC3FA9"/>
    <w:rsid w:val="00FC46D7"/>
    <w:rsid w:val="00FC52E2"/>
    <w:rsid w:val="00FC54CC"/>
    <w:rsid w:val="00FC5B98"/>
    <w:rsid w:val="00FC5C91"/>
    <w:rsid w:val="00FC5E8B"/>
    <w:rsid w:val="00FC5F59"/>
    <w:rsid w:val="00FC6A88"/>
    <w:rsid w:val="00FC6BA9"/>
    <w:rsid w:val="00FC7249"/>
    <w:rsid w:val="00FC75BD"/>
    <w:rsid w:val="00FC75D8"/>
    <w:rsid w:val="00FC7B4B"/>
    <w:rsid w:val="00FC7E53"/>
    <w:rsid w:val="00FC7FF9"/>
    <w:rsid w:val="00FD0276"/>
    <w:rsid w:val="00FD03B0"/>
    <w:rsid w:val="00FD0619"/>
    <w:rsid w:val="00FD0891"/>
    <w:rsid w:val="00FD1816"/>
    <w:rsid w:val="00FD1BC2"/>
    <w:rsid w:val="00FD25EA"/>
    <w:rsid w:val="00FD2689"/>
    <w:rsid w:val="00FD2E4E"/>
    <w:rsid w:val="00FD3290"/>
    <w:rsid w:val="00FD3C98"/>
    <w:rsid w:val="00FD3EAF"/>
    <w:rsid w:val="00FD41E9"/>
    <w:rsid w:val="00FD44CD"/>
    <w:rsid w:val="00FD58DD"/>
    <w:rsid w:val="00FD6049"/>
    <w:rsid w:val="00FD6EF3"/>
    <w:rsid w:val="00FD70CA"/>
    <w:rsid w:val="00FD73D1"/>
    <w:rsid w:val="00FD755C"/>
    <w:rsid w:val="00FD7A5F"/>
    <w:rsid w:val="00FD7B17"/>
    <w:rsid w:val="00FE04BD"/>
    <w:rsid w:val="00FE0D3D"/>
    <w:rsid w:val="00FE198D"/>
    <w:rsid w:val="00FE1B49"/>
    <w:rsid w:val="00FE1C04"/>
    <w:rsid w:val="00FE2167"/>
    <w:rsid w:val="00FE2301"/>
    <w:rsid w:val="00FE28A2"/>
    <w:rsid w:val="00FE2945"/>
    <w:rsid w:val="00FE2D60"/>
    <w:rsid w:val="00FE2F4A"/>
    <w:rsid w:val="00FE3629"/>
    <w:rsid w:val="00FE4152"/>
    <w:rsid w:val="00FE41D9"/>
    <w:rsid w:val="00FE49C2"/>
    <w:rsid w:val="00FE5699"/>
    <w:rsid w:val="00FE5738"/>
    <w:rsid w:val="00FE5A98"/>
    <w:rsid w:val="00FE5E42"/>
    <w:rsid w:val="00FE639A"/>
    <w:rsid w:val="00FE6831"/>
    <w:rsid w:val="00FE6DD2"/>
    <w:rsid w:val="00FE74BF"/>
    <w:rsid w:val="00FE7521"/>
    <w:rsid w:val="00FE766A"/>
    <w:rsid w:val="00FE78DE"/>
    <w:rsid w:val="00FF025D"/>
    <w:rsid w:val="00FF03AF"/>
    <w:rsid w:val="00FF0444"/>
    <w:rsid w:val="00FF058A"/>
    <w:rsid w:val="00FF0A4D"/>
    <w:rsid w:val="00FF10AE"/>
    <w:rsid w:val="00FF11C7"/>
    <w:rsid w:val="00FF1603"/>
    <w:rsid w:val="00FF20F0"/>
    <w:rsid w:val="00FF2336"/>
    <w:rsid w:val="00FF2967"/>
    <w:rsid w:val="00FF2974"/>
    <w:rsid w:val="00FF307B"/>
    <w:rsid w:val="00FF311D"/>
    <w:rsid w:val="00FF3E7E"/>
    <w:rsid w:val="00FF4257"/>
    <w:rsid w:val="00FF4387"/>
    <w:rsid w:val="00FF52C8"/>
    <w:rsid w:val="00FF590B"/>
    <w:rsid w:val="00FF657D"/>
    <w:rsid w:val="00FF6880"/>
    <w:rsid w:val="00FF6CB6"/>
    <w:rsid w:val="00FF76B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755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qFormat="1"/>
    <w:lsdException w:name="table of figures" w:uiPriority="0"/>
    <w:lsdException w:name="footnote reference" w:uiPriority="0"/>
    <w:lsdException w:name="table of authorities" w:uiPriority="0"/>
    <w:lsdException w:name="macro" w:uiPriority="0"/>
    <w:lsdException w:name="toa heading" w:uiPriority="0"/>
    <w:lsdException w:name="List Bullet" w:uiPriority="0"/>
    <w:lsdException w:name="List Bullet 2" w:uiPriority="0"/>
    <w:lsdException w:name="List Number 2" w:uiPriority="0"/>
    <w:lsdException w:name="List Number 3" w:uiPriority="0"/>
    <w:lsdException w:name="Default Paragraph Font" w:uiPriority="0"/>
    <w:lsdException w:name="HTML Top of Form" w:uiPriority="0"/>
    <w:lsdException w:name="HTML Bottom of Form" w:uiPriority="0"/>
    <w:lsdException w:name="Normal Table"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F3F9E"/>
    <w:pPr>
      <w:keepLines/>
      <w:spacing w:before="120" w:after="60" w:line="240" w:lineRule="atLeast"/>
      <w:jc w:val="both"/>
    </w:pPr>
    <w:rPr>
      <w:rFonts w:ascii="Calibri" w:hAnsi="Calibri"/>
    </w:rPr>
  </w:style>
  <w:style w:type="paragraph" w:styleId="Heading1">
    <w:name w:val="heading 1"/>
    <w:aliases w:val="titel 1,Hoofdstuktitel,Heading Arial 1,Hoofdstukkop,Bijlagen,H1,Section Heading,(Egemin1),Hoofdstuk"/>
    <w:basedOn w:val="Normal"/>
    <w:next w:val="Normal"/>
    <w:link w:val="Heading1Char"/>
    <w:qFormat/>
    <w:rsid w:val="00072B8C"/>
    <w:pPr>
      <w:keepNext/>
      <w:numPr>
        <w:numId w:val="17"/>
      </w:numPr>
      <w:spacing w:before="840" w:after="120" w:line="360" w:lineRule="exact"/>
      <w:ind w:left="567" w:hanging="567"/>
      <w:outlineLvl w:val="0"/>
    </w:pPr>
    <w:rPr>
      <w:b/>
      <w:caps/>
      <w:color w:val="808080"/>
      <w:spacing w:val="26"/>
      <w:kern w:val="28"/>
      <w:sz w:val="32"/>
      <w:lang w:val="nl"/>
    </w:rPr>
  </w:style>
  <w:style w:type="paragraph" w:styleId="Heading2">
    <w:name w:val="heading 2"/>
    <w:aliases w:val="titel 2,Paragraafkop,H2,Reset numbering,Paragraaf,kop 2"/>
    <w:basedOn w:val="Normal"/>
    <w:next w:val="Normal"/>
    <w:link w:val="Heading2Char"/>
    <w:qFormat/>
    <w:rsid w:val="00EF7EB1"/>
    <w:pPr>
      <w:keepNext/>
      <w:widowControl w:val="0"/>
      <w:numPr>
        <w:ilvl w:val="1"/>
        <w:numId w:val="17"/>
      </w:numPr>
      <w:tabs>
        <w:tab w:val="clear" w:pos="4971"/>
        <w:tab w:val="num" w:pos="576"/>
      </w:tabs>
      <w:spacing w:before="480" w:line="320" w:lineRule="exact"/>
      <w:ind w:left="567" w:hanging="567"/>
      <w:outlineLvl w:val="1"/>
    </w:pPr>
    <w:rPr>
      <w:b/>
      <w:smallCaps/>
      <w:spacing w:val="20"/>
      <w:sz w:val="24"/>
      <w:lang w:val="nl-NL"/>
    </w:rPr>
  </w:style>
  <w:style w:type="paragraph" w:styleId="Heading3">
    <w:name w:val="heading 3"/>
    <w:aliases w:val="Sub-Paragraaf,H3,Level 1 - 1,Subparagraaf"/>
    <w:basedOn w:val="Normal"/>
    <w:next w:val="Normal"/>
    <w:link w:val="Heading3Char"/>
    <w:qFormat/>
    <w:rsid w:val="00EF7EB1"/>
    <w:pPr>
      <w:keepNext/>
      <w:widowControl w:val="0"/>
      <w:numPr>
        <w:ilvl w:val="2"/>
        <w:numId w:val="17"/>
      </w:numPr>
      <w:spacing w:before="360" w:line="320" w:lineRule="atLeast"/>
      <w:ind w:left="567" w:hanging="567"/>
      <w:outlineLvl w:val="2"/>
    </w:pPr>
    <w:rPr>
      <w:b/>
      <w:smallCaps/>
      <w:spacing w:val="26"/>
      <w:sz w:val="22"/>
      <w:szCs w:val="24"/>
      <w:lang w:val="nl-NL"/>
    </w:rPr>
  </w:style>
  <w:style w:type="paragraph" w:styleId="Heading4">
    <w:name w:val="heading 4"/>
    <w:aliases w:val="Level 2 - a,Kopje"/>
    <w:basedOn w:val="Normal"/>
    <w:next w:val="Normal"/>
    <w:link w:val="Heading4Char"/>
    <w:qFormat/>
    <w:rsid w:val="00A12934"/>
    <w:pPr>
      <w:keepNext/>
      <w:numPr>
        <w:ilvl w:val="3"/>
        <w:numId w:val="17"/>
      </w:numPr>
      <w:tabs>
        <w:tab w:val="clear" w:pos="864"/>
      </w:tabs>
      <w:spacing w:before="300"/>
      <w:ind w:left="709" w:hanging="709"/>
      <w:outlineLvl w:val="3"/>
    </w:pPr>
    <w:rPr>
      <w:b/>
      <w:spacing w:val="24"/>
      <w:lang w:val="nl-NL"/>
    </w:rPr>
  </w:style>
  <w:style w:type="paragraph" w:styleId="Heading5">
    <w:name w:val="heading 5"/>
    <w:basedOn w:val="Heading4"/>
    <w:next w:val="Normal"/>
    <w:link w:val="Heading5Char"/>
    <w:qFormat/>
    <w:rsid w:val="00A7288C"/>
    <w:pPr>
      <w:numPr>
        <w:ilvl w:val="4"/>
      </w:numPr>
      <w:suppressAutoHyphens/>
      <w:spacing w:after="0" w:line="240" w:lineRule="exact"/>
      <w:outlineLvl w:val="4"/>
    </w:pPr>
    <w:rPr>
      <w:b w:val="0"/>
      <w:kern w:val="16"/>
      <w:szCs w:val="16"/>
    </w:rPr>
  </w:style>
  <w:style w:type="paragraph" w:styleId="Heading6">
    <w:name w:val="heading 6"/>
    <w:basedOn w:val="Heading4"/>
    <w:next w:val="Normal"/>
    <w:link w:val="Heading6Char"/>
    <w:qFormat/>
    <w:rsid w:val="00A7288C"/>
    <w:pPr>
      <w:numPr>
        <w:ilvl w:val="5"/>
      </w:numPr>
      <w:tabs>
        <w:tab w:val="left" w:pos="992"/>
      </w:tabs>
      <w:suppressAutoHyphens/>
      <w:spacing w:after="0" w:line="240" w:lineRule="exact"/>
      <w:outlineLvl w:val="5"/>
    </w:pPr>
    <w:rPr>
      <w:b w:val="0"/>
      <w:i/>
      <w:smallCaps/>
      <w:spacing w:val="26"/>
      <w:kern w:val="16"/>
      <w:sz w:val="18"/>
    </w:rPr>
  </w:style>
  <w:style w:type="paragraph" w:styleId="Heading7">
    <w:name w:val="heading 7"/>
    <w:basedOn w:val="Normal"/>
    <w:next w:val="Normal"/>
    <w:link w:val="Heading7Char"/>
    <w:qFormat/>
    <w:rsid w:val="00A7288C"/>
    <w:pPr>
      <w:numPr>
        <w:ilvl w:val="6"/>
        <w:numId w:val="17"/>
      </w:numPr>
      <w:spacing w:before="240"/>
      <w:outlineLvl w:val="6"/>
    </w:pPr>
    <w:rPr>
      <w:sz w:val="24"/>
      <w:szCs w:val="24"/>
    </w:rPr>
  </w:style>
  <w:style w:type="paragraph" w:styleId="Heading8">
    <w:name w:val="heading 8"/>
    <w:basedOn w:val="Heading7"/>
    <w:next w:val="Normal"/>
    <w:link w:val="Heading8Char"/>
    <w:qFormat/>
    <w:rsid w:val="00A7288C"/>
    <w:pPr>
      <w:keepNext/>
      <w:numPr>
        <w:ilvl w:val="7"/>
      </w:numPr>
      <w:suppressAutoHyphens/>
      <w:spacing w:before="100" w:beforeAutospacing="1" w:after="120" w:line="240" w:lineRule="exact"/>
      <w:outlineLvl w:val="7"/>
    </w:pPr>
    <w:rPr>
      <w:rFonts w:ascii="Helvetica LT Condensed" w:hAnsi="Helvetica LT Condensed"/>
      <w:i/>
      <w:kern w:val="16"/>
      <w:sz w:val="20"/>
      <w:szCs w:val="20"/>
      <w:u w:val="single"/>
      <w:lang w:val="nl-NL"/>
    </w:rPr>
  </w:style>
  <w:style w:type="paragraph" w:styleId="Heading9">
    <w:name w:val="heading 9"/>
    <w:basedOn w:val="Heading8"/>
    <w:next w:val="Normal"/>
    <w:link w:val="Heading9Char"/>
    <w:qFormat/>
    <w:rsid w:val="00A7288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link w:val="normalCharChar"/>
    <w:rsid w:val="000C12A7"/>
    <w:pPr>
      <w:widowControl w:val="0"/>
      <w:spacing w:line="280" w:lineRule="exact"/>
    </w:pPr>
    <w:rPr>
      <w:lang w:val="nl-NL"/>
    </w:rPr>
  </w:style>
  <w:style w:type="character" w:customStyle="1" w:styleId="normalCharChar">
    <w:name w:val="normal Char Char"/>
    <w:basedOn w:val="DefaultParagraphFont"/>
    <w:link w:val="normal0"/>
    <w:uiPriority w:val="99"/>
    <w:rsid w:val="000C12A7"/>
    <w:rPr>
      <w:rFonts w:ascii="Arial Narrow" w:hAnsi="Arial Narrow"/>
      <w:lang w:val="nl-NL" w:eastAsia="nl-BE" w:bidi="ar-SA"/>
    </w:rPr>
  </w:style>
  <w:style w:type="paragraph" w:styleId="Header">
    <w:name w:val="header"/>
    <w:aliases w:val="Koptekst-metlijn"/>
    <w:basedOn w:val="Normal"/>
    <w:link w:val="HeaderChar"/>
    <w:semiHidden/>
    <w:rsid w:val="008A0D9F"/>
    <w:pPr>
      <w:tabs>
        <w:tab w:val="center" w:pos="4536"/>
        <w:tab w:val="right" w:pos="9072"/>
      </w:tabs>
      <w:jc w:val="center"/>
    </w:pPr>
    <w:rPr>
      <w:smallCaps/>
      <w:sz w:val="18"/>
      <w:szCs w:val="18"/>
    </w:rPr>
  </w:style>
  <w:style w:type="paragraph" w:styleId="Footer">
    <w:name w:val="footer"/>
    <w:basedOn w:val="Normal"/>
    <w:link w:val="FooterChar"/>
    <w:uiPriority w:val="99"/>
    <w:semiHidden/>
    <w:rsid w:val="00883EF6"/>
    <w:pPr>
      <w:tabs>
        <w:tab w:val="center" w:pos="4320"/>
        <w:tab w:val="right" w:pos="8640"/>
      </w:tabs>
    </w:pPr>
    <w:rPr>
      <w:b/>
      <w:sz w:val="16"/>
    </w:rPr>
  </w:style>
  <w:style w:type="character" w:styleId="PageNumber">
    <w:name w:val="page number"/>
    <w:basedOn w:val="DefaultParagraphFont"/>
    <w:uiPriority w:val="99"/>
    <w:semiHidden/>
    <w:rsid w:val="00A8489B"/>
  </w:style>
  <w:style w:type="paragraph" w:customStyle="1" w:styleId="Comment">
    <w:name w:val="Comment"/>
    <w:basedOn w:val="Normal"/>
    <w:uiPriority w:val="99"/>
    <w:semiHidden/>
    <w:rsid w:val="00FA577A"/>
    <w:pPr>
      <w:spacing w:before="0" w:after="0" w:line="280" w:lineRule="exact"/>
    </w:pPr>
    <w:rPr>
      <w:rFonts w:ascii="Arial" w:hAnsi="Arial"/>
      <w:sz w:val="16"/>
    </w:rPr>
  </w:style>
  <w:style w:type="paragraph" w:customStyle="1" w:styleId="Tabel">
    <w:name w:val="Tabel"/>
    <w:basedOn w:val="Normal"/>
    <w:uiPriority w:val="99"/>
    <w:semiHidden/>
    <w:qFormat/>
    <w:rsid w:val="00A8489B"/>
    <w:pPr>
      <w:tabs>
        <w:tab w:val="left" w:pos="1361"/>
      </w:tabs>
      <w:spacing w:before="180" w:after="180" w:line="280" w:lineRule="exact"/>
      <w:ind w:left="1361" w:hanging="1361"/>
    </w:pPr>
    <w:rPr>
      <w:rFonts w:ascii="Arial" w:hAnsi="Arial"/>
    </w:rPr>
  </w:style>
  <w:style w:type="paragraph" w:styleId="FootnoteText">
    <w:name w:val="footnote text"/>
    <w:aliases w:val=" Char Char Char Char Char Char Char Char Char,Char Char Char Char Char Char Char Char Char"/>
    <w:basedOn w:val="Normal"/>
    <w:link w:val="FootnoteTextChar"/>
    <w:rsid w:val="003B3C80"/>
    <w:pPr>
      <w:keepLines w:val="0"/>
      <w:tabs>
        <w:tab w:val="left" w:pos="198"/>
      </w:tabs>
      <w:spacing w:before="0" w:after="40" w:line="200" w:lineRule="atLeast"/>
      <w:ind w:left="198" w:hanging="198"/>
    </w:pPr>
    <w:rPr>
      <w:sz w:val="16"/>
      <w:szCs w:val="16"/>
    </w:rPr>
  </w:style>
  <w:style w:type="character" w:styleId="FootnoteReference">
    <w:name w:val="footnote reference"/>
    <w:basedOn w:val="DefaultParagraphFont"/>
    <w:rsid w:val="00A8489B"/>
    <w:rPr>
      <w:vertAlign w:val="superscript"/>
    </w:rPr>
  </w:style>
  <w:style w:type="paragraph" w:customStyle="1" w:styleId="tabel0">
    <w:name w:val="tabel"/>
    <w:basedOn w:val="Normal"/>
    <w:next w:val="Normal"/>
    <w:link w:val="tabelChar"/>
    <w:qFormat/>
    <w:rsid w:val="00B07D0A"/>
    <w:pPr>
      <w:keepNext/>
      <w:tabs>
        <w:tab w:val="left" w:pos="1134"/>
      </w:tabs>
      <w:spacing w:before="180"/>
      <w:ind w:left="1134" w:hanging="1134"/>
    </w:pPr>
    <w:rPr>
      <w:b/>
      <w:sz w:val="18"/>
      <w:szCs w:val="18"/>
      <w:lang w:val="nl-NL"/>
    </w:rPr>
  </w:style>
  <w:style w:type="paragraph" w:customStyle="1" w:styleId="tit-5">
    <w:name w:val="tit-5"/>
    <w:basedOn w:val="Normal"/>
    <w:next w:val="Normal"/>
    <w:link w:val="tit-5Char"/>
    <w:uiPriority w:val="99"/>
    <w:qFormat/>
    <w:rsid w:val="00D91477"/>
    <w:pPr>
      <w:keepNext/>
      <w:tabs>
        <w:tab w:val="left" w:pos="567"/>
      </w:tabs>
      <w:spacing w:before="180" w:after="0"/>
    </w:pPr>
    <w:rPr>
      <w:smallCaps/>
      <w:spacing w:val="20"/>
    </w:rPr>
  </w:style>
  <w:style w:type="paragraph" w:styleId="TOC1">
    <w:name w:val="toc 1"/>
    <w:basedOn w:val="Normal"/>
    <w:next w:val="Normal"/>
    <w:autoRedefine/>
    <w:uiPriority w:val="39"/>
    <w:rsid w:val="00CC7297"/>
    <w:pPr>
      <w:keepNext/>
      <w:tabs>
        <w:tab w:val="left" w:pos="600"/>
        <w:tab w:val="right" w:leader="dot" w:pos="9019"/>
      </w:tabs>
      <w:spacing w:before="360"/>
    </w:pPr>
    <w:rPr>
      <w:b/>
      <w:bCs/>
      <w:caps/>
      <w:color w:val="999999"/>
      <w:sz w:val="24"/>
    </w:rPr>
  </w:style>
  <w:style w:type="paragraph" w:styleId="TOC2">
    <w:name w:val="toc 2"/>
    <w:basedOn w:val="Normal"/>
    <w:next w:val="Normal"/>
    <w:autoRedefine/>
    <w:uiPriority w:val="39"/>
    <w:rsid w:val="00ED2BA7"/>
    <w:pPr>
      <w:keepNext/>
      <w:tabs>
        <w:tab w:val="left" w:pos="800"/>
        <w:tab w:val="right" w:leader="dot" w:pos="9019"/>
      </w:tabs>
      <w:spacing w:after="0"/>
      <w:ind w:left="198"/>
    </w:pPr>
    <w:rPr>
      <w:b/>
      <w:smallCaps/>
      <w:spacing w:val="26"/>
    </w:rPr>
  </w:style>
  <w:style w:type="paragraph" w:styleId="TOC3">
    <w:name w:val="toc 3"/>
    <w:basedOn w:val="Normal"/>
    <w:next w:val="Normal"/>
    <w:autoRedefine/>
    <w:uiPriority w:val="39"/>
    <w:rsid w:val="00A113AF"/>
    <w:pPr>
      <w:keepNext/>
      <w:tabs>
        <w:tab w:val="left" w:pos="1000"/>
        <w:tab w:val="right" w:leader="dot" w:pos="9019"/>
      </w:tabs>
      <w:spacing w:before="0" w:after="0"/>
      <w:ind w:left="403"/>
    </w:pPr>
    <w:rPr>
      <w:iCs/>
      <w:spacing w:val="24"/>
    </w:rPr>
  </w:style>
  <w:style w:type="paragraph" w:styleId="TOC4">
    <w:name w:val="toc 4"/>
    <w:basedOn w:val="Normal"/>
    <w:next w:val="Normal"/>
    <w:autoRedefine/>
    <w:uiPriority w:val="39"/>
    <w:rsid w:val="00287227"/>
    <w:pPr>
      <w:tabs>
        <w:tab w:val="left" w:pos="1400"/>
        <w:tab w:val="right" w:leader="dot" w:pos="9019"/>
      </w:tabs>
      <w:spacing w:before="0" w:after="0"/>
      <w:ind w:left="1418" w:hanging="818"/>
    </w:pPr>
    <w:rPr>
      <w:szCs w:val="18"/>
    </w:rPr>
  </w:style>
  <w:style w:type="paragraph" w:styleId="TOC5">
    <w:name w:val="toc 5"/>
    <w:basedOn w:val="Normal"/>
    <w:next w:val="Normal"/>
    <w:autoRedefine/>
    <w:uiPriority w:val="39"/>
    <w:rsid w:val="00A74395"/>
    <w:pPr>
      <w:tabs>
        <w:tab w:val="left" w:pos="1782"/>
        <w:tab w:val="right" w:leader="dot" w:pos="9019"/>
      </w:tabs>
      <w:spacing w:before="0" w:after="0"/>
      <w:ind w:left="800"/>
    </w:pPr>
    <w:rPr>
      <w:smallCaps/>
      <w:sz w:val="18"/>
      <w:szCs w:val="18"/>
    </w:rPr>
  </w:style>
  <w:style w:type="paragraph" w:styleId="TOC6">
    <w:name w:val="toc 6"/>
    <w:basedOn w:val="Normal"/>
    <w:next w:val="Normal"/>
    <w:autoRedefine/>
    <w:uiPriority w:val="39"/>
    <w:rsid w:val="008576D0"/>
    <w:pPr>
      <w:spacing w:before="0" w:after="0"/>
      <w:ind w:left="1000"/>
    </w:pPr>
    <w:rPr>
      <w:sz w:val="16"/>
      <w:szCs w:val="18"/>
    </w:rPr>
  </w:style>
  <w:style w:type="paragraph" w:styleId="TOC7">
    <w:name w:val="toc 7"/>
    <w:basedOn w:val="Normal"/>
    <w:next w:val="Normal"/>
    <w:autoRedefine/>
    <w:uiPriority w:val="39"/>
    <w:rsid w:val="00A8489B"/>
    <w:pPr>
      <w:spacing w:before="0" w:after="0"/>
      <w:ind w:left="1200"/>
    </w:pPr>
    <w:rPr>
      <w:rFonts w:ascii="Times New Roman" w:hAnsi="Times New Roman"/>
      <w:sz w:val="18"/>
      <w:szCs w:val="18"/>
    </w:rPr>
  </w:style>
  <w:style w:type="paragraph" w:styleId="TOC8">
    <w:name w:val="toc 8"/>
    <w:basedOn w:val="Normal"/>
    <w:next w:val="Normal"/>
    <w:autoRedefine/>
    <w:uiPriority w:val="39"/>
    <w:rsid w:val="00A8489B"/>
    <w:pPr>
      <w:spacing w:before="0" w:after="0"/>
      <w:ind w:left="1400"/>
    </w:pPr>
    <w:rPr>
      <w:rFonts w:ascii="Times New Roman" w:hAnsi="Times New Roman"/>
      <w:sz w:val="18"/>
      <w:szCs w:val="18"/>
    </w:rPr>
  </w:style>
  <w:style w:type="paragraph" w:styleId="TOC9">
    <w:name w:val="toc 9"/>
    <w:basedOn w:val="Normal"/>
    <w:next w:val="Normal"/>
    <w:autoRedefine/>
    <w:uiPriority w:val="39"/>
    <w:rsid w:val="00A8489B"/>
    <w:pPr>
      <w:spacing w:before="0" w:after="0"/>
      <w:ind w:left="1600"/>
    </w:pPr>
    <w:rPr>
      <w:rFonts w:ascii="Times New Roman" w:hAnsi="Times New Roman"/>
      <w:sz w:val="18"/>
      <w:szCs w:val="18"/>
    </w:rPr>
  </w:style>
  <w:style w:type="paragraph" w:styleId="EndnoteText">
    <w:name w:val="endnote text"/>
    <w:basedOn w:val="Normal"/>
    <w:link w:val="EndnoteTextChar"/>
    <w:uiPriority w:val="99"/>
    <w:semiHidden/>
    <w:rsid w:val="00953467"/>
    <w:pPr>
      <w:widowControl w:val="0"/>
      <w:tabs>
        <w:tab w:val="left" w:pos="284"/>
      </w:tabs>
      <w:spacing w:line="220" w:lineRule="atLeast"/>
      <w:ind w:left="284" w:hanging="284"/>
    </w:pPr>
    <w:rPr>
      <w:sz w:val="18"/>
      <w:lang w:val="nl-NL" w:eastAsia="nl-NL"/>
    </w:rPr>
  </w:style>
  <w:style w:type="character" w:styleId="EndnoteReference">
    <w:name w:val="endnote reference"/>
    <w:basedOn w:val="DefaultParagraphFont"/>
    <w:uiPriority w:val="99"/>
    <w:semiHidden/>
    <w:rsid w:val="00A8489B"/>
    <w:rPr>
      <w:rFonts w:ascii="Arial Narrow" w:hAnsi="Arial Narrow"/>
      <w:sz w:val="20"/>
      <w:vertAlign w:val="superscript"/>
    </w:rPr>
  </w:style>
  <w:style w:type="paragraph" w:styleId="CommentText">
    <w:name w:val="annotation text"/>
    <w:basedOn w:val="Normal"/>
    <w:link w:val="CommentTextChar"/>
    <w:uiPriority w:val="99"/>
    <w:semiHidden/>
    <w:rsid w:val="00A8489B"/>
    <w:pPr>
      <w:widowControl w:val="0"/>
      <w:spacing w:line="288" w:lineRule="auto"/>
    </w:pPr>
    <w:rPr>
      <w:lang w:val="nl-NL" w:eastAsia="nl-NL"/>
    </w:rPr>
  </w:style>
  <w:style w:type="paragraph" w:customStyle="1" w:styleId="Endnote">
    <w:name w:val="Endnote"/>
    <w:basedOn w:val="Normal"/>
    <w:uiPriority w:val="99"/>
    <w:semiHidden/>
    <w:rsid w:val="00A8489B"/>
  </w:style>
  <w:style w:type="paragraph" w:styleId="DocumentMap">
    <w:name w:val="Document Map"/>
    <w:basedOn w:val="Normal"/>
    <w:link w:val="DocumentMapChar"/>
    <w:uiPriority w:val="99"/>
    <w:semiHidden/>
    <w:rsid w:val="002F624D"/>
    <w:pPr>
      <w:shd w:val="clear" w:color="auto" w:fill="000080"/>
    </w:pPr>
    <w:rPr>
      <w:rFonts w:cs="Tahoma"/>
      <w:sz w:val="16"/>
    </w:rPr>
  </w:style>
  <w:style w:type="paragraph" w:customStyle="1" w:styleId="normaltabel">
    <w:name w:val="normal tabel"/>
    <w:basedOn w:val="Normal"/>
    <w:qFormat/>
    <w:rsid w:val="00C02282"/>
    <w:pPr>
      <w:widowControl w:val="0"/>
      <w:spacing w:before="60" w:line="200" w:lineRule="atLeast"/>
    </w:pPr>
    <w:rPr>
      <w:sz w:val="18"/>
      <w:lang w:val="nl-NL"/>
    </w:rPr>
  </w:style>
  <w:style w:type="paragraph" w:customStyle="1" w:styleId="XPn">
    <w:name w:val="XP_n"/>
    <w:basedOn w:val="Normal"/>
    <w:link w:val="XPnChar"/>
    <w:uiPriority w:val="99"/>
    <w:semiHidden/>
    <w:rsid w:val="00C95A7B"/>
    <w:pPr>
      <w:widowControl w:val="0"/>
      <w:spacing w:line="280" w:lineRule="exact"/>
    </w:pPr>
    <w:rPr>
      <w:lang w:val="nl-NL"/>
    </w:rPr>
  </w:style>
  <w:style w:type="character" w:customStyle="1" w:styleId="XPnChar">
    <w:name w:val="XP_n Char"/>
    <w:basedOn w:val="DefaultParagraphFont"/>
    <w:link w:val="XPn"/>
    <w:uiPriority w:val="99"/>
    <w:rsid w:val="00C95A7B"/>
    <w:rPr>
      <w:rFonts w:ascii="Arial Narrow" w:hAnsi="Arial Narrow"/>
      <w:lang w:val="nl-NL" w:eastAsia="nl-BE" w:bidi="ar-SA"/>
    </w:rPr>
  </w:style>
  <w:style w:type="numbering" w:styleId="111111">
    <w:name w:val="Outline List 2"/>
    <w:basedOn w:val="NoList"/>
    <w:uiPriority w:val="99"/>
    <w:semiHidden/>
    <w:rsid w:val="009E5F1A"/>
    <w:pPr>
      <w:numPr>
        <w:numId w:val="1"/>
      </w:numPr>
    </w:pPr>
  </w:style>
  <w:style w:type="numbering" w:styleId="1ai">
    <w:name w:val="Outline List 1"/>
    <w:basedOn w:val="NoList"/>
    <w:uiPriority w:val="99"/>
    <w:semiHidden/>
    <w:rsid w:val="009E5F1A"/>
    <w:pPr>
      <w:numPr>
        <w:numId w:val="2"/>
      </w:numPr>
    </w:pPr>
  </w:style>
  <w:style w:type="paragraph" w:customStyle="1" w:styleId="XP">
    <w:name w:val="XP"/>
    <w:uiPriority w:val="99"/>
    <w:semiHidden/>
    <w:rsid w:val="00781AA4"/>
    <w:pPr>
      <w:widowControl w:val="0"/>
      <w:spacing w:before="60" w:after="60" w:line="240" w:lineRule="exact"/>
      <w:jc w:val="both"/>
    </w:pPr>
    <w:rPr>
      <w:rFonts w:ascii="Arial Narrow" w:hAnsi="Arial Narrow"/>
      <w:lang w:val="nl-NL"/>
    </w:rPr>
  </w:style>
  <w:style w:type="paragraph" w:customStyle="1" w:styleId="xpChar">
    <w:name w:val="xp Char"/>
    <w:basedOn w:val="Normal"/>
    <w:link w:val="xpCharChar"/>
    <w:uiPriority w:val="99"/>
    <w:semiHidden/>
    <w:rsid w:val="00781AA4"/>
    <w:pPr>
      <w:keepLines w:val="0"/>
    </w:pPr>
    <w:rPr>
      <w:szCs w:val="24"/>
    </w:rPr>
  </w:style>
  <w:style w:type="character" w:customStyle="1" w:styleId="xpCharChar">
    <w:name w:val="xp Char Char"/>
    <w:basedOn w:val="DefaultParagraphFont"/>
    <w:link w:val="xpChar"/>
    <w:uiPriority w:val="99"/>
    <w:rsid w:val="00781AA4"/>
    <w:rPr>
      <w:rFonts w:ascii="Arial Narrow" w:hAnsi="Arial Narrow"/>
      <w:szCs w:val="24"/>
      <w:lang w:val="nl-BE" w:eastAsia="nl-BE" w:bidi="ar-SA"/>
    </w:rPr>
  </w:style>
  <w:style w:type="numbering" w:styleId="ArticleSection">
    <w:name w:val="Outline List 3"/>
    <w:basedOn w:val="NoList"/>
    <w:uiPriority w:val="99"/>
    <w:semiHidden/>
    <w:rsid w:val="009E5F1A"/>
    <w:pPr>
      <w:numPr>
        <w:numId w:val="3"/>
      </w:numPr>
    </w:pPr>
  </w:style>
  <w:style w:type="paragraph" w:styleId="BlockText">
    <w:name w:val="Block Text"/>
    <w:basedOn w:val="Normal"/>
    <w:uiPriority w:val="99"/>
    <w:semiHidden/>
    <w:rsid w:val="009E5F1A"/>
    <w:pPr>
      <w:spacing w:after="120"/>
      <w:ind w:left="1440" w:right="1440"/>
    </w:pPr>
  </w:style>
  <w:style w:type="paragraph" w:styleId="BodyText">
    <w:name w:val="Body Text"/>
    <w:basedOn w:val="Normal"/>
    <w:link w:val="BodyTextChar"/>
    <w:uiPriority w:val="99"/>
    <w:semiHidden/>
    <w:rsid w:val="009E5F1A"/>
    <w:pPr>
      <w:spacing w:after="120"/>
    </w:pPr>
  </w:style>
  <w:style w:type="paragraph" w:styleId="BodyText2">
    <w:name w:val="Body Text 2"/>
    <w:basedOn w:val="Normal"/>
    <w:link w:val="BodyText2Char"/>
    <w:uiPriority w:val="99"/>
    <w:semiHidden/>
    <w:rsid w:val="009E5F1A"/>
    <w:pPr>
      <w:spacing w:after="120" w:line="480" w:lineRule="auto"/>
    </w:pPr>
  </w:style>
  <w:style w:type="paragraph" w:styleId="BodyText3">
    <w:name w:val="Body Text 3"/>
    <w:basedOn w:val="Normal"/>
    <w:link w:val="BodyText3Char"/>
    <w:uiPriority w:val="99"/>
    <w:semiHidden/>
    <w:rsid w:val="009E5F1A"/>
    <w:pPr>
      <w:spacing w:after="120"/>
    </w:pPr>
    <w:rPr>
      <w:sz w:val="16"/>
      <w:szCs w:val="16"/>
    </w:rPr>
  </w:style>
  <w:style w:type="paragraph" w:styleId="BodyTextFirstIndent">
    <w:name w:val="Body Text First Indent"/>
    <w:basedOn w:val="BodyText"/>
    <w:link w:val="BodyTextFirstIndentChar"/>
    <w:uiPriority w:val="99"/>
    <w:semiHidden/>
    <w:rsid w:val="009E5F1A"/>
    <w:pPr>
      <w:ind w:firstLine="210"/>
    </w:pPr>
  </w:style>
  <w:style w:type="paragraph" w:styleId="BodyTextIndent">
    <w:name w:val="Body Text Indent"/>
    <w:basedOn w:val="Normal"/>
    <w:link w:val="BodyTextIndentChar"/>
    <w:uiPriority w:val="99"/>
    <w:semiHidden/>
    <w:rsid w:val="009E5F1A"/>
    <w:pPr>
      <w:spacing w:after="120"/>
      <w:ind w:left="283"/>
    </w:pPr>
  </w:style>
  <w:style w:type="paragraph" w:styleId="BodyTextFirstIndent2">
    <w:name w:val="Body Text First Indent 2"/>
    <w:basedOn w:val="BodyTextIndent"/>
    <w:link w:val="BodyTextFirstIndent2Char"/>
    <w:uiPriority w:val="99"/>
    <w:semiHidden/>
    <w:rsid w:val="009E5F1A"/>
    <w:pPr>
      <w:ind w:firstLine="210"/>
    </w:pPr>
  </w:style>
  <w:style w:type="paragraph" w:styleId="BodyTextIndent2">
    <w:name w:val="Body Text Indent 2"/>
    <w:basedOn w:val="Normal"/>
    <w:link w:val="BodyTextIndent2Char"/>
    <w:uiPriority w:val="99"/>
    <w:semiHidden/>
    <w:rsid w:val="009E5F1A"/>
    <w:pPr>
      <w:spacing w:after="120" w:line="480" w:lineRule="auto"/>
      <w:ind w:left="283"/>
    </w:pPr>
  </w:style>
  <w:style w:type="paragraph" w:styleId="BodyTextIndent3">
    <w:name w:val="Body Text Indent 3"/>
    <w:basedOn w:val="Normal"/>
    <w:link w:val="BodyTextIndent3Char"/>
    <w:uiPriority w:val="99"/>
    <w:semiHidden/>
    <w:rsid w:val="009E5F1A"/>
    <w:pPr>
      <w:spacing w:after="120"/>
      <w:ind w:left="283"/>
    </w:pPr>
    <w:rPr>
      <w:sz w:val="16"/>
      <w:szCs w:val="16"/>
    </w:rPr>
  </w:style>
  <w:style w:type="paragraph" w:styleId="Closing">
    <w:name w:val="Closing"/>
    <w:basedOn w:val="Normal"/>
    <w:link w:val="ClosingChar"/>
    <w:uiPriority w:val="99"/>
    <w:semiHidden/>
    <w:rsid w:val="009E5F1A"/>
    <w:pPr>
      <w:ind w:left="4252"/>
    </w:pPr>
  </w:style>
  <w:style w:type="paragraph" w:styleId="Date">
    <w:name w:val="Date"/>
    <w:aliases w:val="Input-Date"/>
    <w:basedOn w:val="Normal"/>
    <w:next w:val="Normal"/>
    <w:link w:val="DateChar"/>
    <w:uiPriority w:val="99"/>
    <w:semiHidden/>
    <w:rsid w:val="009E5F1A"/>
  </w:style>
  <w:style w:type="paragraph" w:styleId="E-mailSignature">
    <w:name w:val="E-mail Signature"/>
    <w:basedOn w:val="Normal"/>
    <w:link w:val="E-mailSignatureChar"/>
    <w:uiPriority w:val="99"/>
    <w:semiHidden/>
    <w:rsid w:val="009E5F1A"/>
  </w:style>
  <w:style w:type="character" w:styleId="Emphasis">
    <w:name w:val="Emphasis"/>
    <w:basedOn w:val="DefaultParagraphFont"/>
    <w:uiPriority w:val="99"/>
    <w:rsid w:val="009E5F1A"/>
    <w:rPr>
      <w:i/>
      <w:iCs/>
    </w:rPr>
  </w:style>
  <w:style w:type="paragraph" w:styleId="EnvelopeAddress">
    <w:name w:val="envelope address"/>
    <w:basedOn w:val="Normal"/>
    <w:uiPriority w:val="99"/>
    <w:semiHidden/>
    <w:rsid w:val="009E5F1A"/>
    <w:pPr>
      <w:framePr w:w="7920" w:h="1980" w:hRule="exact" w:hSpace="141" w:wrap="auto" w:hAnchor="page" w:xAlign="center" w:yAlign="bottom"/>
      <w:ind w:left="2880"/>
    </w:pPr>
    <w:rPr>
      <w:rFonts w:ascii="Arial" w:hAnsi="Arial" w:cs="Arial"/>
      <w:sz w:val="24"/>
      <w:szCs w:val="24"/>
    </w:rPr>
  </w:style>
  <w:style w:type="paragraph" w:styleId="EnvelopeReturn">
    <w:name w:val="envelope return"/>
    <w:basedOn w:val="Normal"/>
    <w:uiPriority w:val="99"/>
    <w:semiHidden/>
    <w:rsid w:val="009E5F1A"/>
    <w:rPr>
      <w:rFonts w:ascii="Arial" w:hAnsi="Arial" w:cs="Arial"/>
    </w:rPr>
  </w:style>
  <w:style w:type="character" w:styleId="FollowedHyperlink">
    <w:name w:val="FollowedHyperlink"/>
    <w:basedOn w:val="DefaultParagraphFont"/>
    <w:uiPriority w:val="99"/>
    <w:semiHidden/>
    <w:rsid w:val="009E5F1A"/>
    <w:rPr>
      <w:color w:val="800080"/>
      <w:u w:val="single"/>
    </w:rPr>
  </w:style>
  <w:style w:type="character" w:styleId="HTMLAcronym">
    <w:name w:val="HTML Acronym"/>
    <w:basedOn w:val="DefaultParagraphFont"/>
    <w:uiPriority w:val="99"/>
    <w:semiHidden/>
    <w:rsid w:val="009E5F1A"/>
  </w:style>
  <w:style w:type="paragraph" w:styleId="HTMLAddress">
    <w:name w:val="HTML Address"/>
    <w:basedOn w:val="Normal"/>
    <w:link w:val="HTMLAddressChar"/>
    <w:uiPriority w:val="99"/>
    <w:semiHidden/>
    <w:rsid w:val="009E5F1A"/>
    <w:rPr>
      <w:i/>
      <w:iCs/>
    </w:rPr>
  </w:style>
  <w:style w:type="character" w:styleId="HTMLCite">
    <w:name w:val="HTML Cite"/>
    <w:basedOn w:val="DefaultParagraphFont"/>
    <w:uiPriority w:val="99"/>
    <w:semiHidden/>
    <w:rsid w:val="009E5F1A"/>
    <w:rPr>
      <w:i/>
      <w:iCs/>
    </w:rPr>
  </w:style>
  <w:style w:type="character" w:styleId="HTMLCode">
    <w:name w:val="HTML Code"/>
    <w:basedOn w:val="DefaultParagraphFont"/>
    <w:uiPriority w:val="99"/>
    <w:semiHidden/>
    <w:rsid w:val="009E5F1A"/>
    <w:rPr>
      <w:rFonts w:ascii="Courier New" w:hAnsi="Courier New" w:cs="Courier New"/>
      <w:sz w:val="20"/>
      <w:szCs w:val="20"/>
    </w:rPr>
  </w:style>
  <w:style w:type="character" w:styleId="HTMLDefinition">
    <w:name w:val="HTML Definition"/>
    <w:basedOn w:val="DefaultParagraphFont"/>
    <w:uiPriority w:val="99"/>
    <w:semiHidden/>
    <w:rsid w:val="009E5F1A"/>
    <w:rPr>
      <w:i/>
      <w:iCs/>
    </w:rPr>
  </w:style>
  <w:style w:type="character" w:styleId="HTMLKeyboard">
    <w:name w:val="HTML Keyboard"/>
    <w:basedOn w:val="DefaultParagraphFont"/>
    <w:uiPriority w:val="99"/>
    <w:semiHidden/>
    <w:rsid w:val="009E5F1A"/>
    <w:rPr>
      <w:rFonts w:ascii="Courier New" w:hAnsi="Courier New" w:cs="Courier New"/>
      <w:sz w:val="20"/>
      <w:szCs w:val="20"/>
    </w:rPr>
  </w:style>
  <w:style w:type="paragraph" w:styleId="HTMLPreformatted">
    <w:name w:val="HTML Preformatted"/>
    <w:basedOn w:val="Normal"/>
    <w:link w:val="HTMLPreformattedChar"/>
    <w:uiPriority w:val="99"/>
    <w:semiHidden/>
    <w:rsid w:val="009E5F1A"/>
    <w:rPr>
      <w:rFonts w:ascii="Courier New" w:hAnsi="Courier New" w:cs="Courier New"/>
    </w:rPr>
  </w:style>
  <w:style w:type="character" w:styleId="HTMLSample">
    <w:name w:val="HTML Sample"/>
    <w:basedOn w:val="DefaultParagraphFont"/>
    <w:uiPriority w:val="99"/>
    <w:semiHidden/>
    <w:rsid w:val="009E5F1A"/>
    <w:rPr>
      <w:rFonts w:ascii="Courier New" w:hAnsi="Courier New" w:cs="Courier New"/>
    </w:rPr>
  </w:style>
  <w:style w:type="character" w:styleId="HTMLTypewriter">
    <w:name w:val="HTML Typewriter"/>
    <w:basedOn w:val="DefaultParagraphFont"/>
    <w:uiPriority w:val="99"/>
    <w:semiHidden/>
    <w:rsid w:val="009E5F1A"/>
    <w:rPr>
      <w:rFonts w:ascii="Courier New" w:hAnsi="Courier New" w:cs="Courier New"/>
      <w:sz w:val="20"/>
      <w:szCs w:val="20"/>
    </w:rPr>
  </w:style>
  <w:style w:type="character" w:styleId="HTMLVariable">
    <w:name w:val="HTML Variable"/>
    <w:basedOn w:val="DefaultParagraphFont"/>
    <w:uiPriority w:val="99"/>
    <w:semiHidden/>
    <w:rsid w:val="009E5F1A"/>
    <w:rPr>
      <w:i/>
      <w:iCs/>
    </w:rPr>
  </w:style>
  <w:style w:type="character" w:styleId="Hyperlink">
    <w:name w:val="Hyperlink"/>
    <w:basedOn w:val="DefaultParagraphFont"/>
    <w:uiPriority w:val="99"/>
    <w:rsid w:val="009E5F1A"/>
    <w:rPr>
      <w:color w:val="0000FF"/>
      <w:u w:val="single"/>
    </w:rPr>
  </w:style>
  <w:style w:type="character" w:styleId="LineNumber">
    <w:name w:val="line number"/>
    <w:basedOn w:val="DefaultParagraphFont"/>
    <w:uiPriority w:val="99"/>
    <w:semiHidden/>
    <w:rsid w:val="009E5F1A"/>
  </w:style>
  <w:style w:type="paragraph" w:styleId="List">
    <w:name w:val="List"/>
    <w:basedOn w:val="Normal"/>
    <w:uiPriority w:val="99"/>
    <w:semiHidden/>
    <w:rsid w:val="009E5F1A"/>
    <w:pPr>
      <w:ind w:left="283" w:hanging="283"/>
    </w:pPr>
  </w:style>
  <w:style w:type="paragraph" w:styleId="List2">
    <w:name w:val="List 2"/>
    <w:basedOn w:val="Normal"/>
    <w:uiPriority w:val="99"/>
    <w:semiHidden/>
    <w:rsid w:val="009E5F1A"/>
    <w:pPr>
      <w:ind w:left="566" w:hanging="283"/>
    </w:pPr>
  </w:style>
  <w:style w:type="paragraph" w:styleId="List3">
    <w:name w:val="List 3"/>
    <w:basedOn w:val="Normal"/>
    <w:uiPriority w:val="99"/>
    <w:semiHidden/>
    <w:rsid w:val="009E5F1A"/>
    <w:pPr>
      <w:ind w:left="849" w:hanging="283"/>
    </w:pPr>
  </w:style>
  <w:style w:type="paragraph" w:styleId="List4">
    <w:name w:val="List 4"/>
    <w:basedOn w:val="Normal"/>
    <w:uiPriority w:val="99"/>
    <w:semiHidden/>
    <w:rsid w:val="009E5F1A"/>
    <w:pPr>
      <w:ind w:left="1132" w:hanging="283"/>
    </w:pPr>
  </w:style>
  <w:style w:type="paragraph" w:styleId="List5">
    <w:name w:val="List 5"/>
    <w:basedOn w:val="Normal"/>
    <w:uiPriority w:val="99"/>
    <w:semiHidden/>
    <w:rsid w:val="009E5F1A"/>
    <w:pPr>
      <w:ind w:left="1415" w:hanging="283"/>
    </w:pPr>
  </w:style>
  <w:style w:type="paragraph" w:styleId="ListBullet">
    <w:name w:val="List Bullet"/>
    <w:basedOn w:val="Normal"/>
    <w:rsid w:val="009E5F1A"/>
    <w:pPr>
      <w:numPr>
        <w:numId w:val="4"/>
      </w:numPr>
    </w:pPr>
  </w:style>
  <w:style w:type="paragraph" w:styleId="ListBullet2">
    <w:name w:val="List Bullet 2"/>
    <w:basedOn w:val="Normal"/>
    <w:rsid w:val="009E5F1A"/>
    <w:pPr>
      <w:numPr>
        <w:numId w:val="5"/>
      </w:numPr>
    </w:pPr>
  </w:style>
  <w:style w:type="paragraph" w:styleId="ListBullet3">
    <w:name w:val="List Bullet 3"/>
    <w:basedOn w:val="Normal"/>
    <w:uiPriority w:val="99"/>
    <w:semiHidden/>
    <w:rsid w:val="009E5F1A"/>
    <w:pPr>
      <w:numPr>
        <w:numId w:val="6"/>
      </w:numPr>
    </w:pPr>
  </w:style>
  <w:style w:type="paragraph" w:styleId="ListBullet4">
    <w:name w:val="List Bullet 4"/>
    <w:basedOn w:val="Normal"/>
    <w:uiPriority w:val="99"/>
    <w:semiHidden/>
    <w:rsid w:val="009E5F1A"/>
    <w:pPr>
      <w:numPr>
        <w:numId w:val="7"/>
      </w:numPr>
    </w:pPr>
  </w:style>
  <w:style w:type="paragraph" w:styleId="ListBullet5">
    <w:name w:val="List Bullet 5"/>
    <w:basedOn w:val="Normal"/>
    <w:uiPriority w:val="99"/>
    <w:semiHidden/>
    <w:rsid w:val="009E5F1A"/>
    <w:pPr>
      <w:numPr>
        <w:numId w:val="8"/>
      </w:numPr>
    </w:pPr>
  </w:style>
  <w:style w:type="paragraph" w:styleId="ListContinue">
    <w:name w:val="List Continue"/>
    <w:basedOn w:val="Normal"/>
    <w:uiPriority w:val="99"/>
    <w:semiHidden/>
    <w:rsid w:val="009E5F1A"/>
    <w:pPr>
      <w:spacing w:after="120"/>
      <w:ind w:left="283"/>
    </w:pPr>
  </w:style>
  <w:style w:type="paragraph" w:styleId="ListContinue2">
    <w:name w:val="List Continue 2"/>
    <w:basedOn w:val="Normal"/>
    <w:uiPriority w:val="99"/>
    <w:semiHidden/>
    <w:rsid w:val="009E5F1A"/>
    <w:pPr>
      <w:spacing w:after="120"/>
      <w:ind w:left="566"/>
    </w:pPr>
  </w:style>
  <w:style w:type="paragraph" w:styleId="ListContinue3">
    <w:name w:val="List Continue 3"/>
    <w:basedOn w:val="Normal"/>
    <w:uiPriority w:val="99"/>
    <w:semiHidden/>
    <w:rsid w:val="009E5F1A"/>
    <w:pPr>
      <w:spacing w:after="120"/>
      <w:ind w:left="849"/>
    </w:pPr>
  </w:style>
  <w:style w:type="paragraph" w:styleId="ListContinue4">
    <w:name w:val="List Continue 4"/>
    <w:basedOn w:val="Normal"/>
    <w:uiPriority w:val="99"/>
    <w:semiHidden/>
    <w:rsid w:val="009E5F1A"/>
    <w:pPr>
      <w:spacing w:after="120"/>
      <w:ind w:left="1132"/>
    </w:pPr>
  </w:style>
  <w:style w:type="paragraph" w:styleId="ListContinue5">
    <w:name w:val="List Continue 5"/>
    <w:basedOn w:val="Normal"/>
    <w:uiPriority w:val="99"/>
    <w:semiHidden/>
    <w:rsid w:val="009E5F1A"/>
    <w:pPr>
      <w:spacing w:after="120"/>
      <w:ind w:left="1415"/>
    </w:pPr>
  </w:style>
  <w:style w:type="paragraph" w:styleId="ListNumber3">
    <w:name w:val="List Number 3"/>
    <w:basedOn w:val="Normal"/>
    <w:semiHidden/>
    <w:rsid w:val="009E5F1A"/>
    <w:pPr>
      <w:numPr>
        <w:numId w:val="9"/>
      </w:numPr>
    </w:pPr>
  </w:style>
  <w:style w:type="paragraph" w:styleId="ListNumber4">
    <w:name w:val="List Number 4"/>
    <w:basedOn w:val="Normal"/>
    <w:uiPriority w:val="99"/>
    <w:semiHidden/>
    <w:rsid w:val="009E5F1A"/>
    <w:pPr>
      <w:numPr>
        <w:numId w:val="10"/>
      </w:numPr>
    </w:pPr>
  </w:style>
  <w:style w:type="paragraph" w:styleId="ListNumber5">
    <w:name w:val="List Number 5"/>
    <w:basedOn w:val="Normal"/>
    <w:uiPriority w:val="99"/>
    <w:semiHidden/>
    <w:rsid w:val="009E5F1A"/>
    <w:pPr>
      <w:numPr>
        <w:numId w:val="11"/>
      </w:numPr>
    </w:pPr>
  </w:style>
  <w:style w:type="paragraph" w:styleId="MessageHeader">
    <w:name w:val="Message Header"/>
    <w:basedOn w:val="Normal"/>
    <w:link w:val="MessageHeaderChar"/>
    <w:uiPriority w:val="99"/>
    <w:semiHidden/>
    <w:rsid w:val="009E5F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9E5F1A"/>
    <w:rPr>
      <w:rFonts w:ascii="Times New Roman" w:hAnsi="Times New Roman"/>
      <w:sz w:val="24"/>
      <w:szCs w:val="24"/>
    </w:rPr>
  </w:style>
  <w:style w:type="paragraph" w:styleId="NormalIndent">
    <w:name w:val="Normal Indent"/>
    <w:basedOn w:val="Normal"/>
    <w:uiPriority w:val="99"/>
    <w:semiHidden/>
    <w:rsid w:val="009E5F1A"/>
    <w:pPr>
      <w:ind w:left="708"/>
    </w:pPr>
  </w:style>
  <w:style w:type="paragraph" w:styleId="NoteHeading">
    <w:name w:val="Note Heading"/>
    <w:basedOn w:val="Normal"/>
    <w:next w:val="Normal"/>
    <w:link w:val="NoteHeadingChar"/>
    <w:uiPriority w:val="99"/>
    <w:semiHidden/>
    <w:rsid w:val="009E5F1A"/>
  </w:style>
  <w:style w:type="paragraph" w:styleId="PlainText">
    <w:name w:val="Plain Text"/>
    <w:basedOn w:val="Normal"/>
    <w:link w:val="PlainTextChar"/>
    <w:uiPriority w:val="99"/>
    <w:semiHidden/>
    <w:rsid w:val="009E5F1A"/>
    <w:rPr>
      <w:rFonts w:ascii="Courier New" w:hAnsi="Courier New" w:cs="Courier New"/>
    </w:rPr>
  </w:style>
  <w:style w:type="paragraph" w:styleId="Salutation">
    <w:name w:val="Salutation"/>
    <w:basedOn w:val="Normal"/>
    <w:next w:val="Normal"/>
    <w:link w:val="SalutationChar"/>
    <w:uiPriority w:val="99"/>
    <w:semiHidden/>
    <w:rsid w:val="009E5F1A"/>
  </w:style>
  <w:style w:type="paragraph" w:styleId="Signature">
    <w:name w:val="Signature"/>
    <w:basedOn w:val="Normal"/>
    <w:link w:val="SignatureChar"/>
    <w:uiPriority w:val="99"/>
    <w:semiHidden/>
    <w:rsid w:val="009E5F1A"/>
    <w:pPr>
      <w:ind w:left="4252"/>
    </w:pPr>
  </w:style>
  <w:style w:type="character" w:styleId="Strong">
    <w:name w:val="Strong"/>
    <w:basedOn w:val="DefaultParagraphFont"/>
    <w:uiPriority w:val="99"/>
    <w:rsid w:val="009E5F1A"/>
    <w:rPr>
      <w:b/>
      <w:bCs/>
    </w:rPr>
  </w:style>
  <w:style w:type="paragraph" w:styleId="Subtitle">
    <w:name w:val="Subtitle"/>
    <w:basedOn w:val="Normal"/>
    <w:link w:val="SubtitleChar"/>
    <w:uiPriority w:val="99"/>
    <w:rsid w:val="009E5F1A"/>
    <w:pPr>
      <w:jc w:val="center"/>
      <w:outlineLvl w:val="1"/>
    </w:pPr>
    <w:rPr>
      <w:rFonts w:ascii="Arial" w:hAnsi="Arial" w:cs="Arial"/>
      <w:sz w:val="24"/>
      <w:szCs w:val="24"/>
    </w:rPr>
  </w:style>
  <w:style w:type="table" w:styleId="Table3Deffects1">
    <w:name w:val="Table 3D effects 1"/>
    <w:basedOn w:val="TableNormal"/>
    <w:uiPriority w:val="99"/>
    <w:semiHidden/>
    <w:rsid w:val="009E5F1A"/>
    <w:pPr>
      <w:keepLines/>
      <w:spacing w:before="60" w:after="60" w:line="280" w:lineRule="atLeast"/>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E5F1A"/>
    <w:pPr>
      <w:keepLines/>
      <w:spacing w:before="60" w:after="60" w:line="280" w:lineRule="atLeast"/>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E5F1A"/>
    <w:pPr>
      <w:keepLines/>
      <w:spacing w:before="60" w:after="60" w:line="280" w:lineRule="atLeast"/>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E5F1A"/>
    <w:pPr>
      <w:keepLines/>
      <w:spacing w:before="60" w:after="60" w:line="280" w:lineRule="atLeas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E5F1A"/>
    <w:pPr>
      <w:keepLines/>
      <w:spacing w:before="60" w:after="60" w:line="280" w:lineRule="atLeas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E5F1A"/>
    <w:pPr>
      <w:keepLines/>
      <w:spacing w:before="60" w:after="60" w:line="280" w:lineRule="atLeast"/>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E5F1A"/>
    <w:pPr>
      <w:keepLines/>
      <w:spacing w:before="60" w:after="60" w:line="280" w:lineRule="atLeast"/>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E5F1A"/>
    <w:pPr>
      <w:keepLines/>
      <w:spacing w:before="60" w:after="60" w:line="280" w:lineRule="atLeast"/>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E5F1A"/>
    <w:pPr>
      <w:keepLines/>
      <w:spacing w:before="60" w:after="60" w:line="280" w:lineRule="atLeast"/>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E5F1A"/>
    <w:pPr>
      <w:keepLines/>
      <w:spacing w:before="60" w:after="60" w:line="280" w:lineRule="atLeast"/>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E5F1A"/>
    <w:pPr>
      <w:keepLines/>
      <w:spacing w:before="60" w:after="60" w:line="280" w:lineRule="atLeast"/>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E5F1A"/>
    <w:pPr>
      <w:keepLines/>
      <w:spacing w:before="60" w:after="60" w:line="280" w:lineRule="atLeast"/>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E5F1A"/>
    <w:pPr>
      <w:keepLines/>
      <w:spacing w:before="60" w:after="60" w:line="280" w:lineRule="atLeast"/>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E5F1A"/>
    <w:pPr>
      <w:keepLines/>
      <w:spacing w:before="60" w:after="60" w:line="280" w:lineRule="atLeast"/>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9E5F1A"/>
    <w:pPr>
      <w:keepLines/>
      <w:spacing w:before="60" w:after="60" w:line="280" w:lineRule="atLeast"/>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9E5F1A"/>
    <w:pPr>
      <w:keepLines/>
      <w:spacing w:before="60" w:after="60" w:line="280" w:lineRule="atLeast"/>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E5F1A"/>
    <w:pPr>
      <w:keepLines/>
      <w:spacing w:before="60" w:after="60" w:line="280" w:lineRule="atLeas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E5F1A"/>
    <w:pPr>
      <w:keepLines/>
      <w:spacing w:before="60" w:after="60" w:line="28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9E5F1A"/>
    <w:pPr>
      <w:keepLines/>
      <w:spacing w:before="60" w:after="60" w:line="280" w:lineRule="atLeas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E5F1A"/>
    <w:pPr>
      <w:keepLines/>
      <w:spacing w:before="60" w:after="60" w:line="280" w:lineRule="atLeast"/>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E5F1A"/>
    <w:pPr>
      <w:keepLines/>
      <w:spacing w:before="60" w:after="60" w:line="280" w:lineRule="atLeast"/>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E5F1A"/>
    <w:pPr>
      <w:keepLines/>
      <w:spacing w:before="60" w:after="60" w:line="280" w:lineRule="atLeast"/>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E5F1A"/>
    <w:pPr>
      <w:keepLines/>
      <w:spacing w:before="60" w:after="60" w:line="280" w:lineRule="atLeast"/>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9E5F1A"/>
    <w:pPr>
      <w:keepLines/>
      <w:spacing w:before="60" w:after="60" w:line="280" w:lineRule="atLeast"/>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9E5F1A"/>
    <w:pPr>
      <w:keepLines/>
      <w:spacing w:before="60" w:after="60" w:line="280" w:lineRule="atLeast"/>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9E5F1A"/>
    <w:pPr>
      <w:keepLines/>
      <w:spacing w:before="60" w:after="60" w:line="280" w:lineRule="atLeast"/>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E5F1A"/>
    <w:pPr>
      <w:keepLines/>
      <w:spacing w:before="60" w:after="60" w:line="280" w:lineRule="atLeast"/>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E5F1A"/>
    <w:pPr>
      <w:keepLines/>
      <w:spacing w:before="60" w:after="60" w:line="280" w:lineRule="atLeast"/>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E5F1A"/>
    <w:pPr>
      <w:keepLines/>
      <w:spacing w:before="60" w:after="60" w:line="280" w:lineRule="atLeast"/>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E5F1A"/>
    <w:pPr>
      <w:keepLines/>
      <w:spacing w:before="60" w:after="60" w:line="280" w:lineRule="atLeast"/>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E5F1A"/>
    <w:pPr>
      <w:keepLines/>
      <w:spacing w:before="60" w:after="60" w:line="280" w:lineRule="atLeas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E5F1A"/>
    <w:pPr>
      <w:keepLines/>
      <w:spacing w:before="60" w:after="60" w:line="280" w:lineRule="atLeast"/>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E5F1A"/>
    <w:pPr>
      <w:keepLines/>
      <w:spacing w:before="60" w:after="60" w:line="280" w:lineRule="atLeast"/>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E5F1A"/>
    <w:pPr>
      <w:keepLines/>
      <w:spacing w:before="60" w:after="60" w:line="280" w:lineRule="atLeast"/>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E5F1A"/>
    <w:pPr>
      <w:keepLines/>
      <w:spacing w:before="60" w:after="60" w:line="280" w:lineRule="atLeas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E5F1A"/>
    <w:pPr>
      <w:keepLines/>
      <w:spacing w:before="60" w:after="60" w:line="280" w:lineRule="atLeast"/>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E5F1A"/>
    <w:pPr>
      <w:keepLines/>
      <w:spacing w:before="60" w:after="60" w:line="280" w:lineRule="atLeast"/>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E5F1A"/>
    <w:pPr>
      <w:keepLines/>
      <w:spacing w:before="60" w:after="60" w:line="280" w:lineRule="atLeast"/>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E5F1A"/>
    <w:pPr>
      <w:keepLines/>
      <w:spacing w:before="60" w:after="60" w:line="280" w:lineRule="atLeast"/>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E5F1A"/>
    <w:pPr>
      <w:keepLines/>
      <w:spacing w:before="60" w:after="60" w:line="280" w:lineRule="atLeast"/>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E5F1A"/>
    <w:pPr>
      <w:keepLines/>
      <w:spacing w:before="60" w:after="60" w:line="28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E5F1A"/>
    <w:pPr>
      <w:keepLines/>
      <w:spacing w:before="60" w:after="60" w:line="280" w:lineRule="atLeast"/>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E5F1A"/>
    <w:pPr>
      <w:keepLines/>
      <w:spacing w:before="60" w:after="60" w:line="280" w:lineRule="atLeast"/>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E5F1A"/>
    <w:pPr>
      <w:keepLines/>
      <w:spacing w:before="60" w:after="60" w:line="280" w:lineRule="atLeast"/>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rsid w:val="009E5F1A"/>
    <w:pPr>
      <w:spacing w:before="240"/>
      <w:jc w:val="center"/>
      <w:outlineLvl w:val="0"/>
    </w:pPr>
    <w:rPr>
      <w:rFonts w:ascii="Arial" w:hAnsi="Arial" w:cs="Arial"/>
      <w:b/>
      <w:bCs/>
      <w:kern w:val="28"/>
      <w:sz w:val="32"/>
      <w:szCs w:val="32"/>
    </w:rPr>
  </w:style>
  <w:style w:type="paragraph" w:styleId="ListNumber">
    <w:name w:val="List Number"/>
    <w:basedOn w:val="Normal"/>
    <w:uiPriority w:val="99"/>
    <w:semiHidden/>
    <w:rsid w:val="008A0D9F"/>
    <w:pPr>
      <w:numPr>
        <w:numId w:val="12"/>
      </w:numPr>
    </w:pPr>
  </w:style>
  <w:style w:type="paragraph" w:styleId="ListNumber2">
    <w:name w:val="List Number 2"/>
    <w:basedOn w:val="Normal"/>
    <w:semiHidden/>
    <w:rsid w:val="008A0D9F"/>
    <w:pPr>
      <w:numPr>
        <w:numId w:val="13"/>
      </w:numPr>
    </w:pPr>
  </w:style>
  <w:style w:type="character" w:customStyle="1" w:styleId="HeaderChar">
    <w:name w:val="Header Char"/>
    <w:aliases w:val="Koptekst-metlijn Char"/>
    <w:basedOn w:val="DefaultParagraphFont"/>
    <w:link w:val="Header"/>
    <w:rsid w:val="008A0D9F"/>
    <w:rPr>
      <w:rFonts w:ascii="Arial Narrow" w:hAnsi="Arial Narrow"/>
      <w:smallCaps/>
      <w:sz w:val="18"/>
      <w:szCs w:val="18"/>
      <w:lang w:eastAsia="en-US" w:bidi="ar-SA"/>
    </w:rPr>
  </w:style>
  <w:style w:type="paragraph" w:customStyle="1" w:styleId="voetnoottabel">
    <w:name w:val="voetnoot tabel"/>
    <w:basedOn w:val="normal0"/>
    <w:next w:val="Normal"/>
    <w:link w:val="voetnoottabelChar"/>
    <w:uiPriority w:val="99"/>
    <w:qFormat/>
    <w:rsid w:val="00FF0A4D"/>
    <w:pPr>
      <w:spacing w:before="40" w:after="40" w:line="200" w:lineRule="atLeast"/>
      <w:ind w:left="198" w:hanging="198"/>
    </w:pPr>
    <w:rPr>
      <w:sz w:val="16"/>
      <w:szCs w:val="18"/>
    </w:rPr>
  </w:style>
  <w:style w:type="character" w:customStyle="1" w:styleId="XPnChar1">
    <w:name w:val="XP_n Char1"/>
    <w:basedOn w:val="DefaultParagraphFont"/>
    <w:uiPriority w:val="99"/>
    <w:semiHidden/>
    <w:rsid w:val="00934A4C"/>
    <w:rPr>
      <w:rFonts w:ascii="Arial Narrow" w:hAnsi="Arial Narrow"/>
      <w:sz w:val="22"/>
      <w:szCs w:val="24"/>
      <w:lang w:val="nl-NL" w:eastAsia="nl-BE" w:bidi="ar-SA"/>
    </w:rPr>
  </w:style>
  <w:style w:type="character" w:styleId="CommentReference">
    <w:name w:val="annotation reference"/>
    <w:basedOn w:val="DefaultParagraphFont"/>
    <w:uiPriority w:val="99"/>
    <w:semiHidden/>
    <w:rsid w:val="00130F21"/>
    <w:rPr>
      <w:sz w:val="16"/>
      <w:szCs w:val="16"/>
    </w:rPr>
  </w:style>
  <w:style w:type="paragraph" w:styleId="CommentSubject">
    <w:name w:val="annotation subject"/>
    <w:basedOn w:val="CommentText"/>
    <w:next w:val="CommentText"/>
    <w:link w:val="CommentSubjectChar"/>
    <w:uiPriority w:val="99"/>
    <w:semiHidden/>
    <w:rsid w:val="00130F21"/>
    <w:pPr>
      <w:widowControl/>
      <w:spacing w:line="280" w:lineRule="atLeast"/>
    </w:pPr>
    <w:rPr>
      <w:b/>
      <w:bCs/>
      <w:lang w:eastAsia="en-US"/>
    </w:rPr>
  </w:style>
  <w:style w:type="paragraph" w:styleId="BalloonText">
    <w:name w:val="Balloon Text"/>
    <w:basedOn w:val="Normal"/>
    <w:link w:val="BalloonTextChar"/>
    <w:uiPriority w:val="99"/>
    <w:semiHidden/>
    <w:rsid w:val="00130F21"/>
    <w:rPr>
      <w:rFonts w:ascii="Tahoma" w:hAnsi="Tahoma" w:cs="Tahoma"/>
      <w:sz w:val="16"/>
      <w:szCs w:val="16"/>
    </w:rPr>
  </w:style>
  <w:style w:type="paragraph" w:customStyle="1" w:styleId="XPntabel">
    <w:name w:val="XP_ntabel"/>
    <w:basedOn w:val="normal0"/>
    <w:semiHidden/>
    <w:rsid w:val="00D553D2"/>
    <w:pPr>
      <w:spacing w:line="240" w:lineRule="atLeast"/>
    </w:pPr>
    <w:rPr>
      <w:sz w:val="18"/>
      <w:szCs w:val="18"/>
    </w:rPr>
  </w:style>
  <w:style w:type="paragraph" w:customStyle="1" w:styleId="Body">
    <w:name w:val="Body"/>
    <w:basedOn w:val="BodyText"/>
    <w:uiPriority w:val="99"/>
    <w:semiHidden/>
    <w:rsid w:val="00D6644A"/>
    <w:pPr>
      <w:keepLines w:val="0"/>
      <w:spacing w:line="260" w:lineRule="exact"/>
    </w:pPr>
    <w:rPr>
      <w:rFonts w:ascii="Times New Roman" w:hAnsi="Times New Roman"/>
      <w:sz w:val="22"/>
    </w:rPr>
  </w:style>
  <w:style w:type="paragraph" w:customStyle="1" w:styleId="normaltabel0">
    <w:name w:val="normal_tabel"/>
    <w:basedOn w:val="Normal"/>
    <w:link w:val="normaltabelChar"/>
    <w:uiPriority w:val="99"/>
    <w:rsid w:val="006D7F8C"/>
    <w:pPr>
      <w:widowControl w:val="0"/>
    </w:pPr>
    <w:rPr>
      <w:sz w:val="18"/>
      <w:szCs w:val="18"/>
      <w:lang w:val="nl-NL"/>
    </w:rPr>
  </w:style>
  <w:style w:type="paragraph" w:customStyle="1" w:styleId="a">
    <w:name w:val="="/>
    <w:uiPriority w:val="99"/>
    <w:semiHidden/>
    <w:rsid w:val="00895929"/>
    <w:pPr>
      <w:keepLines/>
      <w:widowControl w:val="0"/>
      <w:adjustRightInd w:val="0"/>
      <w:spacing w:before="60" w:after="60" w:line="280" w:lineRule="exact"/>
      <w:jc w:val="both"/>
    </w:pPr>
    <w:rPr>
      <w:rFonts w:ascii="Arial Narrow" w:hAnsi="Arial Narrow"/>
      <w:sz w:val="24"/>
      <w:szCs w:val="24"/>
      <w:lang w:val="nl-NL" w:eastAsia="nl-NL"/>
    </w:rPr>
  </w:style>
  <w:style w:type="paragraph" w:styleId="Caption">
    <w:name w:val="caption"/>
    <w:aliases w:val="Bijschrift Char,Tabelkop,Bijschrift 2,Char Char Char,Char Char3,Char Char Char Char,Char Char Char Char Char Char,Caption1,Char Char Char Char1,Char Char Char Char Char1,Char Char Char Char Char2,Char Char Char Char2,Char Char Char Char3"/>
    <w:basedOn w:val="Normal"/>
    <w:next w:val="Normal"/>
    <w:link w:val="CaptionChar"/>
    <w:uiPriority w:val="99"/>
    <w:qFormat/>
    <w:rsid w:val="00895929"/>
    <w:rPr>
      <w:b/>
      <w:bCs/>
    </w:rPr>
  </w:style>
  <w:style w:type="paragraph" w:customStyle="1" w:styleId="xp0">
    <w:name w:val="xp"/>
    <w:basedOn w:val="Normal"/>
    <w:uiPriority w:val="99"/>
    <w:semiHidden/>
    <w:rsid w:val="00895929"/>
    <w:pPr>
      <w:keepLines w:val="0"/>
    </w:pPr>
    <w:rPr>
      <w:szCs w:val="24"/>
    </w:rPr>
  </w:style>
  <w:style w:type="paragraph" w:customStyle="1" w:styleId="LHtext">
    <w:name w:val="LH_text"/>
    <w:basedOn w:val="Normal"/>
    <w:uiPriority w:val="99"/>
    <w:semiHidden/>
    <w:rsid w:val="00895929"/>
    <w:pPr>
      <w:keepLines w:val="0"/>
      <w:spacing w:before="0" w:after="0" w:line="260" w:lineRule="exact"/>
    </w:pPr>
    <w:rPr>
      <w:rFonts w:ascii="Times New Roman" w:hAnsi="Times New Roman"/>
      <w:sz w:val="22"/>
    </w:rPr>
  </w:style>
  <w:style w:type="character" w:customStyle="1" w:styleId="tit-5Char">
    <w:name w:val="tit-5 Char"/>
    <w:basedOn w:val="DefaultParagraphFont"/>
    <w:link w:val="tit-5"/>
    <w:uiPriority w:val="99"/>
    <w:rsid w:val="008E38AD"/>
    <w:rPr>
      <w:rFonts w:ascii="Arial Narrow" w:hAnsi="Arial Narrow"/>
      <w:smallCaps/>
      <w:spacing w:val="20"/>
      <w:lang w:val="nl-BE" w:eastAsia="nl-BE" w:bidi="ar-SA"/>
    </w:rPr>
  </w:style>
  <w:style w:type="paragraph" w:customStyle="1" w:styleId="bodytext1">
    <w:name w:val="bodytext1"/>
    <w:basedOn w:val="Normal"/>
    <w:uiPriority w:val="99"/>
    <w:semiHidden/>
    <w:rsid w:val="00317525"/>
    <w:pPr>
      <w:numPr>
        <w:numId w:val="14"/>
      </w:numPr>
    </w:pPr>
  </w:style>
  <w:style w:type="paragraph" w:customStyle="1" w:styleId="it">
    <w:name w:val="it"/>
    <w:basedOn w:val="Normal"/>
    <w:uiPriority w:val="99"/>
    <w:semiHidden/>
    <w:rsid w:val="0022450A"/>
    <w:pPr>
      <w:keepLines w:val="0"/>
      <w:numPr>
        <w:numId w:val="15"/>
      </w:numPr>
      <w:tabs>
        <w:tab w:val="clear" w:pos="284"/>
        <w:tab w:val="num" w:pos="360"/>
      </w:tabs>
      <w:spacing w:before="0" w:after="0"/>
      <w:ind w:left="0" w:firstLine="0"/>
    </w:pPr>
    <w:rPr>
      <w:rFonts w:ascii="Arial" w:hAnsi="Arial"/>
    </w:rPr>
  </w:style>
  <w:style w:type="paragraph" w:customStyle="1" w:styleId="bodytext0">
    <w:name w:val="bodytext"/>
    <w:basedOn w:val="Normal"/>
    <w:uiPriority w:val="99"/>
    <w:semiHidden/>
    <w:rsid w:val="0022450A"/>
    <w:pPr>
      <w:keepLines w:val="0"/>
      <w:suppressLineNumbers/>
      <w:spacing w:before="0" w:after="0" w:line="360" w:lineRule="auto"/>
    </w:pPr>
    <w:rPr>
      <w:rFonts w:ascii="Arial" w:hAnsi="Arial"/>
      <w:lang w:val="fr-BE"/>
    </w:rPr>
  </w:style>
  <w:style w:type="paragraph" w:customStyle="1" w:styleId="small">
    <w:name w:val="small"/>
    <w:basedOn w:val="Normal"/>
    <w:uiPriority w:val="99"/>
    <w:semiHidden/>
    <w:rsid w:val="003E44EA"/>
    <w:pPr>
      <w:keepLines w:val="0"/>
      <w:suppressAutoHyphens/>
      <w:overflowPunct w:val="0"/>
      <w:autoSpaceDE w:val="0"/>
      <w:autoSpaceDN w:val="0"/>
      <w:adjustRightInd w:val="0"/>
      <w:spacing w:before="0" w:after="120" w:line="264" w:lineRule="auto"/>
      <w:textAlignment w:val="baseline"/>
    </w:pPr>
    <w:rPr>
      <w:rFonts w:ascii="Book Antiqua" w:hAnsi="Book Antiqua"/>
      <w:sz w:val="18"/>
      <w:lang w:val="en-GB"/>
    </w:rPr>
  </w:style>
  <w:style w:type="paragraph" w:customStyle="1" w:styleId="Style2">
    <w:name w:val="Style2"/>
    <w:basedOn w:val="Heading3"/>
    <w:uiPriority w:val="99"/>
    <w:semiHidden/>
    <w:rsid w:val="00B31E4D"/>
    <w:pPr>
      <w:keepLines w:val="0"/>
      <w:numPr>
        <w:ilvl w:val="0"/>
        <w:numId w:val="0"/>
      </w:numPr>
      <w:tabs>
        <w:tab w:val="left" w:pos="-1440"/>
        <w:tab w:val="left" w:pos="-720"/>
        <w:tab w:val="left" w:pos="0"/>
        <w:tab w:val="num" w:pos="567"/>
      </w:tabs>
      <w:spacing w:before="120" w:after="120" w:line="288" w:lineRule="auto"/>
      <w:ind w:left="567" w:hanging="567"/>
    </w:pPr>
    <w:rPr>
      <w:i/>
      <w:noProof/>
      <w:spacing w:val="0"/>
      <w:sz w:val="18"/>
      <w:szCs w:val="18"/>
      <w:lang w:eastAsia="nl-NL"/>
    </w:rPr>
  </w:style>
  <w:style w:type="character" w:customStyle="1" w:styleId="Bodytekst">
    <w:name w:val="Bodytekst"/>
    <w:basedOn w:val="DefaultParagraphFont"/>
    <w:uiPriority w:val="99"/>
    <w:semiHidden/>
    <w:rsid w:val="00CE5244"/>
    <w:rPr>
      <w:rFonts w:ascii="Arial" w:hAnsi="Arial"/>
      <w:noProof w:val="0"/>
      <w:sz w:val="20"/>
    </w:rPr>
  </w:style>
  <w:style w:type="character" w:customStyle="1" w:styleId="tabelChar">
    <w:name w:val="tabel Char"/>
    <w:basedOn w:val="DefaultParagraphFont"/>
    <w:link w:val="tabel0"/>
    <w:rsid w:val="00B07D0A"/>
    <w:rPr>
      <w:rFonts w:ascii="Calibri" w:hAnsi="Calibri"/>
      <w:b/>
      <w:sz w:val="18"/>
      <w:szCs w:val="18"/>
      <w:lang w:val="nl-NL"/>
    </w:rPr>
  </w:style>
  <w:style w:type="paragraph" w:customStyle="1" w:styleId="Normaltsstekst">
    <w:name w:val="Normal_tsstekst"/>
    <w:basedOn w:val="Normal"/>
    <w:uiPriority w:val="99"/>
    <w:rsid w:val="002F47A8"/>
    <w:pPr>
      <w:spacing w:before="60" w:line="200" w:lineRule="atLeast"/>
    </w:pPr>
    <w:rPr>
      <w:sz w:val="18"/>
      <w:lang w:val="nl-NL"/>
    </w:rPr>
  </w:style>
  <w:style w:type="character" w:customStyle="1" w:styleId="Heading4Char">
    <w:name w:val="Heading 4 Char"/>
    <w:aliases w:val="Level 2 - a Char,Kopje Char"/>
    <w:basedOn w:val="DefaultParagraphFont"/>
    <w:link w:val="Heading4"/>
    <w:rsid w:val="00A12934"/>
    <w:rPr>
      <w:rFonts w:ascii="Calibri" w:hAnsi="Calibri"/>
      <w:b/>
      <w:spacing w:val="24"/>
      <w:lang w:val="nl-NL"/>
    </w:rPr>
  </w:style>
  <w:style w:type="character" w:customStyle="1" w:styleId="Heading5Char">
    <w:name w:val="Heading 5 Char"/>
    <w:basedOn w:val="Heading4Char"/>
    <w:link w:val="Heading5"/>
    <w:rsid w:val="00A7288C"/>
    <w:rPr>
      <w:kern w:val="16"/>
      <w:szCs w:val="16"/>
      <w:lang w:val="nl-NL"/>
    </w:rPr>
  </w:style>
  <w:style w:type="character" w:customStyle="1" w:styleId="voetnoottabelChar">
    <w:name w:val="voetnoot tabel Char"/>
    <w:basedOn w:val="normalCharChar"/>
    <w:link w:val="voetnoottabel"/>
    <w:rsid w:val="00FF0A4D"/>
    <w:rPr>
      <w:rFonts w:ascii="Calibri" w:hAnsi="Calibri"/>
      <w:sz w:val="16"/>
      <w:szCs w:val="18"/>
    </w:rPr>
  </w:style>
  <w:style w:type="paragraph" w:customStyle="1" w:styleId="Styletit-5NotBold">
    <w:name w:val="Style tit-5 + Not Bold"/>
    <w:basedOn w:val="tit-5"/>
    <w:link w:val="Styletit-5NotBoldChar"/>
    <w:uiPriority w:val="99"/>
    <w:semiHidden/>
    <w:rsid w:val="00B42E1F"/>
    <w:pPr>
      <w:keepLines w:val="0"/>
    </w:pPr>
    <w:rPr>
      <w:b/>
      <w:spacing w:val="0"/>
      <w:sz w:val="18"/>
    </w:rPr>
  </w:style>
  <w:style w:type="character" w:customStyle="1" w:styleId="Styletit-5NotBoldChar">
    <w:name w:val="Style tit-5 + Not Bold Char"/>
    <w:basedOn w:val="tit-5Char"/>
    <w:link w:val="Styletit-5NotBold"/>
    <w:uiPriority w:val="99"/>
    <w:rsid w:val="00B42E1F"/>
    <w:rPr>
      <w:b/>
      <w:sz w:val="18"/>
    </w:rPr>
  </w:style>
  <w:style w:type="paragraph" w:customStyle="1" w:styleId="NormalTable1">
    <w:name w:val="NormalTable1"/>
    <w:basedOn w:val="Normal"/>
    <w:uiPriority w:val="99"/>
    <w:semiHidden/>
    <w:rsid w:val="00CD78F7"/>
    <w:pPr>
      <w:keepNext/>
      <w:keepLines w:val="0"/>
      <w:spacing w:before="20" w:after="20" w:line="264" w:lineRule="auto"/>
      <w:jc w:val="center"/>
    </w:pPr>
    <w:rPr>
      <w:rFonts w:ascii="Arial" w:hAnsi="Arial"/>
      <w:kern w:val="16"/>
      <w:sz w:val="18"/>
      <w:lang w:val="nl-NL" w:eastAsia="nl-NL"/>
    </w:rPr>
  </w:style>
  <w:style w:type="paragraph" w:customStyle="1" w:styleId="remarktable">
    <w:name w:val="remarktable"/>
    <w:basedOn w:val="Normal"/>
    <w:uiPriority w:val="99"/>
    <w:semiHidden/>
    <w:rsid w:val="00CD78F7"/>
    <w:pPr>
      <w:keepLines w:val="0"/>
      <w:spacing w:before="0" w:after="0" w:line="240" w:lineRule="auto"/>
      <w:ind w:left="142"/>
    </w:pPr>
    <w:rPr>
      <w:rFonts w:ascii="Helvetica" w:hAnsi="Helvetica"/>
      <w:sz w:val="14"/>
      <w:lang w:eastAsia="nl-NL"/>
    </w:rPr>
  </w:style>
  <w:style w:type="character" w:customStyle="1" w:styleId="normalChar">
    <w:name w:val="normal Char"/>
    <w:basedOn w:val="DefaultParagraphFont"/>
    <w:rsid w:val="009E07F7"/>
    <w:rPr>
      <w:rFonts w:ascii="Arial Narrow" w:hAnsi="Arial Narrow"/>
      <w:lang w:val="nl-NL" w:eastAsia="nl-BE" w:bidi="ar-SA"/>
    </w:rPr>
  </w:style>
  <w:style w:type="character" w:customStyle="1" w:styleId="normaltabelChar">
    <w:name w:val="normal_tabel Char"/>
    <w:basedOn w:val="DefaultParagraphFont"/>
    <w:link w:val="normaltabel0"/>
    <w:uiPriority w:val="99"/>
    <w:rsid w:val="00326C08"/>
    <w:rPr>
      <w:rFonts w:ascii="Arial Narrow" w:hAnsi="Arial Narrow"/>
      <w:sz w:val="18"/>
      <w:szCs w:val="18"/>
      <w:lang w:val="nl-NL" w:eastAsia="nl-BE" w:bidi="ar-SA"/>
    </w:rPr>
  </w:style>
  <w:style w:type="paragraph" w:customStyle="1" w:styleId="MERstandaard">
    <w:name w:val="MERstandaard"/>
    <w:basedOn w:val="Normal"/>
    <w:uiPriority w:val="99"/>
    <w:semiHidden/>
    <w:rsid w:val="00814C77"/>
    <w:pPr>
      <w:keepLines w:val="0"/>
      <w:tabs>
        <w:tab w:val="left" w:pos="0"/>
      </w:tabs>
      <w:spacing w:before="0" w:after="0" w:line="240" w:lineRule="auto"/>
    </w:pPr>
    <w:rPr>
      <w:rFonts w:ascii="AvantGarde Bk BT" w:hAnsi="AvantGarde Bk BT"/>
      <w:sz w:val="22"/>
      <w:lang w:val="nl-NL" w:eastAsia="nl-NL"/>
    </w:rPr>
  </w:style>
  <w:style w:type="paragraph" w:customStyle="1" w:styleId="BodyTextTabel">
    <w:name w:val="Body Text Tabel"/>
    <w:basedOn w:val="Normal"/>
    <w:rsid w:val="00610CB5"/>
    <w:pPr>
      <w:keepNext/>
      <w:spacing w:after="120" w:line="240" w:lineRule="auto"/>
    </w:pPr>
    <w:rPr>
      <w:rFonts w:ascii="Arial" w:hAnsi="Arial"/>
      <w:sz w:val="16"/>
      <w:szCs w:val="24"/>
    </w:rPr>
  </w:style>
  <w:style w:type="paragraph" w:customStyle="1" w:styleId="BodyTextTabelkop">
    <w:name w:val="Body Text Tabel kop"/>
    <w:basedOn w:val="BodyTextTabel"/>
    <w:rsid w:val="006F15C5"/>
    <w:rPr>
      <w:b/>
    </w:rPr>
  </w:style>
  <w:style w:type="paragraph" w:customStyle="1" w:styleId="Default">
    <w:name w:val="Default"/>
    <w:uiPriority w:val="99"/>
    <w:rsid w:val="000454D5"/>
    <w:pPr>
      <w:autoSpaceDE w:val="0"/>
      <w:autoSpaceDN w:val="0"/>
      <w:adjustRightInd w:val="0"/>
    </w:pPr>
    <w:rPr>
      <w:rFonts w:ascii="Agenda" w:hAnsi="Agenda" w:cs="Agenda"/>
      <w:color w:val="000000"/>
      <w:sz w:val="24"/>
      <w:szCs w:val="24"/>
      <w:lang w:val="en-US" w:eastAsia="en-US"/>
    </w:rPr>
  </w:style>
  <w:style w:type="paragraph" w:customStyle="1" w:styleId="tit-6">
    <w:name w:val="tit-6"/>
    <w:basedOn w:val="Normal"/>
    <w:uiPriority w:val="99"/>
    <w:rsid w:val="00F36FF3"/>
    <w:pPr>
      <w:numPr>
        <w:numId w:val="19"/>
      </w:numPr>
    </w:pPr>
  </w:style>
  <w:style w:type="paragraph" w:styleId="NoSpacing">
    <w:name w:val="No Spacing"/>
    <w:uiPriority w:val="1"/>
    <w:qFormat/>
    <w:rsid w:val="00D56DD0"/>
    <w:pPr>
      <w:keepLines/>
      <w:jc w:val="both"/>
    </w:pPr>
    <w:rPr>
      <w:rFonts w:ascii="AvantGarde Bk BT" w:hAnsi="AvantGarde Bk BT"/>
      <w:lang w:eastAsia="en-US"/>
    </w:rPr>
  </w:style>
  <w:style w:type="character" w:styleId="IntenseEmphasis">
    <w:name w:val="Intense Emphasis"/>
    <w:basedOn w:val="DefaultParagraphFont"/>
    <w:uiPriority w:val="99"/>
    <w:rsid w:val="00D56DD0"/>
    <w:rPr>
      <w:b/>
      <w:bCs/>
      <w:i/>
      <w:iCs/>
      <w:color w:val="4F81BD"/>
    </w:rPr>
  </w:style>
  <w:style w:type="character" w:styleId="IntenseReference">
    <w:name w:val="Intense Reference"/>
    <w:basedOn w:val="DefaultParagraphFont"/>
    <w:uiPriority w:val="99"/>
    <w:rsid w:val="00D56DD0"/>
    <w:rPr>
      <w:b/>
      <w:bCs/>
      <w:smallCaps/>
      <w:color w:val="C0504D"/>
      <w:spacing w:val="5"/>
      <w:u w:val="single"/>
    </w:rPr>
  </w:style>
  <w:style w:type="paragraph" w:styleId="Revision">
    <w:name w:val="Revision"/>
    <w:hidden/>
    <w:uiPriority w:val="99"/>
    <w:semiHidden/>
    <w:rsid w:val="007A0D0C"/>
    <w:rPr>
      <w:rFonts w:ascii="AvantGarde Bk BT" w:hAnsi="AvantGarde Bk BT"/>
      <w:lang w:eastAsia="en-US"/>
    </w:rPr>
  </w:style>
  <w:style w:type="paragraph" w:customStyle="1" w:styleId="tsstitelgroot">
    <w:name w:val="tsstitel groot"/>
    <w:basedOn w:val="tit-6"/>
    <w:next w:val="Normal"/>
    <w:uiPriority w:val="99"/>
    <w:qFormat/>
    <w:rsid w:val="006444F8"/>
    <w:pPr>
      <w:numPr>
        <w:numId w:val="0"/>
      </w:numPr>
      <w:spacing w:before="240" w:after="0"/>
    </w:pPr>
    <w:rPr>
      <w:b/>
      <w:spacing w:val="24"/>
    </w:rPr>
  </w:style>
  <w:style w:type="paragraph" w:customStyle="1" w:styleId="NormBul">
    <w:name w:val="NormBul"/>
    <w:basedOn w:val="Normal"/>
    <w:link w:val="NormBulChar"/>
    <w:qFormat/>
    <w:rsid w:val="008A2550"/>
    <w:pPr>
      <w:keepLines w:val="0"/>
      <w:tabs>
        <w:tab w:val="left" w:pos="3261"/>
      </w:tabs>
      <w:spacing w:before="0" w:after="0" w:line="300" w:lineRule="exact"/>
    </w:pPr>
    <w:rPr>
      <w:rFonts w:ascii="Arial" w:hAnsi="Arial"/>
      <w:kern w:val="16"/>
      <w:lang w:eastAsia="nl-NL"/>
    </w:rPr>
  </w:style>
  <w:style w:type="paragraph" w:customStyle="1" w:styleId="NormalI">
    <w:name w:val="NormalI"/>
    <w:basedOn w:val="Normal"/>
    <w:link w:val="NormalIChar"/>
    <w:uiPriority w:val="99"/>
    <w:qFormat/>
    <w:rsid w:val="008A2550"/>
    <w:pPr>
      <w:keepLines w:val="0"/>
      <w:spacing w:before="60" w:line="280" w:lineRule="exact"/>
      <w:ind w:firstLine="284"/>
    </w:pPr>
    <w:rPr>
      <w:rFonts w:ascii="Arial" w:hAnsi="Arial"/>
      <w:kern w:val="16"/>
      <w:lang w:val="nl-NL" w:eastAsia="nl-NL"/>
    </w:rPr>
  </w:style>
  <w:style w:type="character" w:customStyle="1" w:styleId="NormBulChar">
    <w:name w:val="NormBul Char"/>
    <w:basedOn w:val="DefaultParagraphFont"/>
    <w:link w:val="NormBul"/>
    <w:rsid w:val="008A2550"/>
    <w:rPr>
      <w:rFonts w:ascii="Arial" w:hAnsi="Arial"/>
      <w:kern w:val="16"/>
      <w:lang w:eastAsia="nl-NL"/>
    </w:rPr>
  </w:style>
  <w:style w:type="character" w:customStyle="1" w:styleId="NormalIChar">
    <w:name w:val="NormalI Char"/>
    <w:basedOn w:val="DefaultParagraphFont"/>
    <w:link w:val="NormalI"/>
    <w:uiPriority w:val="99"/>
    <w:rsid w:val="008A2550"/>
    <w:rPr>
      <w:rFonts w:ascii="Arial" w:hAnsi="Arial"/>
      <w:kern w:val="16"/>
      <w:lang w:val="nl-NL" w:eastAsia="nl-NL"/>
    </w:rPr>
  </w:style>
  <w:style w:type="paragraph" w:customStyle="1" w:styleId="Bulleted">
    <w:name w:val="Bulleted"/>
    <w:basedOn w:val="List"/>
    <w:semiHidden/>
    <w:rsid w:val="00567783"/>
    <w:pPr>
      <w:keepNext/>
      <w:keepLines w:val="0"/>
      <w:numPr>
        <w:numId w:val="21"/>
      </w:numPr>
      <w:tabs>
        <w:tab w:val="left" w:pos="720"/>
      </w:tabs>
    </w:pPr>
    <w:rPr>
      <w:rFonts w:ascii="AvantGarde Bk BT" w:hAnsi="AvantGarde Bk BT"/>
    </w:rPr>
  </w:style>
  <w:style w:type="paragraph" w:customStyle="1" w:styleId="NormalH">
    <w:name w:val="NormalH"/>
    <w:basedOn w:val="Normal"/>
    <w:next w:val="Normal"/>
    <w:uiPriority w:val="99"/>
    <w:semiHidden/>
    <w:rsid w:val="00EA4B49"/>
    <w:pPr>
      <w:keepNext/>
      <w:keepLines w:val="0"/>
      <w:spacing w:before="240" w:after="240" w:line="360" w:lineRule="exact"/>
    </w:pPr>
    <w:rPr>
      <w:rFonts w:ascii="MyriaMM_400 wt 400 wd" w:hAnsi="MyriaMM_400 wt 400 wd"/>
      <w:color w:val="333333"/>
      <w:kern w:val="16"/>
      <w:sz w:val="21"/>
      <w:u w:val="single"/>
      <w:lang w:val="nl-NL"/>
    </w:rPr>
  </w:style>
  <w:style w:type="paragraph" w:customStyle="1" w:styleId="tsstekst">
    <w:name w:val="tsstekst"/>
    <w:basedOn w:val="Normal"/>
    <w:next w:val="Normal"/>
    <w:uiPriority w:val="99"/>
    <w:qFormat/>
    <w:rsid w:val="00257C95"/>
    <w:pPr>
      <w:keepLines w:val="0"/>
      <w:spacing w:line="200" w:lineRule="atLeast"/>
      <w:ind w:left="284" w:right="397"/>
    </w:pPr>
    <w:rPr>
      <w:sz w:val="18"/>
      <w:lang w:val="nl-NL"/>
    </w:rPr>
  </w:style>
  <w:style w:type="character" w:customStyle="1" w:styleId="FootnoteTextChar">
    <w:name w:val="Footnote Text Char"/>
    <w:aliases w:val=" Char Char Char Char Char Char Char Char Char Char,Char Char Char Char Char Char Char Char Char Char"/>
    <w:basedOn w:val="DefaultParagraphFont"/>
    <w:link w:val="FootnoteText"/>
    <w:rsid w:val="004D75CC"/>
    <w:rPr>
      <w:rFonts w:ascii="Calibri" w:hAnsi="Calibri"/>
      <w:sz w:val="16"/>
      <w:szCs w:val="16"/>
      <w:lang w:eastAsia="en-US"/>
    </w:rPr>
  </w:style>
  <w:style w:type="paragraph" w:styleId="ListParagraph">
    <w:name w:val="List Paragraph"/>
    <w:basedOn w:val="Normal"/>
    <w:uiPriority w:val="34"/>
    <w:qFormat/>
    <w:rsid w:val="00CD20A4"/>
    <w:pPr>
      <w:keepLines w:val="0"/>
      <w:ind w:left="720"/>
    </w:pPr>
  </w:style>
  <w:style w:type="character" w:customStyle="1" w:styleId="Heading1Char">
    <w:name w:val="Heading 1 Char"/>
    <w:aliases w:val="titel 1 Char,Hoofdstuktitel Char,Heading Arial 1 Char,Hoofdstukkop Char,Bijlagen Char,H1 Char,Section Heading Char,(Egemin1) Char,Hoofdstuk Char"/>
    <w:basedOn w:val="DefaultParagraphFont"/>
    <w:link w:val="Heading1"/>
    <w:locked/>
    <w:rsid w:val="009746EE"/>
    <w:rPr>
      <w:rFonts w:ascii="Calibri" w:hAnsi="Calibri"/>
      <w:b/>
      <w:caps/>
      <w:color w:val="808080"/>
      <w:spacing w:val="26"/>
      <w:kern w:val="28"/>
      <w:sz w:val="32"/>
      <w:lang w:val="nl" w:eastAsia="en-US"/>
    </w:rPr>
  </w:style>
  <w:style w:type="character" w:customStyle="1" w:styleId="Heading2Char">
    <w:name w:val="Heading 2 Char"/>
    <w:aliases w:val="titel 2 Char,Paragraafkop Char,H2 Char,Reset numbering Char,Paragraaf Char,kop 2 Char"/>
    <w:basedOn w:val="DefaultParagraphFont"/>
    <w:link w:val="Heading2"/>
    <w:locked/>
    <w:rsid w:val="009746EE"/>
    <w:rPr>
      <w:rFonts w:ascii="Calibri" w:hAnsi="Calibri"/>
      <w:b/>
      <w:smallCaps/>
      <w:spacing w:val="20"/>
      <w:sz w:val="24"/>
      <w:lang w:val="nl-NL"/>
    </w:rPr>
  </w:style>
  <w:style w:type="character" w:customStyle="1" w:styleId="Heading3Char">
    <w:name w:val="Heading 3 Char"/>
    <w:aliases w:val="Sub-Paragraaf Char,H3 Char,Level 1 - 1 Char,Subparagraaf Char"/>
    <w:basedOn w:val="DefaultParagraphFont"/>
    <w:link w:val="Heading3"/>
    <w:locked/>
    <w:rsid w:val="009746EE"/>
    <w:rPr>
      <w:rFonts w:ascii="Calibri" w:hAnsi="Calibri"/>
      <w:b/>
      <w:smallCaps/>
      <w:spacing w:val="26"/>
      <w:sz w:val="22"/>
      <w:szCs w:val="24"/>
      <w:lang w:val="nl-NL"/>
    </w:rPr>
  </w:style>
  <w:style w:type="character" w:customStyle="1" w:styleId="Heading6Char">
    <w:name w:val="Heading 6 Char"/>
    <w:basedOn w:val="DefaultParagraphFont"/>
    <w:link w:val="Heading6"/>
    <w:locked/>
    <w:rsid w:val="009746EE"/>
    <w:rPr>
      <w:rFonts w:ascii="Calibri" w:hAnsi="Calibri"/>
      <w:i/>
      <w:smallCaps/>
      <w:spacing w:val="26"/>
      <w:kern w:val="16"/>
      <w:sz w:val="18"/>
      <w:lang w:val="nl-NL" w:eastAsia="en-US"/>
    </w:rPr>
  </w:style>
  <w:style w:type="character" w:customStyle="1" w:styleId="Heading7Char">
    <w:name w:val="Heading 7 Char"/>
    <w:basedOn w:val="DefaultParagraphFont"/>
    <w:link w:val="Heading7"/>
    <w:locked/>
    <w:rsid w:val="009746EE"/>
    <w:rPr>
      <w:rFonts w:ascii="Calibri" w:hAnsi="Calibri"/>
      <w:sz w:val="24"/>
      <w:szCs w:val="24"/>
      <w:lang w:eastAsia="en-US"/>
    </w:rPr>
  </w:style>
  <w:style w:type="character" w:customStyle="1" w:styleId="Heading8Char">
    <w:name w:val="Heading 8 Char"/>
    <w:basedOn w:val="DefaultParagraphFont"/>
    <w:link w:val="Heading8"/>
    <w:locked/>
    <w:rsid w:val="009746EE"/>
    <w:rPr>
      <w:rFonts w:ascii="Helvetica LT Condensed" w:hAnsi="Helvetica LT Condensed"/>
      <w:i/>
      <w:kern w:val="16"/>
      <w:u w:val="single"/>
      <w:lang w:val="nl-NL" w:eastAsia="en-US"/>
    </w:rPr>
  </w:style>
  <w:style w:type="character" w:customStyle="1" w:styleId="Heading9Char">
    <w:name w:val="Heading 9 Char"/>
    <w:basedOn w:val="DefaultParagraphFont"/>
    <w:link w:val="Heading9"/>
    <w:locked/>
    <w:rsid w:val="009746EE"/>
    <w:rPr>
      <w:rFonts w:ascii="Helvetica LT Condensed" w:hAnsi="Helvetica LT Condensed"/>
      <w:i/>
      <w:kern w:val="16"/>
      <w:u w:val="single"/>
      <w:lang w:val="nl-NL" w:eastAsia="en-US"/>
    </w:rPr>
  </w:style>
  <w:style w:type="character" w:customStyle="1" w:styleId="FooterChar">
    <w:name w:val="Footer Char"/>
    <w:basedOn w:val="DefaultParagraphFont"/>
    <w:link w:val="Footer"/>
    <w:uiPriority w:val="99"/>
    <w:semiHidden/>
    <w:locked/>
    <w:rsid w:val="009746EE"/>
    <w:rPr>
      <w:rFonts w:ascii="Calibri" w:hAnsi="Calibri"/>
      <w:b/>
      <w:sz w:val="16"/>
      <w:lang w:eastAsia="en-US"/>
    </w:rPr>
  </w:style>
  <w:style w:type="character" w:customStyle="1" w:styleId="EndnoteTextChar">
    <w:name w:val="Endnote Text Char"/>
    <w:basedOn w:val="DefaultParagraphFont"/>
    <w:link w:val="EndnoteText"/>
    <w:uiPriority w:val="99"/>
    <w:semiHidden/>
    <w:locked/>
    <w:rsid w:val="009746EE"/>
    <w:rPr>
      <w:rFonts w:ascii="Calibri" w:hAnsi="Calibri"/>
      <w:sz w:val="18"/>
      <w:lang w:val="nl-NL" w:eastAsia="nl-NL"/>
    </w:rPr>
  </w:style>
  <w:style w:type="character" w:customStyle="1" w:styleId="CommentTextChar">
    <w:name w:val="Comment Text Char"/>
    <w:basedOn w:val="DefaultParagraphFont"/>
    <w:link w:val="CommentText"/>
    <w:uiPriority w:val="99"/>
    <w:semiHidden/>
    <w:locked/>
    <w:rsid w:val="009746EE"/>
    <w:rPr>
      <w:rFonts w:ascii="Calibri" w:hAnsi="Calibri"/>
      <w:lang w:val="nl-NL" w:eastAsia="nl-NL"/>
    </w:rPr>
  </w:style>
  <w:style w:type="character" w:customStyle="1" w:styleId="DocumentMapChar">
    <w:name w:val="Document Map Char"/>
    <w:basedOn w:val="DefaultParagraphFont"/>
    <w:link w:val="DocumentMap"/>
    <w:uiPriority w:val="99"/>
    <w:semiHidden/>
    <w:locked/>
    <w:rsid w:val="009746EE"/>
    <w:rPr>
      <w:rFonts w:ascii="Calibri" w:hAnsi="Calibri" w:cs="Tahoma"/>
      <w:sz w:val="16"/>
      <w:shd w:val="clear" w:color="auto" w:fill="000080"/>
      <w:lang w:eastAsia="en-US"/>
    </w:rPr>
  </w:style>
  <w:style w:type="character" w:customStyle="1" w:styleId="BodyTextChar">
    <w:name w:val="Body Text Char"/>
    <w:basedOn w:val="DefaultParagraphFont"/>
    <w:link w:val="BodyText"/>
    <w:uiPriority w:val="99"/>
    <w:semiHidden/>
    <w:locked/>
    <w:rsid w:val="009746EE"/>
    <w:rPr>
      <w:rFonts w:ascii="Calibri" w:hAnsi="Calibri"/>
      <w:lang w:eastAsia="en-US"/>
    </w:rPr>
  </w:style>
  <w:style w:type="character" w:customStyle="1" w:styleId="BodyText2Char">
    <w:name w:val="Body Text 2 Char"/>
    <w:basedOn w:val="DefaultParagraphFont"/>
    <w:link w:val="BodyText2"/>
    <w:uiPriority w:val="99"/>
    <w:semiHidden/>
    <w:locked/>
    <w:rsid w:val="009746EE"/>
    <w:rPr>
      <w:rFonts w:ascii="Calibri" w:hAnsi="Calibri"/>
      <w:lang w:eastAsia="en-US"/>
    </w:rPr>
  </w:style>
  <w:style w:type="character" w:customStyle="1" w:styleId="BodyText3Char">
    <w:name w:val="Body Text 3 Char"/>
    <w:basedOn w:val="DefaultParagraphFont"/>
    <w:link w:val="BodyText3"/>
    <w:uiPriority w:val="99"/>
    <w:semiHidden/>
    <w:locked/>
    <w:rsid w:val="009746EE"/>
    <w:rPr>
      <w:rFonts w:ascii="Calibri" w:hAnsi="Calibri"/>
      <w:sz w:val="16"/>
      <w:szCs w:val="16"/>
      <w:lang w:eastAsia="en-US"/>
    </w:rPr>
  </w:style>
  <w:style w:type="character" w:customStyle="1" w:styleId="BodyTextFirstIndentChar">
    <w:name w:val="Body Text First Indent Char"/>
    <w:basedOn w:val="BodyTextChar"/>
    <w:link w:val="BodyTextFirstIndent"/>
    <w:uiPriority w:val="99"/>
    <w:semiHidden/>
    <w:locked/>
    <w:rsid w:val="009746EE"/>
  </w:style>
  <w:style w:type="character" w:customStyle="1" w:styleId="BodyTextIndentChar">
    <w:name w:val="Body Text Indent Char"/>
    <w:basedOn w:val="DefaultParagraphFont"/>
    <w:link w:val="BodyTextIndent"/>
    <w:uiPriority w:val="99"/>
    <w:semiHidden/>
    <w:locked/>
    <w:rsid w:val="009746EE"/>
    <w:rPr>
      <w:rFonts w:ascii="Calibri" w:hAnsi="Calibri"/>
      <w:lang w:eastAsia="en-US"/>
    </w:rPr>
  </w:style>
  <w:style w:type="character" w:customStyle="1" w:styleId="BodyTextFirstIndent2Char">
    <w:name w:val="Body Text First Indent 2 Char"/>
    <w:basedOn w:val="BodyTextIndentChar"/>
    <w:link w:val="BodyTextFirstIndent2"/>
    <w:uiPriority w:val="99"/>
    <w:semiHidden/>
    <w:locked/>
    <w:rsid w:val="009746EE"/>
  </w:style>
  <w:style w:type="character" w:customStyle="1" w:styleId="BodyTextIndent2Char">
    <w:name w:val="Body Text Indent 2 Char"/>
    <w:basedOn w:val="DefaultParagraphFont"/>
    <w:link w:val="BodyTextIndent2"/>
    <w:uiPriority w:val="99"/>
    <w:semiHidden/>
    <w:locked/>
    <w:rsid w:val="009746EE"/>
    <w:rPr>
      <w:rFonts w:ascii="Calibri" w:hAnsi="Calibri"/>
      <w:lang w:eastAsia="en-US"/>
    </w:rPr>
  </w:style>
  <w:style w:type="character" w:customStyle="1" w:styleId="BodyTextIndent3Char">
    <w:name w:val="Body Text Indent 3 Char"/>
    <w:basedOn w:val="DefaultParagraphFont"/>
    <w:link w:val="BodyTextIndent3"/>
    <w:uiPriority w:val="99"/>
    <w:semiHidden/>
    <w:locked/>
    <w:rsid w:val="009746EE"/>
    <w:rPr>
      <w:rFonts w:ascii="Calibri" w:hAnsi="Calibri"/>
      <w:sz w:val="16"/>
      <w:szCs w:val="16"/>
      <w:lang w:eastAsia="en-US"/>
    </w:rPr>
  </w:style>
  <w:style w:type="character" w:customStyle="1" w:styleId="ClosingChar">
    <w:name w:val="Closing Char"/>
    <w:basedOn w:val="DefaultParagraphFont"/>
    <w:link w:val="Closing"/>
    <w:uiPriority w:val="99"/>
    <w:semiHidden/>
    <w:locked/>
    <w:rsid w:val="009746EE"/>
    <w:rPr>
      <w:rFonts w:ascii="Calibri" w:hAnsi="Calibri"/>
      <w:lang w:eastAsia="en-US"/>
    </w:rPr>
  </w:style>
  <w:style w:type="character" w:customStyle="1" w:styleId="DateChar">
    <w:name w:val="Date Char"/>
    <w:aliases w:val="Input-Date Char"/>
    <w:basedOn w:val="DefaultParagraphFont"/>
    <w:link w:val="Date"/>
    <w:uiPriority w:val="99"/>
    <w:semiHidden/>
    <w:locked/>
    <w:rsid w:val="009746EE"/>
    <w:rPr>
      <w:rFonts w:ascii="Calibri" w:hAnsi="Calibri"/>
      <w:lang w:eastAsia="en-US"/>
    </w:rPr>
  </w:style>
  <w:style w:type="character" w:customStyle="1" w:styleId="E-mailSignatureChar">
    <w:name w:val="E-mail Signature Char"/>
    <w:basedOn w:val="DefaultParagraphFont"/>
    <w:link w:val="E-mailSignature"/>
    <w:uiPriority w:val="99"/>
    <w:semiHidden/>
    <w:locked/>
    <w:rsid w:val="009746EE"/>
    <w:rPr>
      <w:rFonts w:ascii="Calibri" w:hAnsi="Calibri"/>
      <w:lang w:eastAsia="en-US"/>
    </w:rPr>
  </w:style>
  <w:style w:type="character" w:customStyle="1" w:styleId="HTMLAddressChar">
    <w:name w:val="HTML Address Char"/>
    <w:basedOn w:val="DefaultParagraphFont"/>
    <w:link w:val="HTMLAddress"/>
    <w:uiPriority w:val="99"/>
    <w:semiHidden/>
    <w:locked/>
    <w:rsid w:val="009746EE"/>
    <w:rPr>
      <w:rFonts w:ascii="Calibri" w:hAnsi="Calibri"/>
      <w:i/>
      <w:iCs/>
      <w:lang w:eastAsia="en-US"/>
    </w:rPr>
  </w:style>
  <w:style w:type="character" w:customStyle="1" w:styleId="HTMLPreformattedChar">
    <w:name w:val="HTML Preformatted Char"/>
    <w:basedOn w:val="DefaultParagraphFont"/>
    <w:link w:val="HTMLPreformatted"/>
    <w:uiPriority w:val="99"/>
    <w:semiHidden/>
    <w:locked/>
    <w:rsid w:val="009746EE"/>
    <w:rPr>
      <w:rFonts w:ascii="Courier New" w:hAnsi="Courier New" w:cs="Courier New"/>
      <w:lang w:eastAsia="en-US"/>
    </w:rPr>
  </w:style>
  <w:style w:type="character" w:customStyle="1" w:styleId="MessageHeaderChar">
    <w:name w:val="Message Header Char"/>
    <w:basedOn w:val="DefaultParagraphFont"/>
    <w:link w:val="MessageHeader"/>
    <w:uiPriority w:val="99"/>
    <w:semiHidden/>
    <w:locked/>
    <w:rsid w:val="009746EE"/>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uiPriority w:val="99"/>
    <w:semiHidden/>
    <w:locked/>
    <w:rsid w:val="009746EE"/>
    <w:rPr>
      <w:rFonts w:ascii="Calibri" w:hAnsi="Calibri"/>
      <w:lang w:eastAsia="en-US"/>
    </w:rPr>
  </w:style>
  <w:style w:type="character" w:customStyle="1" w:styleId="PlainTextChar">
    <w:name w:val="Plain Text Char"/>
    <w:basedOn w:val="DefaultParagraphFont"/>
    <w:link w:val="PlainText"/>
    <w:uiPriority w:val="99"/>
    <w:semiHidden/>
    <w:locked/>
    <w:rsid w:val="009746EE"/>
    <w:rPr>
      <w:rFonts w:ascii="Courier New" w:hAnsi="Courier New" w:cs="Courier New"/>
      <w:lang w:eastAsia="en-US"/>
    </w:rPr>
  </w:style>
  <w:style w:type="character" w:customStyle="1" w:styleId="SalutationChar">
    <w:name w:val="Salutation Char"/>
    <w:basedOn w:val="DefaultParagraphFont"/>
    <w:link w:val="Salutation"/>
    <w:uiPriority w:val="99"/>
    <w:semiHidden/>
    <w:locked/>
    <w:rsid w:val="009746EE"/>
    <w:rPr>
      <w:rFonts w:ascii="Calibri" w:hAnsi="Calibri"/>
      <w:lang w:eastAsia="en-US"/>
    </w:rPr>
  </w:style>
  <w:style w:type="character" w:customStyle="1" w:styleId="SignatureChar">
    <w:name w:val="Signature Char"/>
    <w:basedOn w:val="DefaultParagraphFont"/>
    <w:link w:val="Signature"/>
    <w:uiPriority w:val="99"/>
    <w:semiHidden/>
    <w:locked/>
    <w:rsid w:val="009746EE"/>
    <w:rPr>
      <w:rFonts w:ascii="Calibri" w:hAnsi="Calibri"/>
      <w:lang w:eastAsia="en-US"/>
    </w:rPr>
  </w:style>
  <w:style w:type="character" w:customStyle="1" w:styleId="SubtitleChar">
    <w:name w:val="Subtitle Char"/>
    <w:basedOn w:val="DefaultParagraphFont"/>
    <w:link w:val="Subtitle"/>
    <w:uiPriority w:val="99"/>
    <w:locked/>
    <w:rsid w:val="009746EE"/>
    <w:rPr>
      <w:rFonts w:ascii="Arial" w:hAnsi="Arial" w:cs="Arial"/>
      <w:sz w:val="24"/>
      <w:szCs w:val="24"/>
      <w:lang w:eastAsia="en-US"/>
    </w:rPr>
  </w:style>
  <w:style w:type="character" w:customStyle="1" w:styleId="TitleChar">
    <w:name w:val="Title Char"/>
    <w:basedOn w:val="DefaultParagraphFont"/>
    <w:link w:val="Title"/>
    <w:uiPriority w:val="99"/>
    <w:locked/>
    <w:rsid w:val="009746EE"/>
    <w:rPr>
      <w:rFonts w:ascii="Arial" w:hAnsi="Arial" w:cs="Arial"/>
      <w:b/>
      <w:bCs/>
      <w:kern w:val="28"/>
      <w:sz w:val="32"/>
      <w:szCs w:val="32"/>
      <w:lang w:eastAsia="en-US"/>
    </w:rPr>
  </w:style>
  <w:style w:type="character" w:customStyle="1" w:styleId="CommentSubjectChar">
    <w:name w:val="Comment Subject Char"/>
    <w:basedOn w:val="CommentTextChar"/>
    <w:link w:val="CommentSubject"/>
    <w:uiPriority w:val="99"/>
    <w:semiHidden/>
    <w:locked/>
    <w:rsid w:val="009746EE"/>
    <w:rPr>
      <w:b/>
      <w:bCs/>
      <w:lang w:eastAsia="en-US"/>
    </w:rPr>
  </w:style>
  <w:style w:type="character" w:customStyle="1" w:styleId="BalloonTextChar">
    <w:name w:val="Balloon Text Char"/>
    <w:basedOn w:val="DefaultParagraphFont"/>
    <w:link w:val="BalloonText"/>
    <w:uiPriority w:val="99"/>
    <w:semiHidden/>
    <w:locked/>
    <w:rsid w:val="009746EE"/>
    <w:rPr>
      <w:rFonts w:ascii="Tahoma" w:hAnsi="Tahoma" w:cs="Tahoma"/>
      <w:sz w:val="16"/>
      <w:szCs w:val="16"/>
      <w:lang w:eastAsia="en-US"/>
    </w:rPr>
  </w:style>
  <w:style w:type="character" w:customStyle="1" w:styleId="CaptionChar">
    <w:name w:val="Caption Char"/>
    <w:aliases w:val="Bijschrift Char Char,Tabelkop Char,Bijschrift 2 Char,Char Char Char Char4,Char Char3 Char,Char Char Char Char Char,Char Char Char Char Char Char Char,Caption1 Char,Char Char Char Char1 Char,Char Char Char Char Char1 Char"/>
    <w:basedOn w:val="DefaultParagraphFont"/>
    <w:link w:val="Caption"/>
    <w:uiPriority w:val="99"/>
    <w:locked/>
    <w:rsid w:val="000A50BB"/>
    <w:rPr>
      <w:rFonts w:ascii="Calibri" w:hAnsi="Calibri"/>
      <w:b/>
      <w:bCs/>
      <w:lang w:eastAsia="en-US"/>
    </w:rPr>
  </w:style>
  <w:style w:type="character" w:styleId="PlaceholderText">
    <w:name w:val="Placeholder Text"/>
    <w:basedOn w:val="DefaultParagraphFont"/>
    <w:uiPriority w:val="99"/>
    <w:semiHidden/>
    <w:rsid w:val="00B86BCE"/>
    <w:rPr>
      <w:color w:val="808080"/>
    </w:rPr>
  </w:style>
  <w:style w:type="table" w:customStyle="1" w:styleId="LightList1">
    <w:name w:val="Light List1"/>
    <w:basedOn w:val="TableNormal"/>
    <w:uiPriority w:val="61"/>
    <w:rsid w:val="00397A28"/>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zijtekst">
    <w:name w:val="zijtekst"/>
    <w:basedOn w:val="Normal"/>
    <w:uiPriority w:val="99"/>
    <w:qFormat/>
    <w:rsid w:val="00DD55F0"/>
    <w:pPr>
      <w:keepNext/>
      <w:spacing w:before="150" w:line="180" w:lineRule="atLeast"/>
    </w:pPr>
    <w:rPr>
      <w:rFonts w:ascii="Times New Roman" w:hAnsi="Times New Roman"/>
      <w:sz w:val="14"/>
      <w:szCs w:val="14"/>
      <w:lang w:val="nl"/>
    </w:rPr>
  </w:style>
  <w:style w:type="paragraph" w:customStyle="1" w:styleId="normalkader">
    <w:name w:val="normal kader"/>
    <w:basedOn w:val="Normal"/>
    <w:uiPriority w:val="99"/>
    <w:qFormat/>
    <w:rsid w:val="00DD55F0"/>
    <w:pPr>
      <w:keepNext/>
      <w:ind w:left="34"/>
    </w:pPr>
  </w:style>
  <w:style w:type="paragraph" w:customStyle="1" w:styleId="NormalTable">
    <w:name w:val="NormalTable"/>
    <w:basedOn w:val="Normal"/>
    <w:rsid w:val="00AC4CF3"/>
    <w:pPr>
      <w:keepNext/>
      <w:keepLines w:val="0"/>
      <w:spacing w:before="20" w:after="20" w:line="264" w:lineRule="auto"/>
      <w:jc w:val="center"/>
    </w:pPr>
    <w:rPr>
      <w:rFonts w:ascii="Arial" w:hAnsi="Arial"/>
      <w:kern w:val="16"/>
      <w:sz w:val="16"/>
      <w:lang w:val="en-GB"/>
    </w:rPr>
  </w:style>
  <w:style w:type="paragraph" w:customStyle="1" w:styleId="FigHead">
    <w:name w:val="FigHead"/>
    <w:basedOn w:val="Normal"/>
    <w:next w:val="Normal"/>
    <w:rsid w:val="00AC4CF3"/>
    <w:pPr>
      <w:keepNext/>
      <w:keepLines w:val="0"/>
      <w:spacing w:before="240" w:line="280" w:lineRule="exact"/>
      <w:ind w:left="1134" w:hanging="1134"/>
    </w:pPr>
    <w:rPr>
      <w:rFonts w:ascii="Arial" w:hAnsi="Arial"/>
      <w:b/>
      <w:kern w:val="16"/>
      <w:sz w:val="18"/>
    </w:rPr>
  </w:style>
  <w:style w:type="paragraph" w:customStyle="1" w:styleId="normbulEnd">
    <w:name w:val="normbulEnd"/>
    <w:basedOn w:val="NormBul"/>
    <w:rsid w:val="00610F1A"/>
    <w:pPr>
      <w:numPr>
        <w:numId w:val="3"/>
      </w:numPr>
      <w:spacing w:after="120"/>
    </w:pPr>
    <w:rPr>
      <w:lang w:eastAsia="en-US"/>
    </w:rPr>
  </w:style>
  <w:style w:type="paragraph" w:customStyle="1" w:styleId="opsomming">
    <w:name w:val="opsomming"/>
    <w:basedOn w:val="Normal"/>
    <w:rsid w:val="005B5D40"/>
    <w:pPr>
      <w:keepLines w:val="0"/>
      <w:widowControl w:val="0"/>
      <w:adjustRightInd w:val="0"/>
      <w:spacing w:before="0" w:after="120" w:line="270" w:lineRule="atLeast"/>
      <w:textAlignment w:val="baseline"/>
    </w:pPr>
    <w:rPr>
      <w:rFonts w:ascii="Arial" w:hAnsi="Arial"/>
      <w:szCs w:val="24"/>
      <w:lang w:val="nl-NL" w:eastAsia="nl-NL"/>
    </w:rPr>
  </w:style>
  <w:style w:type="character" w:customStyle="1" w:styleId="sortarrow1">
    <w:name w:val="sortarrow1"/>
    <w:basedOn w:val="DefaultParagraphFont"/>
    <w:rsid w:val="005B5D40"/>
    <w:rPr>
      <w:strike w:val="0"/>
      <w:dstrike w:val="0"/>
      <w:color w:val="000000"/>
      <w:u w:val="none"/>
      <w:effect w:val="none"/>
    </w:rPr>
  </w:style>
  <w:style w:type="character" w:customStyle="1" w:styleId="NormBulChar1">
    <w:name w:val="NormBul Char1"/>
    <w:rsid w:val="001B30C5"/>
    <w:rPr>
      <w:rFonts w:ascii="Arial" w:hAnsi="Arial"/>
      <w:kern w:val="16"/>
      <w:sz w:val="20"/>
      <w:szCs w:val="20"/>
    </w:rPr>
  </w:style>
</w:styles>
</file>

<file path=word/webSettings.xml><?xml version="1.0" encoding="utf-8"?>
<w:webSettings xmlns:r="http://schemas.openxmlformats.org/officeDocument/2006/relationships" xmlns:w="http://schemas.openxmlformats.org/wordprocessingml/2006/main">
  <w:divs>
    <w:div w:id="32583609">
      <w:bodyDiv w:val="1"/>
      <w:marLeft w:val="0"/>
      <w:marRight w:val="0"/>
      <w:marTop w:val="0"/>
      <w:marBottom w:val="0"/>
      <w:divBdr>
        <w:top w:val="none" w:sz="0" w:space="0" w:color="auto"/>
        <w:left w:val="none" w:sz="0" w:space="0" w:color="auto"/>
        <w:bottom w:val="none" w:sz="0" w:space="0" w:color="auto"/>
        <w:right w:val="none" w:sz="0" w:space="0" w:color="auto"/>
      </w:divBdr>
    </w:div>
    <w:div w:id="41176330">
      <w:bodyDiv w:val="1"/>
      <w:marLeft w:val="0"/>
      <w:marRight w:val="0"/>
      <w:marTop w:val="0"/>
      <w:marBottom w:val="0"/>
      <w:divBdr>
        <w:top w:val="none" w:sz="0" w:space="0" w:color="auto"/>
        <w:left w:val="none" w:sz="0" w:space="0" w:color="auto"/>
        <w:bottom w:val="none" w:sz="0" w:space="0" w:color="auto"/>
        <w:right w:val="none" w:sz="0" w:space="0" w:color="auto"/>
      </w:divBdr>
      <w:divsChild>
        <w:div w:id="1406805729">
          <w:marLeft w:val="0"/>
          <w:marRight w:val="0"/>
          <w:marTop w:val="0"/>
          <w:marBottom w:val="0"/>
          <w:divBdr>
            <w:top w:val="none" w:sz="0" w:space="0" w:color="auto"/>
            <w:left w:val="none" w:sz="0" w:space="0" w:color="auto"/>
            <w:bottom w:val="none" w:sz="0" w:space="0" w:color="auto"/>
            <w:right w:val="none" w:sz="0" w:space="0" w:color="auto"/>
          </w:divBdr>
          <w:divsChild>
            <w:div w:id="690567397">
              <w:marLeft w:val="0"/>
              <w:marRight w:val="0"/>
              <w:marTop w:val="0"/>
              <w:marBottom w:val="0"/>
              <w:divBdr>
                <w:top w:val="none" w:sz="0" w:space="0" w:color="auto"/>
                <w:left w:val="none" w:sz="0" w:space="0" w:color="auto"/>
                <w:bottom w:val="none" w:sz="0" w:space="0" w:color="auto"/>
                <w:right w:val="none" w:sz="0" w:space="0" w:color="auto"/>
              </w:divBdr>
            </w:div>
          </w:divsChild>
        </w:div>
        <w:div w:id="949319502">
          <w:marLeft w:val="0"/>
          <w:marRight w:val="0"/>
          <w:marTop w:val="0"/>
          <w:marBottom w:val="0"/>
          <w:divBdr>
            <w:top w:val="none" w:sz="0" w:space="0" w:color="auto"/>
            <w:left w:val="none" w:sz="0" w:space="0" w:color="auto"/>
            <w:bottom w:val="none" w:sz="0" w:space="0" w:color="auto"/>
            <w:right w:val="none" w:sz="0" w:space="0" w:color="auto"/>
          </w:divBdr>
          <w:divsChild>
            <w:div w:id="432747145">
              <w:marLeft w:val="0"/>
              <w:marRight w:val="0"/>
              <w:marTop w:val="0"/>
              <w:marBottom w:val="0"/>
              <w:divBdr>
                <w:top w:val="none" w:sz="0" w:space="0" w:color="auto"/>
                <w:left w:val="none" w:sz="0" w:space="0" w:color="auto"/>
                <w:bottom w:val="none" w:sz="0" w:space="0" w:color="auto"/>
                <w:right w:val="none" w:sz="0" w:space="0" w:color="auto"/>
              </w:divBdr>
            </w:div>
          </w:divsChild>
        </w:div>
        <w:div w:id="2029600558">
          <w:marLeft w:val="0"/>
          <w:marRight w:val="0"/>
          <w:marTop w:val="0"/>
          <w:marBottom w:val="0"/>
          <w:divBdr>
            <w:top w:val="none" w:sz="0" w:space="0" w:color="auto"/>
            <w:left w:val="none" w:sz="0" w:space="0" w:color="auto"/>
            <w:bottom w:val="none" w:sz="0" w:space="0" w:color="auto"/>
            <w:right w:val="none" w:sz="0" w:space="0" w:color="auto"/>
          </w:divBdr>
          <w:divsChild>
            <w:div w:id="238712119">
              <w:marLeft w:val="0"/>
              <w:marRight w:val="0"/>
              <w:marTop w:val="0"/>
              <w:marBottom w:val="0"/>
              <w:divBdr>
                <w:top w:val="none" w:sz="0" w:space="0" w:color="auto"/>
                <w:left w:val="none" w:sz="0" w:space="0" w:color="auto"/>
                <w:bottom w:val="none" w:sz="0" w:space="0" w:color="auto"/>
                <w:right w:val="none" w:sz="0" w:space="0" w:color="auto"/>
              </w:divBdr>
            </w:div>
          </w:divsChild>
        </w:div>
        <w:div w:id="1151099950">
          <w:marLeft w:val="0"/>
          <w:marRight w:val="0"/>
          <w:marTop w:val="0"/>
          <w:marBottom w:val="0"/>
          <w:divBdr>
            <w:top w:val="none" w:sz="0" w:space="0" w:color="auto"/>
            <w:left w:val="none" w:sz="0" w:space="0" w:color="auto"/>
            <w:bottom w:val="none" w:sz="0" w:space="0" w:color="auto"/>
            <w:right w:val="none" w:sz="0" w:space="0" w:color="auto"/>
          </w:divBdr>
          <w:divsChild>
            <w:div w:id="1621448618">
              <w:marLeft w:val="0"/>
              <w:marRight w:val="0"/>
              <w:marTop w:val="0"/>
              <w:marBottom w:val="0"/>
              <w:divBdr>
                <w:top w:val="none" w:sz="0" w:space="0" w:color="auto"/>
                <w:left w:val="none" w:sz="0" w:space="0" w:color="auto"/>
                <w:bottom w:val="none" w:sz="0" w:space="0" w:color="auto"/>
                <w:right w:val="none" w:sz="0" w:space="0" w:color="auto"/>
              </w:divBdr>
            </w:div>
          </w:divsChild>
        </w:div>
        <w:div w:id="417990150">
          <w:marLeft w:val="0"/>
          <w:marRight w:val="0"/>
          <w:marTop w:val="0"/>
          <w:marBottom w:val="0"/>
          <w:divBdr>
            <w:top w:val="none" w:sz="0" w:space="0" w:color="auto"/>
            <w:left w:val="none" w:sz="0" w:space="0" w:color="auto"/>
            <w:bottom w:val="none" w:sz="0" w:space="0" w:color="auto"/>
            <w:right w:val="none" w:sz="0" w:space="0" w:color="auto"/>
          </w:divBdr>
          <w:divsChild>
            <w:div w:id="1455252434">
              <w:marLeft w:val="0"/>
              <w:marRight w:val="0"/>
              <w:marTop w:val="0"/>
              <w:marBottom w:val="0"/>
              <w:divBdr>
                <w:top w:val="none" w:sz="0" w:space="0" w:color="auto"/>
                <w:left w:val="none" w:sz="0" w:space="0" w:color="auto"/>
                <w:bottom w:val="none" w:sz="0" w:space="0" w:color="auto"/>
                <w:right w:val="none" w:sz="0" w:space="0" w:color="auto"/>
              </w:divBdr>
            </w:div>
          </w:divsChild>
        </w:div>
        <w:div w:id="298733861">
          <w:marLeft w:val="0"/>
          <w:marRight w:val="0"/>
          <w:marTop w:val="0"/>
          <w:marBottom w:val="0"/>
          <w:divBdr>
            <w:top w:val="none" w:sz="0" w:space="0" w:color="auto"/>
            <w:left w:val="none" w:sz="0" w:space="0" w:color="auto"/>
            <w:bottom w:val="none" w:sz="0" w:space="0" w:color="auto"/>
            <w:right w:val="none" w:sz="0" w:space="0" w:color="auto"/>
          </w:divBdr>
          <w:divsChild>
            <w:div w:id="564724039">
              <w:marLeft w:val="0"/>
              <w:marRight w:val="0"/>
              <w:marTop w:val="0"/>
              <w:marBottom w:val="0"/>
              <w:divBdr>
                <w:top w:val="none" w:sz="0" w:space="0" w:color="auto"/>
                <w:left w:val="none" w:sz="0" w:space="0" w:color="auto"/>
                <w:bottom w:val="none" w:sz="0" w:space="0" w:color="auto"/>
                <w:right w:val="none" w:sz="0" w:space="0" w:color="auto"/>
              </w:divBdr>
            </w:div>
          </w:divsChild>
        </w:div>
        <w:div w:id="410322404">
          <w:marLeft w:val="0"/>
          <w:marRight w:val="0"/>
          <w:marTop w:val="0"/>
          <w:marBottom w:val="0"/>
          <w:divBdr>
            <w:top w:val="none" w:sz="0" w:space="0" w:color="auto"/>
            <w:left w:val="none" w:sz="0" w:space="0" w:color="auto"/>
            <w:bottom w:val="none" w:sz="0" w:space="0" w:color="auto"/>
            <w:right w:val="none" w:sz="0" w:space="0" w:color="auto"/>
          </w:divBdr>
          <w:divsChild>
            <w:div w:id="5005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1077">
      <w:bodyDiv w:val="1"/>
      <w:marLeft w:val="0"/>
      <w:marRight w:val="0"/>
      <w:marTop w:val="0"/>
      <w:marBottom w:val="0"/>
      <w:divBdr>
        <w:top w:val="none" w:sz="0" w:space="0" w:color="auto"/>
        <w:left w:val="none" w:sz="0" w:space="0" w:color="auto"/>
        <w:bottom w:val="none" w:sz="0" w:space="0" w:color="auto"/>
        <w:right w:val="none" w:sz="0" w:space="0" w:color="auto"/>
      </w:divBdr>
    </w:div>
    <w:div w:id="56249234">
      <w:bodyDiv w:val="1"/>
      <w:marLeft w:val="0"/>
      <w:marRight w:val="0"/>
      <w:marTop w:val="0"/>
      <w:marBottom w:val="0"/>
      <w:divBdr>
        <w:top w:val="none" w:sz="0" w:space="0" w:color="auto"/>
        <w:left w:val="none" w:sz="0" w:space="0" w:color="auto"/>
        <w:bottom w:val="none" w:sz="0" w:space="0" w:color="auto"/>
        <w:right w:val="none" w:sz="0" w:space="0" w:color="auto"/>
      </w:divBdr>
    </w:div>
    <w:div w:id="58408639">
      <w:bodyDiv w:val="1"/>
      <w:marLeft w:val="0"/>
      <w:marRight w:val="0"/>
      <w:marTop w:val="0"/>
      <w:marBottom w:val="0"/>
      <w:divBdr>
        <w:top w:val="none" w:sz="0" w:space="0" w:color="auto"/>
        <w:left w:val="none" w:sz="0" w:space="0" w:color="auto"/>
        <w:bottom w:val="none" w:sz="0" w:space="0" w:color="auto"/>
        <w:right w:val="none" w:sz="0" w:space="0" w:color="auto"/>
      </w:divBdr>
    </w:div>
    <w:div w:id="86314440">
      <w:bodyDiv w:val="1"/>
      <w:marLeft w:val="0"/>
      <w:marRight w:val="0"/>
      <w:marTop w:val="0"/>
      <w:marBottom w:val="0"/>
      <w:divBdr>
        <w:top w:val="none" w:sz="0" w:space="0" w:color="auto"/>
        <w:left w:val="none" w:sz="0" w:space="0" w:color="auto"/>
        <w:bottom w:val="none" w:sz="0" w:space="0" w:color="auto"/>
        <w:right w:val="none" w:sz="0" w:space="0" w:color="auto"/>
      </w:divBdr>
    </w:div>
    <w:div w:id="108090108">
      <w:bodyDiv w:val="1"/>
      <w:marLeft w:val="0"/>
      <w:marRight w:val="0"/>
      <w:marTop w:val="0"/>
      <w:marBottom w:val="0"/>
      <w:divBdr>
        <w:top w:val="none" w:sz="0" w:space="0" w:color="auto"/>
        <w:left w:val="none" w:sz="0" w:space="0" w:color="auto"/>
        <w:bottom w:val="none" w:sz="0" w:space="0" w:color="auto"/>
        <w:right w:val="none" w:sz="0" w:space="0" w:color="auto"/>
      </w:divBdr>
    </w:div>
    <w:div w:id="128984137">
      <w:bodyDiv w:val="1"/>
      <w:marLeft w:val="0"/>
      <w:marRight w:val="0"/>
      <w:marTop w:val="0"/>
      <w:marBottom w:val="0"/>
      <w:divBdr>
        <w:top w:val="none" w:sz="0" w:space="0" w:color="auto"/>
        <w:left w:val="none" w:sz="0" w:space="0" w:color="auto"/>
        <w:bottom w:val="none" w:sz="0" w:space="0" w:color="auto"/>
        <w:right w:val="none" w:sz="0" w:space="0" w:color="auto"/>
      </w:divBdr>
    </w:div>
    <w:div w:id="171996999">
      <w:bodyDiv w:val="1"/>
      <w:marLeft w:val="0"/>
      <w:marRight w:val="0"/>
      <w:marTop w:val="0"/>
      <w:marBottom w:val="0"/>
      <w:divBdr>
        <w:top w:val="none" w:sz="0" w:space="0" w:color="auto"/>
        <w:left w:val="none" w:sz="0" w:space="0" w:color="auto"/>
        <w:bottom w:val="none" w:sz="0" w:space="0" w:color="auto"/>
        <w:right w:val="none" w:sz="0" w:space="0" w:color="auto"/>
      </w:divBdr>
    </w:div>
    <w:div w:id="188027580">
      <w:bodyDiv w:val="1"/>
      <w:marLeft w:val="0"/>
      <w:marRight w:val="0"/>
      <w:marTop w:val="0"/>
      <w:marBottom w:val="0"/>
      <w:divBdr>
        <w:top w:val="none" w:sz="0" w:space="0" w:color="auto"/>
        <w:left w:val="none" w:sz="0" w:space="0" w:color="auto"/>
        <w:bottom w:val="none" w:sz="0" w:space="0" w:color="auto"/>
        <w:right w:val="none" w:sz="0" w:space="0" w:color="auto"/>
      </w:divBdr>
    </w:div>
    <w:div w:id="194389017">
      <w:bodyDiv w:val="1"/>
      <w:marLeft w:val="0"/>
      <w:marRight w:val="0"/>
      <w:marTop w:val="0"/>
      <w:marBottom w:val="0"/>
      <w:divBdr>
        <w:top w:val="none" w:sz="0" w:space="0" w:color="auto"/>
        <w:left w:val="none" w:sz="0" w:space="0" w:color="auto"/>
        <w:bottom w:val="none" w:sz="0" w:space="0" w:color="auto"/>
        <w:right w:val="none" w:sz="0" w:space="0" w:color="auto"/>
      </w:divBdr>
    </w:div>
    <w:div w:id="216824552">
      <w:bodyDiv w:val="1"/>
      <w:marLeft w:val="0"/>
      <w:marRight w:val="0"/>
      <w:marTop w:val="0"/>
      <w:marBottom w:val="0"/>
      <w:divBdr>
        <w:top w:val="none" w:sz="0" w:space="0" w:color="auto"/>
        <w:left w:val="none" w:sz="0" w:space="0" w:color="auto"/>
        <w:bottom w:val="none" w:sz="0" w:space="0" w:color="auto"/>
        <w:right w:val="none" w:sz="0" w:space="0" w:color="auto"/>
      </w:divBdr>
    </w:div>
    <w:div w:id="220142173">
      <w:bodyDiv w:val="1"/>
      <w:marLeft w:val="0"/>
      <w:marRight w:val="0"/>
      <w:marTop w:val="0"/>
      <w:marBottom w:val="0"/>
      <w:divBdr>
        <w:top w:val="none" w:sz="0" w:space="0" w:color="auto"/>
        <w:left w:val="none" w:sz="0" w:space="0" w:color="auto"/>
        <w:bottom w:val="none" w:sz="0" w:space="0" w:color="auto"/>
        <w:right w:val="none" w:sz="0" w:space="0" w:color="auto"/>
      </w:divBdr>
    </w:div>
    <w:div w:id="260260566">
      <w:bodyDiv w:val="1"/>
      <w:marLeft w:val="0"/>
      <w:marRight w:val="0"/>
      <w:marTop w:val="0"/>
      <w:marBottom w:val="0"/>
      <w:divBdr>
        <w:top w:val="none" w:sz="0" w:space="0" w:color="auto"/>
        <w:left w:val="none" w:sz="0" w:space="0" w:color="auto"/>
        <w:bottom w:val="none" w:sz="0" w:space="0" w:color="auto"/>
        <w:right w:val="none" w:sz="0" w:space="0" w:color="auto"/>
      </w:divBdr>
    </w:div>
    <w:div w:id="318656647">
      <w:bodyDiv w:val="1"/>
      <w:marLeft w:val="0"/>
      <w:marRight w:val="0"/>
      <w:marTop w:val="0"/>
      <w:marBottom w:val="0"/>
      <w:divBdr>
        <w:top w:val="none" w:sz="0" w:space="0" w:color="auto"/>
        <w:left w:val="none" w:sz="0" w:space="0" w:color="auto"/>
        <w:bottom w:val="none" w:sz="0" w:space="0" w:color="auto"/>
        <w:right w:val="none" w:sz="0" w:space="0" w:color="auto"/>
      </w:divBdr>
    </w:div>
    <w:div w:id="342051302">
      <w:bodyDiv w:val="1"/>
      <w:marLeft w:val="0"/>
      <w:marRight w:val="0"/>
      <w:marTop w:val="0"/>
      <w:marBottom w:val="0"/>
      <w:divBdr>
        <w:top w:val="none" w:sz="0" w:space="0" w:color="auto"/>
        <w:left w:val="none" w:sz="0" w:space="0" w:color="auto"/>
        <w:bottom w:val="none" w:sz="0" w:space="0" w:color="auto"/>
        <w:right w:val="none" w:sz="0" w:space="0" w:color="auto"/>
      </w:divBdr>
    </w:div>
    <w:div w:id="368069797">
      <w:bodyDiv w:val="1"/>
      <w:marLeft w:val="0"/>
      <w:marRight w:val="0"/>
      <w:marTop w:val="0"/>
      <w:marBottom w:val="0"/>
      <w:divBdr>
        <w:top w:val="none" w:sz="0" w:space="0" w:color="auto"/>
        <w:left w:val="none" w:sz="0" w:space="0" w:color="auto"/>
        <w:bottom w:val="none" w:sz="0" w:space="0" w:color="auto"/>
        <w:right w:val="none" w:sz="0" w:space="0" w:color="auto"/>
      </w:divBdr>
    </w:div>
    <w:div w:id="368263513">
      <w:bodyDiv w:val="1"/>
      <w:marLeft w:val="0"/>
      <w:marRight w:val="0"/>
      <w:marTop w:val="0"/>
      <w:marBottom w:val="0"/>
      <w:divBdr>
        <w:top w:val="none" w:sz="0" w:space="0" w:color="auto"/>
        <w:left w:val="none" w:sz="0" w:space="0" w:color="auto"/>
        <w:bottom w:val="none" w:sz="0" w:space="0" w:color="auto"/>
        <w:right w:val="none" w:sz="0" w:space="0" w:color="auto"/>
      </w:divBdr>
    </w:div>
    <w:div w:id="374736009">
      <w:bodyDiv w:val="1"/>
      <w:marLeft w:val="0"/>
      <w:marRight w:val="0"/>
      <w:marTop w:val="0"/>
      <w:marBottom w:val="0"/>
      <w:divBdr>
        <w:top w:val="none" w:sz="0" w:space="0" w:color="auto"/>
        <w:left w:val="none" w:sz="0" w:space="0" w:color="auto"/>
        <w:bottom w:val="none" w:sz="0" w:space="0" w:color="auto"/>
        <w:right w:val="none" w:sz="0" w:space="0" w:color="auto"/>
      </w:divBdr>
    </w:div>
    <w:div w:id="382563160">
      <w:bodyDiv w:val="1"/>
      <w:marLeft w:val="0"/>
      <w:marRight w:val="0"/>
      <w:marTop w:val="0"/>
      <w:marBottom w:val="0"/>
      <w:divBdr>
        <w:top w:val="none" w:sz="0" w:space="0" w:color="auto"/>
        <w:left w:val="none" w:sz="0" w:space="0" w:color="auto"/>
        <w:bottom w:val="none" w:sz="0" w:space="0" w:color="auto"/>
        <w:right w:val="none" w:sz="0" w:space="0" w:color="auto"/>
      </w:divBdr>
    </w:div>
    <w:div w:id="384990855">
      <w:bodyDiv w:val="1"/>
      <w:marLeft w:val="0"/>
      <w:marRight w:val="0"/>
      <w:marTop w:val="0"/>
      <w:marBottom w:val="0"/>
      <w:divBdr>
        <w:top w:val="none" w:sz="0" w:space="0" w:color="auto"/>
        <w:left w:val="none" w:sz="0" w:space="0" w:color="auto"/>
        <w:bottom w:val="none" w:sz="0" w:space="0" w:color="auto"/>
        <w:right w:val="none" w:sz="0" w:space="0" w:color="auto"/>
      </w:divBdr>
    </w:div>
    <w:div w:id="426924409">
      <w:bodyDiv w:val="1"/>
      <w:marLeft w:val="0"/>
      <w:marRight w:val="0"/>
      <w:marTop w:val="0"/>
      <w:marBottom w:val="0"/>
      <w:divBdr>
        <w:top w:val="none" w:sz="0" w:space="0" w:color="auto"/>
        <w:left w:val="none" w:sz="0" w:space="0" w:color="auto"/>
        <w:bottom w:val="none" w:sz="0" w:space="0" w:color="auto"/>
        <w:right w:val="none" w:sz="0" w:space="0" w:color="auto"/>
      </w:divBdr>
    </w:div>
    <w:div w:id="440807437">
      <w:bodyDiv w:val="1"/>
      <w:marLeft w:val="0"/>
      <w:marRight w:val="0"/>
      <w:marTop w:val="0"/>
      <w:marBottom w:val="0"/>
      <w:divBdr>
        <w:top w:val="none" w:sz="0" w:space="0" w:color="auto"/>
        <w:left w:val="none" w:sz="0" w:space="0" w:color="auto"/>
        <w:bottom w:val="none" w:sz="0" w:space="0" w:color="auto"/>
        <w:right w:val="none" w:sz="0" w:space="0" w:color="auto"/>
      </w:divBdr>
    </w:div>
    <w:div w:id="453717072">
      <w:bodyDiv w:val="1"/>
      <w:marLeft w:val="0"/>
      <w:marRight w:val="0"/>
      <w:marTop w:val="0"/>
      <w:marBottom w:val="0"/>
      <w:divBdr>
        <w:top w:val="none" w:sz="0" w:space="0" w:color="auto"/>
        <w:left w:val="none" w:sz="0" w:space="0" w:color="auto"/>
        <w:bottom w:val="none" w:sz="0" w:space="0" w:color="auto"/>
        <w:right w:val="none" w:sz="0" w:space="0" w:color="auto"/>
      </w:divBdr>
    </w:div>
    <w:div w:id="471605976">
      <w:bodyDiv w:val="1"/>
      <w:marLeft w:val="0"/>
      <w:marRight w:val="0"/>
      <w:marTop w:val="0"/>
      <w:marBottom w:val="0"/>
      <w:divBdr>
        <w:top w:val="none" w:sz="0" w:space="0" w:color="auto"/>
        <w:left w:val="none" w:sz="0" w:space="0" w:color="auto"/>
        <w:bottom w:val="none" w:sz="0" w:space="0" w:color="auto"/>
        <w:right w:val="none" w:sz="0" w:space="0" w:color="auto"/>
      </w:divBdr>
    </w:div>
    <w:div w:id="472213782">
      <w:bodyDiv w:val="1"/>
      <w:marLeft w:val="0"/>
      <w:marRight w:val="0"/>
      <w:marTop w:val="0"/>
      <w:marBottom w:val="0"/>
      <w:divBdr>
        <w:top w:val="none" w:sz="0" w:space="0" w:color="auto"/>
        <w:left w:val="none" w:sz="0" w:space="0" w:color="auto"/>
        <w:bottom w:val="none" w:sz="0" w:space="0" w:color="auto"/>
        <w:right w:val="none" w:sz="0" w:space="0" w:color="auto"/>
      </w:divBdr>
    </w:div>
    <w:div w:id="540291213">
      <w:bodyDiv w:val="1"/>
      <w:marLeft w:val="0"/>
      <w:marRight w:val="0"/>
      <w:marTop w:val="0"/>
      <w:marBottom w:val="0"/>
      <w:divBdr>
        <w:top w:val="none" w:sz="0" w:space="0" w:color="auto"/>
        <w:left w:val="none" w:sz="0" w:space="0" w:color="auto"/>
        <w:bottom w:val="none" w:sz="0" w:space="0" w:color="auto"/>
        <w:right w:val="none" w:sz="0" w:space="0" w:color="auto"/>
      </w:divBdr>
    </w:div>
    <w:div w:id="546718026">
      <w:bodyDiv w:val="1"/>
      <w:marLeft w:val="0"/>
      <w:marRight w:val="0"/>
      <w:marTop w:val="0"/>
      <w:marBottom w:val="0"/>
      <w:divBdr>
        <w:top w:val="none" w:sz="0" w:space="0" w:color="auto"/>
        <w:left w:val="none" w:sz="0" w:space="0" w:color="auto"/>
        <w:bottom w:val="none" w:sz="0" w:space="0" w:color="auto"/>
        <w:right w:val="none" w:sz="0" w:space="0" w:color="auto"/>
      </w:divBdr>
    </w:div>
    <w:div w:id="591357852">
      <w:bodyDiv w:val="1"/>
      <w:marLeft w:val="0"/>
      <w:marRight w:val="0"/>
      <w:marTop w:val="0"/>
      <w:marBottom w:val="0"/>
      <w:divBdr>
        <w:top w:val="none" w:sz="0" w:space="0" w:color="auto"/>
        <w:left w:val="none" w:sz="0" w:space="0" w:color="auto"/>
        <w:bottom w:val="none" w:sz="0" w:space="0" w:color="auto"/>
        <w:right w:val="none" w:sz="0" w:space="0" w:color="auto"/>
      </w:divBdr>
      <w:divsChild>
        <w:div w:id="1612083109">
          <w:marLeft w:val="125"/>
          <w:marRight w:val="0"/>
          <w:marTop w:val="125"/>
          <w:marBottom w:val="0"/>
          <w:divBdr>
            <w:top w:val="none" w:sz="0" w:space="0" w:color="auto"/>
            <w:left w:val="none" w:sz="0" w:space="0" w:color="auto"/>
            <w:bottom w:val="none" w:sz="0" w:space="0" w:color="auto"/>
            <w:right w:val="none" w:sz="0" w:space="0" w:color="auto"/>
          </w:divBdr>
          <w:divsChild>
            <w:div w:id="1970628571">
              <w:marLeft w:val="125"/>
              <w:marRight w:val="100"/>
              <w:marTop w:val="100"/>
              <w:marBottom w:val="0"/>
              <w:divBdr>
                <w:top w:val="none" w:sz="0" w:space="0" w:color="auto"/>
                <w:left w:val="none" w:sz="0" w:space="0" w:color="auto"/>
                <w:bottom w:val="none" w:sz="0" w:space="0" w:color="auto"/>
                <w:right w:val="none" w:sz="0" w:space="0" w:color="auto"/>
              </w:divBdr>
              <w:divsChild>
                <w:div w:id="1789886059">
                  <w:marLeft w:val="0"/>
                  <w:marRight w:val="0"/>
                  <w:marTop w:val="0"/>
                  <w:marBottom w:val="0"/>
                  <w:divBdr>
                    <w:top w:val="none" w:sz="0" w:space="0" w:color="auto"/>
                    <w:left w:val="none" w:sz="0" w:space="0" w:color="auto"/>
                    <w:bottom w:val="none" w:sz="0" w:space="0" w:color="auto"/>
                    <w:right w:val="none" w:sz="0" w:space="0" w:color="auto"/>
                  </w:divBdr>
                  <w:divsChild>
                    <w:div w:id="19399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79227">
      <w:bodyDiv w:val="1"/>
      <w:marLeft w:val="0"/>
      <w:marRight w:val="0"/>
      <w:marTop w:val="0"/>
      <w:marBottom w:val="0"/>
      <w:divBdr>
        <w:top w:val="none" w:sz="0" w:space="0" w:color="auto"/>
        <w:left w:val="none" w:sz="0" w:space="0" w:color="auto"/>
        <w:bottom w:val="none" w:sz="0" w:space="0" w:color="auto"/>
        <w:right w:val="none" w:sz="0" w:space="0" w:color="auto"/>
      </w:divBdr>
    </w:div>
    <w:div w:id="636960549">
      <w:bodyDiv w:val="1"/>
      <w:marLeft w:val="0"/>
      <w:marRight w:val="0"/>
      <w:marTop w:val="0"/>
      <w:marBottom w:val="0"/>
      <w:divBdr>
        <w:top w:val="none" w:sz="0" w:space="0" w:color="auto"/>
        <w:left w:val="none" w:sz="0" w:space="0" w:color="auto"/>
        <w:bottom w:val="none" w:sz="0" w:space="0" w:color="auto"/>
        <w:right w:val="none" w:sz="0" w:space="0" w:color="auto"/>
      </w:divBdr>
    </w:div>
    <w:div w:id="652829738">
      <w:bodyDiv w:val="1"/>
      <w:marLeft w:val="0"/>
      <w:marRight w:val="0"/>
      <w:marTop w:val="0"/>
      <w:marBottom w:val="0"/>
      <w:divBdr>
        <w:top w:val="none" w:sz="0" w:space="0" w:color="auto"/>
        <w:left w:val="none" w:sz="0" w:space="0" w:color="auto"/>
        <w:bottom w:val="none" w:sz="0" w:space="0" w:color="auto"/>
        <w:right w:val="none" w:sz="0" w:space="0" w:color="auto"/>
      </w:divBdr>
    </w:div>
    <w:div w:id="655958957">
      <w:bodyDiv w:val="1"/>
      <w:marLeft w:val="0"/>
      <w:marRight w:val="0"/>
      <w:marTop w:val="0"/>
      <w:marBottom w:val="0"/>
      <w:divBdr>
        <w:top w:val="none" w:sz="0" w:space="0" w:color="auto"/>
        <w:left w:val="none" w:sz="0" w:space="0" w:color="auto"/>
        <w:bottom w:val="none" w:sz="0" w:space="0" w:color="auto"/>
        <w:right w:val="none" w:sz="0" w:space="0" w:color="auto"/>
      </w:divBdr>
    </w:div>
    <w:div w:id="692612964">
      <w:bodyDiv w:val="1"/>
      <w:marLeft w:val="0"/>
      <w:marRight w:val="0"/>
      <w:marTop w:val="0"/>
      <w:marBottom w:val="0"/>
      <w:divBdr>
        <w:top w:val="none" w:sz="0" w:space="0" w:color="auto"/>
        <w:left w:val="none" w:sz="0" w:space="0" w:color="auto"/>
        <w:bottom w:val="none" w:sz="0" w:space="0" w:color="auto"/>
        <w:right w:val="none" w:sz="0" w:space="0" w:color="auto"/>
      </w:divBdr>
    </w:div>
    <w:div w:id="696124788">
      <w:bodyDiv w:val="1"/>
      <w:marLeft w:val="0"/>
      <w:marRight w:val="0"/>
      <w:marTop w:val="0"/>
      <w:marBottom w:val="0"/>
      <w:divBdr>
        <w:top w:val="none" w:sz="0" w:space="0" w:color="auto"/>
        <w:left w:val="none" w:sz="0" w:space="0" w:color="auto"/>
        <w:bottom w:val="none" w:sz="0" w:space="0" w:color="auto"/>
        <w:right w:val="none" w:sz="0" w:space="0" w:color="auto"/>
      </w:divBdr>
    </w:div>
    <w:div w:id="724640005">
      <w:bodyDiv w:val="1"/>
      <w:marLeft w:val="0"/>
      <w:marRight w:val="0"/>
      <w:marTop w:val="0"/>
      <w:marBottom w:val="0"/>
      <w:divBdr>
        <w:top w:val="none" w:sz="0" w:space="0" w:color="auto"/>
        <w:left w:val="none" w:sz="0" w:space="0" w:color="auto"/>
        <w:bottom w:val="none" w:sz="0" w:space="0" w:color="auto"/>
        <w:right w:val="none" w:sz="0" w:space="0" w:color="auto"/>
      </w:divBdr>
    </w:div>
    <w:div w:id="735398023">
      <w:bodyDiv w:val="1"/>
      <w:marLeft w:val="0"/>
      <w:marRight w:val="0"/>
      <w:marTop w:val="0"/>
      <w:marBottom w:val="0"/>
      <w:divBdr>
        <w:top w:val="none" w:sz="0" w:space="0" w:color="auto"/>
        <w:left w:val="none" w:sz="0" w:space="0" w:color="auto"/>
        <w:bottom w:val="none" w:sz="0" w:space="0" w:color="auto"/>
        <w:right w:val="none" w:sz="0" w:space="0" w:color="auto"/>
      </w:divBdr>
    </w:div>
    <w:div w:id="761343652">
      <w:bodyDiv w:val="1"/>
      <w:marLeft w:val="0"/>
      <w:marRight w:val="0"/>
      <w:marTop w:val="0"/>
      <w:marBottom w:val="0"/>
      <w:divBdr>
        <w:top w:val="none" w:sz="0" w:space="0" w:color="auto"/>
        <w:left w:val="none" w:sz="0" w:space="0" w:color="auto"/>
        <w:bottom w:val="none" w:sz="0" w:space="0" w:color="auto"/>
        <w:right w:val="none" w:sz="0" w:space="0" w:color="auto"/>
      </w:divBdr>
    </w:div>
    <w:div w:id="770857197">
      <w:bodyDiv w:val="1"/>
      <w:marLeft w:val="0"/>
      <w:marRight w:val="0"/>
      <w:marTop w:val="0"/>
      <w:marBottom w:val="0"/>
      <w:divBdr>
        <w:top w:val="none" w:sz="0" w:space="0" w:color="auto"/>
        <w:left w:val="none" w:sz="0" w:space="0" w:color="auto"/>
        <w:bottom w:val="none" w:sz="0" w:space="0" w:color="auto"/>
        <w:right w:val="none" w:sz="0" w:space="0" w:color="auto"/>
      </w:divBdr>
    </w:div>
    <w:div w:id="853806988">
      <w:bodyDiv w:val="1"/>
      <w:marLeft w:val="0"/>
      <w:marRight w:val="0"/>
      <w:marTop w:val="0"/>
      <w:marBottom w:val="0"/>
      <w:divBdr>
        <w:top w:val="none" w:sz="0" w:space="0" w:color="auto"/>
        <w:left w:val="none" w:sz="0" w:space="0" w:color="auto"/>
        <w:bottom w:val="none" w:sz="0" w:space="0" w:color="auto"/>
        <w:right w:val="none" w:sz="0" w:space="0" w:color="auto"/>
      </w:divBdr>
    </w:div>
    <w:div w:id="872692957">
      <w:bodyDiv w:val="1"/>
      <w:marLeft w:val="0"/>
      <w:marRight w:val="0"/>
      <w:marTop w:val="0"/>
      <w:marBottom w:val="0"/>
      <w:divBdr>
        <w:top w:val="none" w:sz="0" w:space="0" w:color="auto"/>
        <w:left w:val="none" w:sz="0" w:space="0" w:color="auto"/>
        <w:bottom w:val="none" w:sz="0" w:space="0" w:color="auto"/>
        <w:right w:val="none" w:sz="0" w:space="0" w:color="auto"/>
      </w:divBdr>
    </w:div>
    <w:div w:id="872693235">
      <w:bodyDiv w:val="1"/>
      <w:marLeft w:val="0"/>
      <w:marRight w:val="0"/>
      <w:marTop w:val="0"/>
      <w:marBottom w:val="0"/>
      <w:divBdr>
        <w:top w:val="none" w:sz="0" w:space="0" w:color="auto"/>
        <w:left w:val="none" w:sz="0" w:space="0" w:color="auto"/>
        <w:bottom w:val="none" w:sz="0" w:space="0" w:color="auto"/>
        <w:right w:val="none" w:sz="0" w:space="0" w:color="auto"/>
      </w:divBdr>
    </w:div>
    <w:div w:id="892888403">
      <w:bodyDiv w:val="1"/>
      <w:marLeft w:val="0"/>
      <w:marRight w:val="0"/>
      <w:marTop w:val="0"/>
      <w:marBottom w:val="0"/>
      <w:divBdr>
        <w:top w:val="none" w:sz="0" w:space="0" w:color="auto"/>
        <w:left w:val="none" w:sz="0" w:space="0" w:color="auto"/>
        <w:bottom w:val="none" w:sz="0" w:space="0" w:color="auto"/>
        <w:right w:val="none" w:sz="0" w:space="0" w:color="auto"/>
      </w:divBdr>
    </w:div>
    <w:div w:id="900946066">
      <w:bodyDiv w:val="1"/>
      <w:marLeft w:val="0"/>
      <w:marRight w:val="0"/>
      <w:marTop w:val="0"/>
      <w:marBottom w:val="0"/>
      <w:divBdr>
        <w:top w:val="none" w:sz="0" w:space="0" w:color="auto"/>
        <w:left w:val="none" w:sz="0" w:space="0" w:color="auto"/>
        <w:bottom w:val="none" w:sz="0" w:space="0" w:color="auto"/>
        <w:right w:val="none" w:sz="0" w:space="0" w:color="auto"/>
      </w:divBdr>
    </w:div>
    <w:div w:id="974063283">
      <w:bodyDiv w:val="1"/>
      <w:marLeft w:val="0"/>
      <w:marRight w:val="0"/>
      <w:marTop w:val="0"/>
      <w:marBottom w:val="0"/>
      <w:divBdr>
        <w:top w:val="none" w:sz="0" w:space="0" w:color="auto"/>
        <w:left w:val="none" w:sz="0" w:space="0" w:color="auto"/>
        <w:bottom w:val="none" w:sz="0" w:space="0" w:color="auto"/>
        <w:right w:val="none" w:sz="0" w:space="0" w:color="auto"/>
      </w:divBdr>
    </w:div>
    <w:div w:id="990210109">
      <w:bodyDiv w:val="1"/>
      <w:marLeft w:val="0"/>
      <w:marRight w:val="0"/>
      <w:marTop w:val="0"/>
      <w:marBottom w:val="0"/>
      <w:divBdr>
        <w:top w:val="none" w:sz="0" w:space="0" w:color="auto"/>
        <w:left w:val="none" w:sz="0" w:space="0" w:color="auto"/>
        <w:bottom w:val="none" w:sz="0" w:space="0" w:color="auto"/>
        <w:right w:val="none" w:sz="0" w:space="0" w:color="auto"/>
      </w:divBdr>
    </w:div>
    <w:div w:id="1110662343">
      <w:bodyDiv w:val="1"/>
      <w:marLeft w:val="0"/>
      <w:marRight w:val="0"/>
      <w:marTop w:val="0"/>
      <w:marBottom w:val="0"/>
      <w:divBdr>
        <w:top w:val="none" w:sz="0" w:space="0" w:color="auto"/>
        <w:left w:val="none" w:sz="0" w:space="0" w:color="auto"/>
        <w:bottom w:val="none" w:sz="0" w:space="0" w:color="auto"/>
        <w:right w:val="none" w:sz="0" w:space="0" w:color="auto"/>
      </w:divBdr>
    </w:div>
    <w:div w:id="1122264117">
      <w:bodyDiv w:val="1"/>
      <w:marLeft w:val="0"/>
      <w:marRight w:val="0"/>
      <w:marTop w:val="0"/>
      <w:marBottom w:val="0"/>
      <w:divBdr>
        <w:top w:val="none" w:sz="0" w:space="0" w:color="auto"/>
        <w:left w:val="none" w:sz="0" w:space="0" w:color="auto"/>
        <w:bottom w:val="none" w:sz="0" w:space="0" w:color="auto"/>
        <w:right w:val="none" w:sz="0" w:space="0" w:color="auto"/>
      </w:divBdr>
    </w:div>
    <w:div w:id="1136071266">
      <w:bodyDiv w:val="1"/>
      <w:marLeft w:val="0"/>
      <w:marRight w:val="0"/>
      <w:marTop w:val="0"/>
      <w:marBottom w:val="0"/>
      <w:divBdr>
        <w:top w:val="none" w:sz="0" w:space="0" w:color="auto"/>
        <w:left w:val="none" w:sz="0" w:space="0" w:color="auto"/>
        <w:bottom w:val="none" w:sz="0" w:space="0" w:color="auto"/>
        <w:right w:val="none" w:sz="0" w:space="0" w:color="auto"/>
      </w:divBdr>
    </w:div>
    <w:div w:id="1214846461">
      <w:bodyDiv w:val="1"/>
      <w:marLeft w:val="0"/>
      <w:marRight w:val="0"/>
      <w:marTop w:val="0"/>
      <w:marBottom w:val="0"/>
      <w:divBdr>
        <w:top w:val="none" w:sz="0" w:space="0" w:color="auto"/>
        <w:left w:val="none" w:sz="0" w:space="0" w:color="auto"/>
        <w:bottom w:val="none" w:sz="0" w:space="0" w:color="auto"/>
        <w:right w:val="none" w:sz="0" w:space="0" w:color="auto"/>
      </w:divBdr>
    </w:div>
    <w:div w:id="1276138117">
      <w:bodyDiv w:val="1"/>
      <w:marLeft w:val="0"/>
      <w:marRight w:val="0"/>
      <w:marTop w:val="0"/>
      <w:marBottom w:val="0"/>
      <w:divBdr>
        <w:top w:val="none" w:sz="0" w:space="0" w:color="auto"/>
        <w:left w:val="none" w:sz="0" w:space="0" w:color="auto"/>
        <w:bottom w:val="none" w:sz="0" w:space="0" w:color="auto"/>
        <w:right w:val="none" w:sz="0" w:space="0" w:color="auto"/>
      </w:divBdr>
    </w:div>
    <w:div w:id="1285045053">
      <w:bodyDiv w:val="1"/>
      <w:marLeft w:val="0"/>
      <w:marRight w:val="0"/>
      <w:marTop w:val="0"/>
      <w:marBottom w:val="0"/>
      <w:divBdr>
        <w:top w:val="none" w:sz="0" w:space="0" w:color="auto"/>
        <w:left w:val="none" w:sz="0" w:space="0" w:color="auto"/>
        <w:bottom w:val="none" w:sz="0" w:space="0" w:color="auto"/>
        <w:right w:val="none" w:sz="0" w:space="0" w:color="auto"/>
      </w:divBdr>
    </w:div>
    <w:div w:id="1301230948">
      <w:bodyDiv w:val="1"/>
      <w:marLeft w:val="0"/>
      <w:marRight w:val="0"/>
      <w:marTop w:val="0"/>
      <w:marBottom w:val="0"/>
      <w:divBdr>
        <w:top w:val="none" w:sz="0" w:space="0" w:color="auto"/>
        <w:left w:val="none" w:sz="0" w:space="0" w:color="auto"/>
        <w:bottom w:val="none" w:sz="0" w:space="0" w:color="auto"/>
        <w:right w:val="none" w:sz="0" w:space="0" w:color="auto"/>
      </w:divBdr>
    </w:div>
    <w:div w:id="1332754308">
      <w:bodyDiv w:val="1"/>
      <w:marLeft w:val="0"/>
      <w:marRight w:val="0"/>
      <w:marTop w:val="0"/>
      <w:marBottom w:val="0"/>
      <w:divBdr>
        <w:top w:val="none" w:sz="0" w:space="0" w:color="auto"/>
        <w:left w:val="none" w:sz="0" w:space="0" w:color="auto"/>
        <w:bottom w:val="none" w:sz="0" w:space="0" w:color="auto"/>
        <w:right w:val="none" w:sz="0" w:space="0" w:color="auto"/>
      </w:divBdr>
    </w:div>
    <w:div w:id="1337341519">
      <w:bodyDiv w:val="1"/>
      <w:marLeft w:val="0"/>
      <w:marRight w:val="0"/>
      <w:marTop w:val="0"/>
      <w:marBottom w:val="0"/>
      <w:divBdr>
        <w:top w:val="none" w:sz="0" w:space="0" w:color="auto"/>
        <w:left w:val="none" w:sz="0" w:space="0" w:color="auto"/>
        <w:bottom w:val="none" w:sz="0" w:space="0" w:color="auto"/>
        <w:right w:val="none" w:sz="0" w:space="0" w:color="auto"/>
      </w:divBdr>
    </w:div>
    <w:div w:id="1371803243">
      <w:bodyDiv w:val="1"/>
      <w:marLeft w:val="0"/>
      <w:marRight w:val="0"/>
      <w:marTop w:val="0"/>
      <w:marBottom w:val="0"/>
      <w:divBdr>
        <w:top w:val="none" w:sz="0" w:space="0" w:color="auto"/>
        <w:left w:val="none" w:sz="0" w:space="0" w:color="auto"/>
        <w:bottom w:val="none" w:sz="0" w:space="0" w:color="auto"/>
        <w:right w:val="none" w:sz="0" w:space="0" w:color="auto"/>
      </w:divBdr>
    </w:div>
    <w:div w:id="1376199528">
      <w:bodyDiv w:val="1"/>
      <w:marLeft w:val="0"/>
      <w:marRight w:val="0"/>
      <w:marTop w:val="0"/>
      <w:marBottom w:val="0"/>
      <w:divBdr>
        <w:top w:val="none" w:sz="0" w:space="0" w:color="auto"/>
        <w:left w:val="none" w:sz="0" w:space="0" w:color="auto"/>
        <w:bottom w:val="none" w:sz="0" w:space="0" w:color="auto"/>
        <w:right w:val="none" w:sz="0" w:space="0" w:color="auto"/>
      </w:divBdr>
    </w:div>
    <w:div w:id="1378046301">
      <w:bodyDiv w:val="1"/>
      <w:marLeft w:val="0"/>
      <w:marRight w:val="0"/>
      <w:marTop w:val="0"/>
      <w:marBottom w:val="0"/>
      <w:divBdr>
        <w:top w:val="none" w:sz="0" w:space="0" w:color="auto"/>
        <w:left w:val="none" w:sz="0" w:space="0" w:color="auto"/>
        <w:bottom w:val="none" w:sz="0" w:space="0" w:color="auto"/>
        <w:right w:val="none" w:sz="0" w:space="0" w:color="auto"/>
      </w:divBdr>
    </w:div>
    <w:div w:id="1411464048">
      <w:bodyDiv w:val="1"/>
      <w:marLeft w:val="0"/>
      <w:marRight w:val="0"/>
      <w:marTop w:val="0"/>
      <w:marBottom w:val="0"/>
      <w:divBdr>
        <w:top w:val="none" w:sz="0" w:space="0" w:color="auto"/>
        <w:left w:val="none" w:sz="0" w:space="0" w:color="auto"/>
        <w:bottom w:val="none" w:sz="0" w:space="0" w:color="auto"/>
        <w:right w:val="none" w:sz="0" w:space="0" w:color="auto"/>
      </w:divBdr>
    </w:div>
    <w:div w:id="1421757419">
      <w:bodyDiv w:val="1"/>
      <w:marLeft w:val="0"/>
      <w:marRight w:val="0"/>
      <w:marTop w:val="0"/>
      <w:marBottom w:val="0"/>
      <w:divBdr>
        <w:top w:val="none" w:sz="0" w:space="0" w:color="auto"/>
        <w:left w:val="none" w:sz="0" w:space="0" w:color="auto"/>
        <w:bottom w:val="none" w:sz="0" w:space="0" w:color="auto"/>
        <w:right w:val="none" w:sz="0" w:space="0" w:color="auto"/>
      </w:divBdr>
    </w:div>
    <w:div w:id="1422753756">
      <w:bodyDiv w:val="1"/>
      <w:marLeft w:val="0"/>
      <w:marRight w:val="0"/>
      <w:marTop w:val="0"/>
      <w:marBottom w:val="0"/>
      <w:divBdr>
        <w:top w:val="none" w:sz="0" w:space="0" w:color="auto"/>
        <w:left w:val="none" w:sz="0" w:space="0" w:color="auto"/>
        <w:bottom w:val="none" w:sz="0" w:space="0" w:color="auto"/>
        <w:right w:val="none" w:sz="0" w:space="0" w:color="auto"/>
      </w:divBdr>
    </w:div>
    <w:div w:id="1460105062">
      <w:bodyDiv w:val="1"/>
      <w:marLeft w:val="0"/>
      <w:marRight w:val="0"/>
      <w:marTop w:val="0"/>
      <w:marBottom w:val="0"/>
      <w:divBdr>
        <w:top w:val="none" w:sz="0" w:space="0" w:color="auto"/>
        <w:left w:val="none" w:sz="0" w:space="0" w:color="auto"/>
        <w:bottom w:val="none" w:sz="0" w:space="0" w:color="auto"/>
        <w:right w:val="none" w:sz="0" w:space="0" w:color="auto"/>
      </w:divBdr>
    </w:div>
    <w:div w:id="1479372740">
      <w:bodyDiv w:val="1"/>
      <w:marLeft w:val="0"/>
      <w:marRight w:val="0"/>
      <w:marTop w:val="0"/>
      <w:marBottom w:val="0"/>
      <w:divBdr>
        <w:top w:val="none" w:sz="0" w:space="0" w:color="auto"/>
        <w:left w:val="none" w:sz="0" w:space="0" w:color="auto"/>
        <w:bottom w:val="none" w:sz="0" w:space="0" w:color="auto"/>
        <w:right w:val="none" w:sz="0" w:space="0" w:color="auto"/>
      </w:divBdr>
    </w:div>
    <w:div w:id="1504857089">
      <w:bodyDiv w:val="1"/>
      <w:marLeft w:val="0"/>
      <w:marRight w:val="0"/>
      <w:marTop w:val="0"/>
      <w:marBottom w:val="0"/>
      <w:divBdr>
        <w:top w:val="none" w:sz="0" w:space="0" w:color="auto"/>
        <w:left w:val="none" w:sz="0" w:space="0" w:color="auto"/>
        <w:bottom w:val="none" w:sz="0" w:space="0" w:color="auto"/>
        <w:right w:val="none" w:sz="0" w:space="0" w:color="auto"/>
      </w:divBdr>
    </w:div>
    <w:div w:id="1506900357">
      <w:bodyDiv w:val="1"/>
      <w:marLeft w:val="0"/>
      <w:marRight w:val="0"/>
      <w:marTop w:val="0"/>
      <w:marBottom w:val="0"/>
      <w:divBdr>
        <w:top w:val="none" w:sz="0" w:space="0" w:color="auto"/>
        <w:left w:val="none" w:sz="0" w:space="0" w:color="auto"/>
        <w:bottom w:val="none" w:sz="0" w:space="0" w:color="auto"/>
        <w:right w:val="none" w:sz="0" w:space="0" w:color="auto"/>
      </w:divBdr>
    </w:div>
    <w:div w:id="1525023104">
      <w:bodyDiv w:val="1"/>
      <w:marLeft w:val="0"/>
      <w:marRight w:val="0"/>
      <w:marTop w:val="0"/>
      <w:marBottom w:val="0"/>
      <w:divBdr>
        <w:top w:val="none" w:sz="0" w:space="0" w:color="auto"/>
        <w:left w:val="none" w:sz="0" w:space="0" w:color="auto"/>
        <w:bottom w:val="none" w:sz="0" w:space="0" w:color="auto"/>
        <w:right w:val="none" w:sz="0" w:space="0" w:color="auto"/>
      </w:divBdr>
    </w:div>
    <w:div w:id="1602375364">
      <w:bodyDiv w:val="1"/>
      <w:marLeft w:val="0"/>
      <w:marRight w:val="0"/>
      <w:marTop w:val="0"/>
      <w:marBottom w:val="0"/>
      <w:divBdr>
        <w:top w:val="none" w:sz="0" w:space="0" w:color="auto"/>
        <w:left w:val="none" w:sz="0" w:space="0" w:color="auto"/>
        <w:bottom w:val="none" w:sz="0" w:space="0" w:color="auto"/>
        <w:right w:val="none" w:sz="0" w:space="0" w:color="auto"/>
      </w:divBdr>
    </w:div>
    <w:div w:id="1631590550">
      <w:bodyDiv w:val="1"/>
      <w:marLeft w:val="0"/>
      <w:marRight w:val="0"/>
      <w:marTop w:val="0"/>
      <w:marBottom w:val="0"/>
      <w:divBdr>
        <w:top w:val="none" w:sz="0" w:space="0" w:color="auto"/>
        <w:left w:val="none" w:sz="0" w:space="0" w:color="auto"/>
        <w:bottom w:val="none" w:sz="0" w:space="0" w:color="auto"/>
        <w:right w:val="none" w:sz="0" w:space="0" w:color="auto"/>
      </w:divBdr>
    </w:div>
    <w:div w:id="1652446421">
      <w:bodyDiv w:val="1"/>
      <w:marLeft w:val="0"/>
      <w:marRight w:val="0"/>
      <w:marTop w:val="0"/>
      <w:marBottom w:val="0"/>
      <w:divBdr>
        <w:top w:val="none" w:sz="0" w:space="0" w:color="auto"/>
        <w:left w:val="none" w:sz="0" w:space="0" w:color="auto"/>
        <w:bottom w:val="none" w:sz="0" w:space="0" w:color="auto"/>
        <w:right w:val="none" w:sz="0" w:space="0" w:color="auto"/>
      </w:divBdr>
      <w:divsChild>
        <w:div w:id="1665472099">
          <w:marLeft w:val="125"/>
          <w:marRight w:val="0"/>
          <w:marTop w:val="125"/>
          <w:marBottom w:val="0"/>
          <w:divBdr>
            <w:top w:val="none" w:sz="0" w:space="0" w:color="auto"/>
            <w:left w:val="none" w:sz="0" w:space="0" w:color="auto"/>
            <w:bottom w:val="none" w:sz="0" w:space="0" w:color="auto"/>
            <w:right w:val="none" w:sz="0" w:space="0" w:color="auto"/>
          </w:divBdr>
          <w:divsChild>
            <w:div w:id="1384675315">
              <w:marLeft w:val="125"/>
              <w:marRight w:val="100"/>
              <w:marTop w:val="100"/>
              <w:marBottom w:val="0"/>
              <w:divBdr>
                <w:top w:val="none" w:sz="0" w:space="0" w:color="auto"/>
                <w:left w:val="none" w:sz="0" w:space="0" w:color="auto"/>
                <w:bottom w:val="none" w:sz="0" w:space="0" w:color="auto"/>
                <w:right w:val="none" w:sz="0" w:space="0" w:color="auto"/>
              </w:divBdr>
              <w:divsChild>
                <w:div w:id="197088064">
                  <w:marLeft w:val="0"/>
                  <w:marRight w:val="0"/>
                  <w:marTop w:val="0"/>
                  <w:marBottom w:val="0"/>
                  <w:divBdr>
                    <w:top w:val="none" w:sz="0" w:space="0" w:color="auto"/>
                    <w:left w:val="none" w:sz="0" w:space="0" w:color="auto"/>
                    <w:bottom w:val="none" w:sz="0" w:space="0" w:color="auto"/>
                    <w:right w:val="none" w:sz="0" w:space="0" w:color="auto"/>
                  </w:divBdr>
                  <w:divsChild>
                    <w:div w:id="16204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7281">
      <w:bodyDiv w:val="1"/>
      <w:marLeft w:val="0"/>
      <w:marRight w:val="0"/>
      <w:marTop w:val="0"/>
      <w:marBottom w:val="0"/>
      <w:divBdr>
        <w:top w:val="none" w:sz="0" w:space="0" w:color="auto"/>
        <w:left w:val="none" w:sz="0" w:space="0" w:color="auto"/>
        <w:bottom w:val="none" w:sz="0" w:space="0" w:color="auto"/>
        <w:right w:val="none" w:sz="0" w:space="0" w:color="auto"/>
      </w:divBdr>
    </w:div>
    <w:div w:id="1743405293">
      <w:bodyDiv w:val="1"/>
      <w:marLeft w:val="0"/>
      <w:marRight w:val="0"/>
      <w:marTop w:val="0"/>
      <w:marBottom w:val="0"/>
      <w:divBdr>
        <w:top w:val="none" w:sz="0" w:space="0" w:color="auto"/>
        <w:left w:val="none" w:sz="0" w:space="0" w:color="auto"/>
        <w:bottom w:val="none" w:sz="0" w:space="0" w:color="auto"/>
        <w:right w:val="none" w:sz="0" w:space="0" w:color="auto"/>
      </w:divBdr>
    </w:div>
    <w:div w:id="1762602058">
      <w:bodyDiv w:val="1"/>
      <w:marLeft w:val="0"/>
      <w:marRight w:val="0"/>
      <w:marTop w:val="0"/>
      <w:marBottom w:val="0"/>
      <w:divBdr>
        <w:top w:val="none" w:sz="0" w:space="0" w:color="auto"/>
        <w:left w:val="none" w:sz="0" w:space="0" w:color="auto"/>
        <w:bottom w:val="none" w:sz="0" w:space="0" w:color="auto"/>
        <w:right w:val="none" w:sz="0" w:space="0" w:color="auto"/>
      </w:divBdr>
    </w:div>
    <w:div w:id="1805196633">
      <w:bodyDiv w:val="1"/>
      <w:marLeft w:val="0"/>
      <w:marRight w:val="0"/>
      <w:marTop w:val="0"/>
      <w:marBottom w:val="0"/>
      <w:divBdr>
        <w:top w:val="none" w:sz="0" w:space="0" w:color="auto"/>
        <w:left w:val="none" w:sz="0" w:space="0" w:color="auto"/>
        <w:bottom w:val="none" w:sz="0" w:space="0" w:color="auto"/>
        <w:right w:val="none" w:sz="0" w:space="0" w:color="auto"/>
      </w:divBdr>
    </w:div>
    <w:div w:id="1806772623">
      <w:bodyDiv w:val="1"/>
      <w:marLeft w:val="0"/>
      <w:marRight w:val="0"/>
      <w:marTop w:val="0"/>
      <w:marBottom w:val="0"/>
      <w:divBdr>
        <w:top w:val="none" w:sz="0" w:space="0" w:color="auto"/>
        <w:left w:val="none" w:sz="0" w:space="0" w:color="auto"/>
        <w:bottom w:val="none" w:sz="0" w:space="0" w:color="auto"/>
        <w:right w:val="none" w:sz="0" w:space="0" w:color="auto"/>
      </w:divBdr>
    </w:div>
    <w:div w:id="1821339720">
      <w:bodyDiv w:val="1"/>
      <w:marLeft w:val="0"/>
      <w:marRight w:val="0"/>
      <w:marTop w:val="0"/>
      <w:marBottom w:val="0"/>
      <w:divBdr>
        <w:top w:val="none" w:sz="0" w:space="0" w:color="auto"/>
        <w:left w:val="none" w:sz="0" w:space="0" w:color="auto"/>
        <w:bottom w:val="none" w:sz="0" w:space="0" w:color="auto"/>
        <w:right w:val="none" w:sz="0" w:space="0" w:color="auto"/>
      </w:divBdr>
    </w:div>
    <w:div w:id="1828203973">
      <w:bodyDiv w:val="1"/>
      <w:marLeft w:val="0"/>
      <w:marRight w:val="0"/>
      <w:marTop w:val="0"/>
      <w:marBottom w:val="0"/>
      <w:divBdr>
        <w:top w:val="none" w:sz="0" w:space="0" w:color="auto"/>
        <w:left w:val="none" w:sz="0" w:space="0" w:color="auto"/>
        <w:bottom w:val="none" w:sz="0" w:space="0" w:color="auto"/>
        <w:right w:val="none" w:sz="0" w:space="0" w:color="auto"/>
      </w:divBdr>
    </w:div>
    <w:div w:id="1843206372">
      <w:bodyDiv w:val="1"/>
      <w:marLeft w:val="0"/>
      <w:marRight w:val="0"/>
      <w:marTop w:val="0"/>
      <w:marBottom w:val="0"/>
      <w:divBdr>
        <w:top w:val="none" w:sz="0" w:space="0" w:color="auto"/>
        <w:left w:val="none" w:sz="0" w:space="0" w:color="auto"/>
        <w:bottom w:val="none" w:sz="0" w:space="0" w:color="auto"/>
        <w:right w:val="none" w:sz="0" w:space="0" w:color="auto"/>
      </w:divBdr>
    </w:div>
    <w:div w:id="1871185591">
      <w:bodyDiv w:val="1"/>
      <w:marLeft w:val="0"/>
      <w:marRight w:val="0"/>
      <w:marTop w:val="0"/>
      <w:marBottom w:val="0"/>
      <w:divBdr>
        <w:top w:val="none" w:sz="0" w:space="0" w:color="auto"/>
        <w:left w:val="none" w:sz="0" w:space="0" w:color="auto"/>
        <w:bottom w:val="none" w:sz="0" w:space="0" w:color="auto"/>
        <w:right w:val="none" w:sz="0" w:space="0" w:color="auto"/>
      </w:divBdr>
    </w:div>
    <w:div w:id="2056201057">
      <w:bodyDiv w:val="1"/>
      <w:marLeft w:val="0"/>
      <w:marRight w:val="0"/>
      <w:marTop w:val="0"/>
      <w:marBottom w:val="0"/>
      <w:divBdr>
        <w:top w:val="none" w:sz="0" w:space="0" w:color="auto"/>
        <w:left w:val="none" w:sz="0" w:space="0" w:color="auto"/>
        <w:bottom w:val="none" w:sz="0" w:space="0" w:color="auto"/>
        <w:right w:val="none" w:sz="0" w:space="0" w:color="auto"/>
      </w:divBdr>
    </w:div>
    <w:div w:id="2096970743">
      <w:bodyDiv w:val="1"/>
      <w:marLeft w:val="0"/>
      <w:marRight w:val="0"/>
      <w:marTop w:val="0"/>
      <w:marBottom w:val="0"/>
      <w:divBdr>
        <w:top w:val="none" w:sz="0" w:space="0" w:color="auto"/>
        <w:left w:val="none" w:sz="0" w:space="0" w:color="auto"/>
        <w:bottom w:val="none" w:sz="0" w:space="0" w:color="auto"/>
        <w:right w:val="none" w:sz="0" w:space="0" w:color="auto"/>
      </w:divBdr>
    </w:div>
    <w:div w:id="2100372377">
      <w:bodyDiv w:val="1"/>
      <w:marLeft w:val="0"/>
      <w:marRight w:val="0"/>
      <w:marTop w:val="0"/>
      <w:marBottom w:val="0"/>
      <w:divBdr>
        <w:top w:val="none" w:sz="0" w:space="0" w:color="auto"/>
        <w:left w:val="none" w:sz="0" w:space="0" w:color="auto"/>
        <w:bottom w:val="none" w:sz="0" w:space="0" w:color="auto"/>
        <w:right w:val="none" w:sz="0" w:space="0" w:color="auto"/>
      </w:divBdr>
    </w:div>
    <w:div w:id="2120221028">
      <w:bodyDiv w:val="1"/>
      <w:marLeft w:val="0"/>
      <w:marRight w:val="0"/>
      <w:marTop w:val="0"/>
      <w:marBottom w:val="0"/>
      <w:divBdr>
        <w:top w:val="none" w:sz="0" w:space="0" w:color="auto"/>
        <w:left w:val="none" w:sz="0" w:space="0" w:color="auto"/>
        <w:bottom w:val="none" w:sz="0" w:space="0" w:color="auto"/>
        <w:right w:val="none" w:sz="0" w:space="0" w:color="auto"/>
      </w:divBdr>
    </w:div>
    <w:div w:id="212330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image" Target="media/image7.png"/><Relationship Id="rId42" Type="http://schemas.openxmlformats.org/officeDocument/2006/relationships/header" Target="header27.xml"/><Relationship Id="rId47" Type="http://schemas.openxmlformats.org/officeDocument/2006/relationships/header" Target="header31.xml"/><Relationship Id="rId63" Type="http://schemas.openxmlformats.org/officeDocument/2006/relationships/header" Target="header47.xml"/><Relationship Id="rId68" Type="http://schemas.openxmlformats.org/officeDocument/2006/relationships/hyperlink" Target="http://geoloket.vmm.be/RUP/map.phtml" TargetMode="External"/><Relationship Id="rId84" Type="http://schemas.openxmlformats.org/officeDocument/2006/relationships/header" Target="header51.xml"/><Relationship Id="rId89" Type="http://schemas.openxmlformats.org/officeDocument/2006/relationships/header" Target="header56.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4.xml"/><Relationship Id="rId107" Type="http://schemas.openxmlformats.org/officeDocument/2006/relationships/header" Target="header73.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66" Type="http://schemas.openxmlformats.org/officeDocument/2006/relationships/image" Target="media/image10.emf"/><Relationship Id="rId74" Type="http://schemas.openxmlformats.org/officeDocument/2006/relationships/image" Target="media/image11.gif"/><Relationship Id="rId79" Type="http://schemas.openxmlformats.org/officeDocument/2006/relationships/image" Target="media/image13.emf"/><Relationship Id="rId87" Type="http://schemas.openxmlformats.org/officeDocument/2006/relationships/header" Target="header54.xml"/><Relationship Id="rId102" Type="http://schemas.openxmlformats.org/officeDocument/2006/relationships/header" Target="header68.xm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5.xml"/><Relationship Id="rId82" Type="http://schemas.openxmlformats.org/officeDocument/2006/relationships/header" Target="header49.xml"/><Relationship Id="rId90" Type="http://schemas.openxmlformats.org/officeDocument/2006/relationships/header" Target="header57.xml"/><Relationship Id="rId95" Type="http://schemas.openxmlformats.org/officeDocument/2006/relationships/header" Target="header62.xml"/><Relationship Id="rId19" Type="http://schemas.openxmlformats.org/officeDocument/2006/relationships/image" Target="media/image5.emf"/><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2.xml"/><Relationship Id="rId56" Type="http://schemas.openxmlformats.org/officeDocument/2006/relationships/header" Target="header40.xml"/><Relationship Id="rId64" Type="http://schemas.openxmlformats.org/officeDocument/2006/relationships/header" Target="header48.xml"/><Relationship Id="rId69" Type="http://schemas.openxmlformats.org/officeDocument/2006/relationships/hyperlink" Target="http://geoloket.vmm.be/RUP/map.phtml" TargetMode="External"/><Relationship Id="rId77" Type="http://schemas.openxmlformats.org/officeDocument/2006/relationships/hyperlink" Target="javascript:zoom2extent('advies','517','149960.000002+215960.000002+154040.000002+220040.000002')" TargetMode="External"/><Relationship Id="rId100" Type="http://schemas.openxmlformats.org/officeDocument/2006/relationships/hyperlink" Target="http://www.watertoets.be" TargetMode="External"/><Relationship Id="rId105" Type="http://schemas.openxmlformats.org/officeDocument/2006/relationships/header" Target="header71.xml"/><Relationship Id="rId8" Type="http://schemas.openxmlformats.org/officeDocument/2006/relationships/image" Target="media/image1.jpeg"/><Relationship Id="rId51" Type="http://schemas.openxmlformats.org/officeDocument/2006/relationships/header" Target="header35.xml"/><Relationship Id="rId72" Type="http://schemas.openxmlformats.org/officeDocument/2006/relationships/hyperlink" Target="http://geoloket.vmm.be/RUP/map.phtml" TargetMode="External"/><Relationship Id="rId80" Type="http://schemas.openxmlformats.org/officeDocument/2006/relationships/image" Target="media/image14.emf"/><Relationship Id="rId85" Type="http://schemas.openxmlformats.org/officeDocument/2006/relationships/header" Target="header52.xml"/><Relationship Id="rId93" Type="http://schemas.openxmlformats.org/officeDocument/2006/relationships/header" Target="header60.xml"/><Relationship Id="rId98" Type="http://schemas.openxmlformats.org/officeDocument/2006/relationships/header" Target="header6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0.xml"/><Relationship Id="rId59" Type="http://schemas.openxmlformats.org/officeDocument/2006/relationships/header" Target="header43.xml"/><Relationship Id="rId67" Type="http://schemas.openxmlformats.org/officeDocument/2006/relationships/hyperlink" Target="http://geoloket.vmm.be/RUP/map.phtml" TargetMode="External"/><Relationship Id="rId103" Type="http://schemas.openxmlformats.org/officeDocument/2006/relationships/header" Target="header69.xml"/><Relationship Id="rId108" Type="http://schemas.openxmlformats.org/officeDocument/2006/relationships/header" Target="header74.xml"/><Relationship Id="rId20" Type="http://schemas.openxmlformats.org/officeDocument/2006/relationships/image" Target="media/image6.emf"/><Relationship Id="rId41" Type="http://schemas.openxmlformats.org/officeDocument/2006/relationships/header" Target="header26.xml"/><Relationship Id="rId54" Type="http://schemas.openxmlformats.org/officeDocument/2006/relationships/header" Target="header38.xml"/><Relationship Id="rId62" Type="http://schemas.openxmlformats.org/officeDocument/2006/relationships/header" Target="header46.xml"/><Relationship Id="rId70" Type="http://schemas.openxmlformats.org/officeDocument/2006/relationships/hyperlink" Target="http://geoloket.vmm.be/RUP/map.phtml" TargetMode="External"/><Relationship Id="rId75" Type="http://schemas.openxmlformats.org/officeDocument/2006/relationships/hyperlink" Target="javascript:zoom2extent('advies','500','145960.000002+215960.000002+150040.000002+220040.000002')" TargetMode="External"/><Relationship Id="rId83" Type="http://schemas.openxmlformats.org/officeDocument/2006/relationships/header" Target="header50.xml"/><Relationship Id="rId88" Type="http://schemas.openxmlformats.org/officeDocument/2006/relationships/header" Target="header55.xml"/><Relationship Id="rId91" Type="http://schemas.openxmlformats.org/officeDocument/2006/relationships/header" Target="header58.xml"/><Relationship Id="rId96" Type="http://schemas.openxmlformats.org/officeDocument/2006/relationships/header" Target="header6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3.xml"/><Relationship Id="rId57" Type="http://schemas.openxmlformats.org/officeDocument/2006/relationships/header" Target="header41.xml"/><Relationship Id="rId106" Type="http://schemas.openxmlformats.org/officeDocument/2006/relationships/header" Target="header72.xml"/><Relationship Id="rId10" Type="http://schemas.openxmlformats.org/officeDocument/2006/relationships/header" Target="header1.xml"/><Relationship Id="rId31" Type="http://schemas.openxmlformats.org/officeDocument/2006/relationships/header" Target="header16.xml"/><Relationship Id="rId44" Type="http://schemas.openxmlformats.org/officeDocument/2006/relationships/image" Target="media/image8.emf"/><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image" Target="media/image9.emf"/><Relationship Id="rId73" Type="http://schemas.openxmlformats.org/officeDocument/2006/relationships/hyperlink" Target="javascript:zoom2extent('advies','499','145960.000002+211960.000002+150040.000002+216040.000002')" TargetMode="External"/><Relationship Id="rId78" Type="http://schemas.openxmlformats.org/officeDocument/2006/relationships/image" Target="media/image12.emf"/><Relationship Id="rId81" Type="http://schemas.openxmlformats.org/officeDocument/2006/relationships/image" Target="media/image15.emf"/><Relationship Id="rId86" Type="http://schemas.openxmlformats.org/officeDocument/2006/relationships/header" Target="header53.xml"/><Relationship Id="rId94" Type="http://schemas.openxmlformats.org/officeDocument/2006/relationships/header" Target="header61.xml"/><Relationship Id="rId99" Type="http://schemas.openxmlformats.org/officeDocument/2006/relationships/header" Target="header66.xml"/><Relationship Id="rId101" Type="http://schemas.openxmlformats.org/officeDocument/2006/relationships/header" Target="header67.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eader" Target="header4.xml"/><Relationship Id="rId18" Type="http://schemas.openxmlformats.org/officeDocument/2006/relationships/image" Target="media/image4.jpeg"/><Relationship Id="rId39" Type="http://schemas.openxmlformats.org/officeDocument/2006/relationships/header" Target="header24.xml"/><Relationship Id="rId109" Type="http://schemas.openxmlformats.org/officeDocument/2006/relationships/fontTable" Target="fontTable.xml"/><Relationship Id="rId34" Type="http://schemas.openxmlformats.org/officeDocument/2006/relationships/header" Target="header19.xml"/><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yperlink" Target="javascript:zoom2extent('advies','516','149960.000002+211960.000002+154040.000002+216040.000002')" TargetMode="External"/><Relationship Id="rId97" Type="http://schemas.openxmlformats.org/officeDocument/2006/relationships/header" Target="header64.xml"/><Relationship Id="rId104" Type="http://schemas.openxmlformats.org/officeDocument/2006/relationships/header" Target="header70.xml"/><Relationship Id="rId7" Type="http://schemas.openxmlformats.org/officeDocument/2006/relationships/endnotes" Target="endnotes.xml"/><Relationship Id="rId71" Type="http://schemas.openxmlformats.org/officeDocument/2006/relationships/hyperlink" Target="http://geoloket.vmm.be/RUP/map.phtml" TargetMode="External"/><Relationship Id="rId92" Type="http://schemas.openxmlformats.org/officeDocument/2006/relationships/header" Target="header59.xml"/></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7.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1.xml.rels><?xml version="1.0" encoding="UTF-8" standalone="yes"?>
<Relationships xmlns="http://schemas.openxmlformats.org/package/2006/relationships"><Relationship Id="rId1" Type="http://schemas.openxmlformats.org/officeDocument/2006/relationships/image" Target="media/image1.jpeg"/></Relationships>
</file>

<file path=word/_rels/header53.xml.rels><?xml version="1.0" encoding="UTF-8" standalone="yes"?>
<Relationships xmlns="http://schemas.openxmlformats.org/package/2006/relationships"><Relationship Id="rId1" Type="http://schemas.openxmlformats.org/officeDocument/2006/relationships/image" Target="media/image1.jpeg"/></Relationships>
</file>

<file path=word/_rels/header54.xml.rels><?xml version="1.0" encoding="UTF-8" standalone="yes"?>
<Relationships xmlns="http://schemas.openxmlformats.org/package/2006/relationships"><Relationship Id="rId1" Type="http://schemas.openxmlformats.org/officeDocument/2006/relationships/image" Target="media/image1.jpeg"/></Relationships>
</file>

<file path=word/_rels/header56.xml.rels><?xml version="1.0" encoding="UTF-8" standalone="yes"?>
<Relationships xmlns="http://schemas.openxmlformats.org/package/2006/relationships"><Relationship Id="rId1" Type="http://schemas.openxmlformats.org/officeDocument/2006/relationships/image" Target="media/image1.jpeg"/></Relationships>
</file>

<file path=word/_rels/header59.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62.xml.rels><?xml version="1.0" encoding="UTF-8" standalone="yes"?>
<Relationships xmlns="http://schemas.openxmlformats.org/package/2006/relationships"><Relationship Id="rId1" Type="http://schemas.openxmlformats.org/officeDocument/2006/relationships/image" Target="media/image1.jpeg"/></Relationships>
</file>

<file path=word/_rels/header65.xml.rels><?xml version="1.0" encoding="UTF-8" standalone="yes"?>
<Relationships xmlns="http://schemas.openxmlformats.org/package/2006/relationships"><Relationship Id="rId1" Type="http://schemas.openxmlformats.org/officeDocument/2006/relationships/image" Target="media/image1.jpeg"/></Relationships>
</file>

<file path=word/_rels/header68.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70.xml.rels><?xml version="1.0" encoding="UTF-8" standalone="yes"?>
<Relationships xmlns="http://schemas.openxmlformats.org/package/2006/relationships"><Relationship Id="rId1" Type="http://schemas.openxmlformats.org/officeDocument/2006/relationships/image" Target="media/image1.jpeg"/></Relationships>
</file>

<file path=word/_rels/header71.xml.rels><?xml version="1.0" encoding="UTF-8" standalone="yes"?>
<Relationships xmlns="http://schemas.openxmlformats.org/package/2006/relationships"><Relationship Id="rId1" Type="http://schemas.openxmlformats.org/officeDocument/2006/relationships/image" Target="media/image1.jpeg"/></Relationships>
</file>

<file path=word/_rels/header72.xml.rels><?xml version="1.0" encoding="UTF-8" standalone="yes"?>
<Relationships xmlns="http://schemas.openxmlformats.org/package/2006/relationships"><Relationship Id="rId1" Type="http://schemas.openxmlformats.org/officeDocument/2006/relationships/image" Target="media/image1.jpeg"/></Relationships>
</file>

<file path=word/_rels/header73.xml.rels><?xml version="1.0" encoding="UTF-8" standalone="yes"?>
<Relationships xmlns="http://schemas.openxmlformats.org/package/2006/relationships"><Relationship Id="rId1" Type="http://schemas.openxmlformats.org/officeDocument/2006/relationships/image" Target="media/image1.jpeg"/></Relationships>
</file>

<file path=word/_rels/header74.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ven.vandebroeck\My%20Documents\SVB%20documenten\informatie\templates\templates%20word\rap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96799-8135-4C32-808B-1D5A1290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Template>
  <TotalTime>6</TotalTime>
  <Pages>162</Pages>
  <Words>46849</Words>
  <Characters>257671</Characters>
  <Application>Microsoft Office Word</Application>
  <DocSecurity>0</DocSecurity>
  <Lines>2147</Lines>
  <Paragraphs>607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D&amp;T Letterhead (NL)</vt:lpstr>
      <vt:lpstr>D&amp;T Letterhead (NL)</vt:lpstr>
    </vt:vector>
  </TitlesOfParts>
  <Company/>
  <LinksUpToDate>false</LinksUpToDate>
  <CharactersWithSpaces>303913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D&amp;T Letterhead (NL)</dc:title>
  <dc:creator>General Services and Investments</dc:creator>
  <cp:lastModifiedBy>Tom Pashuysen</cp:lastModifiedBy>
  <cp:revision>4</cp:revision>
  <cp:lastPrinted>2011-12-19T14:09:00Z</cp:lastPrinted>
  <dcterms:created xsi:type="dcterms:W3CDTF">2011-12-19T14:30:00Z</dcterms:created>
  <dcterms:modified xsi:type="dcterms:W3CDTF">2011-12-21T11:24:00Z</dcterms:modified>
</cp:coreProperties>
</file>